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44A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55" w:afterLines="100" w:afterAutospacing="0" w:line="560" w:lineRule="exact"/>
        <w:jc w:val="center"/>
        <w:textAlignment w:val="auto"/>
        <w:outlineLvl w:val="0"/>
        <w:rPr>
          <w:rFonts w:hint="eastAsia" w:ascii="Times New Roman" w:hAnsi="Times New Roman" w:eastAsia="仿宋_GB2312" w:cs="Times New Roman"/>
          <w:b/>
          <w:bCs/>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和静县人民医院心电测量、分析设备采购项目</w:t>
      </w:r>
    </w:p>
    <w:p w14:paraId="39E89D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55" w:afterLines="100" w:afterAutospacing="0" w:line="560" w:lineRule="exact"/>
        <w:jc w:val="center"/>
        <w:textAlignment w:val="auto"/>
        <w:outlineLvl w:val="0"/>
        <w:rPr>
          <w:rFonts w:hint="eastAsia" w:ascii="Times New Roman" w:hAnsi="Times New Roman" w:eastAsia="仿宋_GB2312" w:cs="Times New Roman"/>
          <w:b/>
          <w:bCs/>
          <w:color w:val="auto"/>
          <w:kern w:val="0"/>
          <w:sz w:val="32"/>
          <w:szCs w:val="32"/>
          <w:lang w:val="en-US" w:eastAsia="zh-CN" w:bidi="ar"/>
        </w:rPr>
      </w:pPr>
    </w:p>
    <w:p w14:paraId="3D149080">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55" w:afterLines="100" w:afterAutospacing="0" w:line="560" w:lineRule="exact"/>
        <w:ind w:firstLine="643" w:firstLineChars="200"/>
        <w:textAlignment w:val="auto"/>
        <w:outlineLvl w:val="0"/>
        <w:rPr>
          <w:rFonts w:hint="eastAsia" w:ascii="Times New Roman" w:hAnsi="Times New Roman" w:eastAsia="仿宋_GB2312" w:cs="Times New Roman"/>
          <w:b/>
          <w:bCs/>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供应商的资格要求</w:t>
      </w:r>
    </w:p>
    <w:p w14:paraId="29BE79B0">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供应商须提供有效营业执照；</w:t>
      </w:r>
    </w:p>
    <w:p w14:paraId="553A0FB9">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法人代表授权委托 书及委托代理人身份证；</w:t>
      </w:r>
    </w:p>
    <w:p w14:paraId="11D766F6">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具有良好的商业信誉和健全的财务会计制度（提供会 计师事务所出具 2024年度财务审计报告，新成立不足一年的提供成立之日起至 今的财务报表）；</w:t>
      </w:r>
    </w:p>
    <w:p w14:paraId="6D13DBA9">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有依法缴纳税收和社会保障资金的良好记录（提供近一年内任意 1 个月的完税证明和社保缴纳证明）</w:t>
      </w:r>
    </w:p>
    <w:p w14:paraId="094C9460">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具有履行合同所必需的设备和专业技术能力 ；</w:t>
      </w:r>
    </w:p>
    <w:p w14:paraId="5992A342">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参加政府采购活动前三年内，在经营活动中没有重大违法记录；</w:t>
      </w:r>
    </w:p>
    <w:p w14:paraId="27671B83">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具有医疗器械经营资格：根据《医疗器械监督管理条例》（国务院令第 650 号）有关内容办理医疗器械产品注册与备案，未取得医疗器械注册证的产品不予认可；</w:t>
      </w:r>
    </w:p>
    <w:p w14:paraId="3224B4EA">
      <w:pPr>
        <w:numPr>
          <w:ilvl w:val="0"/>
          <w:numId w:val="2"/>
        </w:numPr>
        <w:spacing w:line="360" w:lineRule="auto"/>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提供生产厂家唯一授权；</w:t>
      </w:r>
    </w:p>
    <w:p w14:paraId="4D781F9A">
      <w:pPr>
        <w:widowControl w:val="0"/>
        <w:numPr>
          <w:ilvl w:val="0"/>
          <w:numId w:val="0"/>
        </w:numPr>
        <w:spacing w:line="360" w:lineRule="auto"/>
        <w:jc w:val="both"/>
        <w:rPr>
          <w:rFonts w:hint="eastAsia" w:ascii="仿宋_GB2312" w:hAnsi="仿宋_GB2312" w:eastAsia="仿宋_GB2312" w:cs="仿宋_GB2312"/>
          <w:color w:val="auto"/>
          <w:sz w:val="28"/>
          <w:szCs w:val="28"/>
          <w:lang w:val="en-US" w:eastAsia="zh-CN"/>
        </w:rPr>
        <w:sectPr>
          <w:footerReference r:id="rId3" w:type="default"/>
          <w:pgSz w:w="11907" w:h="16840"/>
          <w:pgMar w:top="1440" w:right="1077" w:bottom="1440" w:left="1077" w:header="964" w:footer="992" w:gutter="0"/>
          <w:pgBorders>
            <w:top w:val="none" w:sz="0" w:space="0"/>
            <w:left w:val="none" w:sz="0" w:space="0"/>
            <w:bottom w:val="none" w:sz="0" w:space="0"/>
            <w:right w:val="none" w:sz="0" w:space="0"/>
          </w:pgBorders>
          <w:pgNumType w:start="1"/>
          <w:cols w:space="720" w:num="1"/>
          <w:docGrid w:linePitch="354" w:charSpace="0"/>
        </w:sectPr>
      </w:pPr>
    </w:p>
    <w:p w14:paraId="25DC1BF5">
      <w:pPr>
        <w:keepNext w:val="0"/>
        <w:keepLines w:val="0"/>
        <w:pageBreakBefore w:val="0"/>
        <w:kinsoku/>
        <w:wordWrap/>
        <w:overflowPunct/>
        <w:topLinePunct w:val="0"/>
        <w:bidi w:val="0"/>
        <w:snapToGrid/>
        <w:spacing w:line="560" w:lineRule="exact"/>
        <w:ind w:firstLine="640" w:firstLineChars="200"/>
        <w:outlineLvl w:val="9"/>
        <w:rPr>
          <w:rFonts w:hint="eastAsia" w:ascii="仿宋_GB2312" w:hAnsi="仿宋_GB2312" w:eastAsia="仿宋_GB2312" w:cs="仿宋_GB2312"/>
          <w:color w:val="auto"/>
          <w:sz w:val="32"/>
          <w:szCs w:val="32"/>
          <w:highlight w:val="none"/>
        </w:rPr>
      </w:pPr>
    </w:p>
    <w:p w14:paraId="7B9A438F">
      <w:pPr>
        <w:keepNext w:val="0"/>
        <w:keepLines w:val="0"/>
        <w:pageBreakBefore w:val="0"/>
        <w:numPr>
          <w:numId w:val="0"/>
        </w:numPr>
        <w:kinsoku/>
        <w:wordWrap/>
        <w:overflowPunct/>
        <w:topLinePunct w:val="0"/>
        <w:bidi w:val="0"/>
        <w:snapToGrid/>
        <w:spacing w:line="560" w:lineRule="exact"/>
        <w:ind w:left="420" w:leftChars="0"/>
        <w:outlineLvl w:val="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具体采购设备名称及数量</w:t>
      </w:r>
    </w:p>
    <w:tbl>
      <w:tblPr>
        <w:tblStyle w:val="16"/>
        <w:tblW w:w="9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70"/>
        <w:gridCol w:w="1145"/>
        <w:gridCol w:w="1944"/>
        <w:gridCol w:w="1778"/>
        <w:gridCol w:w="1594"/>
      </w:tblGrid>
      <w:tr w14:paraId="6E5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70" w:type="dxa"/>
            <w:noWrap w:val="0"/>
            <w:vAlign w:val="center"/>
          </w:tcPr>
          <w:p w14:paraId="28AB04FF">
            <w:pPr>
              <w:pStyle w:val="7"/>
              <w:keepNext w:val="0"/>
              <w:keepLines w:val="0"/>
              <w:pageBreakBefore w:val="0"/>
              <w:kinsoku/>
              <w:wordWrap/>
              <w:overflowPunct/>
              <w:topLinePunct w:val="0"/>
              <w:bidi w:val="0"/>
              <w:snapToGrid/>
              <w:spacing w:after="0" w:line="560" w:lineRule="exact"/>
              <w:ind w:left="0" w:leftChars="0" w:firstLine="0" w:firstLineChars="0"/>
              <w:jc w:val="center"/>
              <w:rPr>
                <w:rFonts w:hint="eastAsia" w:ascii="仿宋_GB2312" w:hAnsi="仿宋_GB2312" w:eastAsia="仿宋_GB2312" w:cs="仿宋_GB2312"/>
                <w:b/>
                <w:color w:val="auto"/>
                <w:sz w:val="28"/>
                <w:szCs w:val="28"/>
                <w:highlight w:val="none"/>
                <w:lang w:val="zh-TW" w:eastAsia="zh-CN"/>
              </w:rPr>
            </w:pPr>
            <w:r>
              <w:rPr>
                <w:rFonts w:hint="eastAsia" w:ascii="仿宋_GB2312" w:hAnsi="仿宋_GB2312" w:eastAsia="仿宋_GB2312" w:cs="仿宋_GB2312"/>
                <w:b/>
                <w:color w:val="auto"/>
                <w:sz w:val="28"/>
                <w:szCs w:val="28"/>
                <w:highlight w:val="none"/>
                <w:lang w:val="zh-TW" w:eastAsia="zh-CN"/>
              </w:rPr>
              <w:t>序号</w:t>
            </w:r>
          </w:p>
        </w:tc>
        <w:tc>
          <w:tcPr>
            <w:tcW w:w="2570" w:type="dxa"/>
            <w:noWrap w:val="0"/>
            <w:vAlign w:val="center"/>
          </w:tcPr>
          <w:p w14:paraId="1DD70546">
            <w:pPr>
              <w:pStyle w:val="7"/>
              <w:keepNext w:val="0"/>
              <w:keepLines w:val="0"/>
              <w:pageBreakBefore w:val="0"/>
              <w:kinsoku/>
              <w:wordWrap/>
              <w:overflowPunct/>
              <w:topLinePunct w:val="0"/>
              <w:bidi w:val="0"/>
              <w:snapToGrid/>
              <w:spacing w:after="0" w:line="560" w:lineRule="exact"/>
              <w:ind w:left="0" w:leftChars="0" w:firstLine="0" w:firstLineChars="0"/>
              <w:jc w:val="center"/>
              <w:rPr>
                <w:rFonts w:hint="eastAsia" w:ascii="仿宋_GB2312" w:hAnsi="仿宋_GB2312" w:eastAsia="仿宋_GB2312" w:cs="仿宋_GB2312"/>
                <w:b/>
                <w:color w:val="auto"/>
                <w:sz w:val="28"/>
                <w:szCs w:val="28"/>
                <w:highlight w:val="none"/>
                <w:lang w:val="zh-TW" w:eastAsia="zh-CN"/>
              </w:rPr>
            </w:pPr>
            <w:r>
              <w:rPr>
                <w:rFonts w:hint="eastAsia" w:ascii="仿宋_GB2312" w:hAnsi="仿宋_GB2312" w:eastAsia="仿宋_GB2312" w:cs="仿宋_GB2312"/>
                <w:b/>
                <w:color w:val="auto"/>
                <w:sz w:val="28"/>
                <w:szCs w:val="28"/>
                <w:highlight w:val="none"/>
                <w:lang w:val="zh-TW" w:eastAsia="zh-CN"/>
              </w:rPr>
              <w:t>设备名称</w:t>
            </w:r>
          </w:p>
        </w:tc>
        <w:tc>
          <w:tcPr>
            <w:tcW w:w="1145" w:type="dxa"/>
            <w:shd w:val="clear" w:color="auto" w:fill="auto"/>
            <w:noWrap w:val="0"/>
            <w:vAlign w:val="center"/>
          </w:tcPr>
          <w:p w14:paraId="104CB608">
            <w:pPr>
              <w:pStyle w:val="7"/>
              <w:keepNext w:val="0"/>
              <w:keepLines w:val="0"/>
              <w:pageBreakBefore w:val="0"/>
              <w:kinsoku/>
              <w:wordWrap/>
              <w:overflowPunct/>
              <w:topLinePunct w:val="0"/>
              <w:bidi w:val="0"/>
              <w:snapToGrid/>
              <w:spacing w:after="0" w:line="560" w:lineRule="exact"/>
              <w:ind w:left="0" w:leftChars="0" w:firstLine="0" w:firstLineChars="0"/>
              <w:jc w:val="center"/>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zh-TW" w:eastAsia="zh-CN"/>
              </w:rPr>
              <w:t>数量</w:t>
            </w:r>
          </w:p>
        </w:tc>
        <w:tc>
          <w:tcPr>
            <w:tcW w:w="1944" w:type="dxa"/>
            <w:shd w:val="clear" w:color="auto" w:fill="auto"/>
            <w:noWrap w:val="0"/>
            <w:vAlign w:val="center"/>
          </w:tcPr>
          <w:p w14:paraId="11B8A9E7">
            <w:pPr>
              <w:pStyle w:val="7"/>
              <w:keepNext w:val="0"/>
              <w:keepLines w:val="0"/>
              <w:pageBreakBefore w:val="0"/>
              <w:kinsoku/>
              <w:wordWrap/>
              <w:overflowPunct/>
              <w:topLinePunct w:val="0"/>
              <w:bidi w:val="0"/>
              <w:snapToGrid/>
              <w:spacing w:after="0" w:line="560" w:lineRule="exact"/>
              <w:ind w:left="0" w:leftChars="0" w:firstLine="0" w:firstLineChars="0"/>
              <w:jc w:val="center"/>
              <w:rPr>
                <w:rFonts w:hint="eastAsia" w:ascii="仿宋_GB2312" w:hAnsi="仿宋_GB2312" w:eastAsia="仿宋_GB2312" w:cs="仿宋_GB2312"/>
                <w:b/>
                <w:color w:val="auto"/>
                <w:sz w:val="28"/>
                <w:szCs w:val="28"/>
                <w:highlight w:val="none"/>
                <w:lang w:val="zh-TW" w:eastAsia="zh-CN"/>
              </w:rPr>
            </w:pPr>
            <w:r>
              <w:rPr>
                <w:rFonts w:hint="eastAsia" w:ascii="仿宋_GB2312" w:hAnsi="仿宋_GB2312" w:eastAsia="仿宋_GB2312" w:cs="仿宋_GB2312"/>
                <w:b/>
                <w:color w:val="auto"/>
                <w:sz w:val="28"/>
                <w:szCs w:val="28"/>
                <w:highlight w:val="none"/>
                <w:lang w:val="en-US" w:eastAsia="zh-CN"/>
              </w:rPr>
              <w:t>单价（万元）</w:t>
            </w:r>
          </w:p>
        </w:tc>
        <w:tc>
          <w:tcPr>
            <w:tcW w:w="1778" w:type="dxa"/>
            <w:noWrap w:val="0"/>
            <w:vAlign w:val="center"/>
          </w:tcPr>
          <w:p w14:paraId="1D3A0493">
            <w:pPr>
              <w:pStyle w:val="7"/>
              <w:keepNext w:val="0"/>
              <w:keepLines w:val="0"/>
              <w:pageBreakBefore w:val="0"/>
              <w:kinsoku/>
              <w:wordWrap/>
              <w:overflowPunct/>
              <w:topLinePunct w:val="0"/>
              <w:bidi w:val="0"/>
              <w:snapToGrid/>
              <w:spacing w:after="0" w:line="560" w:lineRule="exact"/>
              <w:ind w:left="0" w:leftChars="0" w:firstLine="0" w:firstLineChars="0"/>
              <w:jc w:val="center"/>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总价（万元）</w:t>
            </w:r>
          </w:p>
        </w:tc>
        <w:tc>
          <w:tcPr>
            <w:tcW w:w="1594" w:type="dxa"/>
            <w:noWrap w:val="0"/>
            <w:vAlign w:val="center"/>
          </w:tcPr>
          <w:p w14:paraId="27B0DCC8">
            <w:pPr>
              <w:pStyle w:val="7"/>
              <w:keepNext w:val="0"/>
              <w:keepLines w:val="0"/>
              <w:pageBreakBefore w:val="0"/>
              <w:kinsoku/>
              <w:wordWrap/>
              <w:overflowPunct/>
              <w:topLinePunct w:val="0"/>
              <w:bidi w:val="0"/>
              <w:snapToGrid/>
              <w:spacing w:after="0" w:line="560" w:lineRule="exact"/>
              <w:ind w:left="0" w:leftChars="0" w:firstLine="0" w:firstLineChars="0"/>
              <w:jc w:val="center"/>
              <w:rPr>
                <w:rFonts w:hint="eastAsia" w:ascii="仿宋_GB2312" w:hAnsi="仿宋_GB2312" w:eastAsia="仿宋_GB2312" w:cs="仿宋_GB2312"/>
                <w:b/>
                <w:color w:val="auto"/>
                <w:sz w:val="28"/>
                <w:szCs w:val="28"/>
                <w:highlight w:val="none"/>
                <w:lang w:val="zh-TW" w:eastAsia="zh-CN"/>
              </w:rPr>
            </w:pPr>
            <w:r>
              <w:rPr>
                <w:rFonts w:hint="eastAsia" w:ascii="仿宋_GB2312" w:hAnsi="仿宋_GB2312" w:eastAsia="仿宋_GB2312" w:cs="仿宋_GB2312"/>
                <w:b/>
                <w:color w:val="auto"/>
                <w:sz w:val="28"/>
                <w:szCs w:val="28"/>
                <w:highlight w:val="none"/>
                <w:lang w:val="zh-TW" w:eastAsia="zh-CN"/>
              </w:rPr>
              <w:t>进口\国产</w:t>
            </w:r>
          </w:p>
        </w:tc>
      </w:tr>
      <w:tr w14:paraId="1ED9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0" w:type="dxa"/>
            <w:noWrap w:val="0"/>
            <w:vAlign w:val="center"/>
          </w:tcPr>
          <w:p w14:paraId="6A66AA58">
            <w:pPr>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
        </w:tc>
        <w:tc>
          <w:tcPr>
            <w:tcW w:w="2570" w:type="dxa"/>
            <w:noWrap w:val="0"/>
            <w:vAlign w:val="center"/>
          </w:tcPr>
          <w:p w14:paraId="78E8A6E6">
            <w:pPr>
              <w:spacing w:line="24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rtl w:val="0"/>
                <w:lang w:val="en-US" w:eastAsia="zh-CN" w:bidi="ar-SA"/>
              </w:rPr>
              <w:t>数字式心电图机</w:t>
            </w:r>
          </w:p>
        </w:tc>
        <w:tc>
          <w:tcPr>
            <w:tcW w:w="1145" w:type="dxa"/>
            <w:shd w:val="clear" w:color="auto" w:fill="auto"/>
            <w:noWrap w:val="0"/>
            <w:vAlign w:val="center"/>
          </w:tcPr>
          <w:p w14:paraId="7E4C96FA">
            <w:pPr>
              <w:spacing w:line="240" w:lineRule="auto"/>
              <w:jc w:val="center"/>
              <w:rPr>
                <w:rFonts w:hint="default" w:ascii="仿宋_GB2312" w:hAnsi="仿宋_GB2312" w:eastAsia="仿宋_GB2312" w:cs="仿宋_GB2312"/>
                <w:color w:val="auto"/>
                <w:kern w:val="2"/>
                <w:sz w:val="28"/>
                <w:szCs w:val="28"/>
                <w:highlight w:val="none"/>
                <w:rtl w:val="0"/>
                <w:lang w:val="en-US" w:eastAsia="zh-CN" w:bidi="ar-SA"/>
              </w:rPr>
            </w:pPr>
            <w:r>
              <w:rPr>
                <w:rFonts w:hint="eastAsia" w:ascii="仿宋_GB2312" w:hAnsi="仿宋_GB2312" w:eastAsia="仿宋_GB2312" w:cs="仿宋_GB2312"/>
                <w:color w:val="auto"/>
                <w:kern w:val="2"/>
                <w:sz w:val="28"/>
                <w:szCs w:val="28"/>
                <w:highlight w:val="none"/>
                <w:rtl w:val="0"/>
                <w:lang w:val="en-US" w:eastAsia="zh-CN" w:bidi="ar-SA"/>
              </w:rPr>
              <w:t>5套</w:t>
            </w:r>
          </w:p>
        </w:tc>
        <w:tc>
          <w:tcPr>
            <w:tcW w:w="1944" w:type="dxa"/>
            <w:shd w:val="clear" w:color="auto" w:fill="auto"/>
            <w:noWrap w:val="0"/>
            <w:vAlign w:val="center"/>
          </w:tcPr>
          <w:p w14:paraId="11F6C359">
            <w:pPr>
              <w:spacing w:line="240" w:lineRule="auto"/>
              <w:jc w:val="center"/>
              <w:rPr>
                <w:rFonts w:hint="default" w:ascii="仿宋_GB2312" w:hAnsi="仿宋_GB2312" w:eastAsia="仿宋_GB2312" w:cs="仿宋_GB2312"/>
                <w:color w:val="auto"/>
                <w:kern w:val="2"/>
                <w:sz w:val="28"/>
                <w:szCs w:val="28"/>
                <w:highlight w:val="none"/>
                <w:rtl w:val="0"/>
                <w:lang w:val="en-US" w:eastAsia="zh-CN" w:bidi="ar-SA"/>
              </w:rPr>
            </w:pPr>
          </w:p>
        </w:tc>
        <w:tc>
          <w:tcPr>
            <w:tcW w:w="1778" w:type="dxa"/>
            <w:noWrap w:val="0"/>
            <w:vAlign w:val="center"/>
          </w:tcPr>
          <w:p w14:paraId="72EAC23E">
            <w:pPr>
              <w:jc w:val="center"/>
              <w:rPr>
                <w:rFonts w:hint="eastAsia" w:ascii="仿宋_GB2312" w:hAnsi="仿宋_GB2312" w:eastAsia="仿宋_GB2312" w:cs="仿宋_GB2312"/>
                <w:color w:val="auto"/>
                <w:kern w:val="2"/>
                <w:sz w:val="28"/>
                <w:szCs w:val="28"/>
                <w:highlight w:val="none"/>
                <w:lang w:val="zh-TW" w:eastAsia="zh-CN" w:bidi="ar-SA"/>
              </w:rPr>
            </w:pPr>
          </w:p>
        </w:tc>
        <w:tc>
          <w:tcPr>
            <w:tcW w:w="1594" w:type="dxa"/>
            <w:noWrap w:val="0"/>
            <w:vAlign w:val="center"/>
          </w:tcPr>
          <w:p w14:paraId="531C1ACE">
            <w:pPr>
              <w:spacing w:line="240" w:lineRule="auto"/>
              <w:jc w:val="center"/>
              <w:rPr>
                <w:rFonts w:hint="eastAsia" w:ascii="仿宋_GB2312" w:hAnsi="仿宋_GB2312" w:eastAsia="仿宋_GB2312" w:cs="仿宋_GB2312"/>
                <w:color w:val="auto"/>
                <w:kern w:val="2"/>
                <w:sz w:val="28"/>
                <w:szCs w:val="28"/>
                <w:highlight w:val="none"/>
                <w:rtl w:val="0"/>
                <w:lang w:val="zh-TW" w:eastAsia="zh-CN" w:bidi="ar-SA"/>
              </w:rPr>
            </w:pPr>
            <w:r>
              <w:rPr>
                <w:rFonts w:hint="eastAsia" w:ascii="仿宋_GB2312" w:hAnsi="仿宋_GB2312" w:eastAsia="仿宋_GB2312" w:cs="仿宋_GB2312"/>
                <w:color w:val="auto"/>
                <w:kern w:val="2"/>
                <w:sz w:val="28"/>
                <w:szCs w:val="28"/>
                <w:highlight w:val="none"/>
                <w:rtl w:val="0"/>
                <w:lang w:val="zh-TW" w:eastAsia="zh-CN" w:bidi="ar-SA"/>
              </w:rPr>
              <w:t>国产</w:t>
            </w:r>
          </w:p>
        </w:tc>
      </w:tr>
    </w:tbl>
    <w:p w14:paraId="77354B09">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color w:val="auto"/>
          <w:sz w:val="32"/>
          <w:szCs w:val="32"/>
          <w:highlight w:val="none"/>
        </w:rPr>
      </w:pPr>
    </w:p>
    <w:p w14:paraId="0F113AFE">
      <w:pPr>
        <w:keepNext w:val="0"/>
        <w:keepLines w:val="0"/>
        <w:pageBreakBefore w:val="0"/>
        <w:numPr>
          <w:numId w:val="0"/>
        </w:numPr>
        <w:kinsoku/>
        <w:wordWrap/>
        <w:overflowPunct/>
        <w:topLinePunct w:val="0"/>
        <w:bidi w:val="0"/>
        <w:snapToGrid/>
        <w:spacing w:line="560" w:lineRule="exact"/>
        <w:ind w:left="420" w:leftChars="0"/>
        <w:outlineLvl w:val="1"/>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技术参数</w:t>
      </w:r>
    </w:p>
    <w:p w14:paraId="7E2A39EF">
      <w:pPr>
        <w:pStyle w:val="14"/>
        <w:rPr>
          <w:rFonts w:hint="eastAsia"/>
          <w:color w:val="auto"/>
        </w:rPr>
      </w:pP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67"/>
        <w:gridCol w:w="7559"/>
      </w:tblGrid>
      <w:tr w14:paraId="368A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top"/>
          </w:tcPr>
          <w:p w14:paraId="1A40366E">
            <w:pP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lang w:val="en-US" w:eastAsia="zh-CN"/>
              </w:rPr>
              <w:t>序号</w:t>
            </w:r>
          </w:p>
        </w:tc>
        <w:tc>
          <w:tcPr>
            <w:tcW w:w="1567" w:type="dxa"/>
            <w:noWrap w:val="0"/>
            <w:vAlign w:val="top"/>
          </w:tcPr>
          <w:p w14:paraId="31EDE40C">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设备名称</w:t>
            </w:r>
          </w:p>
        </w:tc>
        <w:tc>
          <w:tcPr>
            <w:tcW w:w="7559" w:type="dxa"/>
            <w:noWrap w:val="0"/>
            <w:vAlign w:val="top"/>
          </w:tcPr>
          <w:p w14:paraId="3A344EBB">
            <w:pPr>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lang w:val="en-US" w:eastAsia="zh-CN"/>
              </w:rPr>
              <w:t>技术参数要求</w:t>
            </w:r>
          </w:p>
        </w:tc>
      </w:tr>
      <w:tr w14:paraId="7046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14:paraId="16B8E5C7">
            <w:pPr>
              <w:spacing w:line="240" w:lineRule="auto"/>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w:t>
            </w:r>
          </w:p>
        </w:tc>
        <w:tc>
          <w:tcPr>
            <w:tcW w:w="1567" w:type="dxa"/>
            <w:noWrap w:val="0"/>
            <w:vAlign w:val="center"/>
          </w:tcPr>
          <w:p w14:paraId="494F453C">
            <w:pPr>
              <w:spacing w:line="240" w:lineRule="auto"/>
              <w:jc w:val="center"/>
              <w:rPr>
                <w:rFonts w:hint="eastAsia" w:ascii="方正仿宋_GB2312" w:hAnsi="方正仿宋_GB2312" w:eastAsia="方正仿宋_GB2312" w:cs="方正仿宋_GB2312"/>
                <w:color w:val="auto"/>
                <w:sz w:val="24"/>
                <w:szCs w:val="24"/>
                <w:vertAlign w:val="baseline"/>
                <w:rtl w:val="0"/>
                <w:lang w:val="en-US" w:eastAsia="zh-CN"/>
              </w:rPr>
            </w:pPr>
            <w:r>
              <w:rPr>
                <w:rFonts w:hint="eastAsia" w:ascii="方正仿宋_GB2312" w:hAnsi="方正仿宋_GB2312" w:eastAsia="方正仿宋_GB2312" w:cs="方正仿宋_GB2312"/>
                <w:color w:val="auto"/>
                <w:sz w:val="24"/>
                <w:szCs w:val="24"/>
                <w:vertAlign w:val="baseline"/>
                <w:rtl w:val="0"/>
                <w:lang w:val="en-US" w:eastAsia="zh-CN"/>
              </w:rPr>
              <w:t>数字式心电图机</w:t>
            </w:r>
          </w:p>
        </w:tc>
        <w:tc>
          <w:tcPr>
            <w:tcW w:w="7559" w:type="dxa"/>
            <w:noWrap w:val="0"/>
            <w:vAlign w:val="top"/>
          </w:tcPr>
          <w:p w14:paraId="50B0A0B4">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1)导联模式：Wilson体系;</w:t>
            </w:r>
          </w:p>
          <w:p w14:paraId="1F216057">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2)输入电路：浮地输入、具有除颤保护电路;</w:t>
            </w:r>
          </w:p>
          <w:p w14:paraId="4E320076">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3)采集方式：12导联同步采集;</w:t>
            </w:r>
          </w:p>
          <w:p w14:paraId="66C0B0AA">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4)灵敏度（增益）：5mm/mV、10mm/mV、20mm/mV,误差不超过±5%;</w:t>
            </w:r>
          </w:p>
          <w:p w14:paraId="7AC199DA">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5)走纸速度：12.5mm／s、25mm/s、50mm/s，误差不超过±5%;</w:t>
            </w:r>
          </w:p>
          <w:p w14:paraId="61B448A4">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6)共模抑制比：≧100dB;</w:t>
            </w:r>
          </w:p>
          <w:p w14:paraId="124A44E6">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7)滤波：无、标准、增强、标准（低通150）；</w:t>
            </w:r>
          </w:p>
          <w:p w14:paraId="69362A29">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8)显示屏：10.1寸电容式触摸彩色液晶屏，分辨率 1280x800像素 ；</w:t>
            </w:r>
          </w:p>
          <w:p w14:paraId="033C1086">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 xml:space="preserve">9)显示方式：支持12、18导心电波形显示； </w:t>
            </w:r>
          </w:p>
          <w:p w14:paraId="55682932">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10)数据存储：内部存储&gt;10000份病例，支持外接SD卡，支持U盘；</w:t>
            </w:r>
          </w:p>
          <w:p w14:paraId="56B2C900">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11)系统语言：中文、英文；</w:t>
            </w:r>
          </w:p>
          <w:p w14:paraId="48EED2C6">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12)具有导联脱落提示，可直观提示脱落导联，方便医生操作；</w:t>
            </w:r>
          </w:p>
          <w:p w14:paraId="2CA6D999">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13)具有待机功能，可手动唤醒；</w:t>
            </w:r>
          </w:p>
          <w:p w14:paraId="067BA881">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14)记录功能：热敏点阵打印；</w:t>
            </w:r>
          </w:p>
          <w:p w14:paraId="44FC13AB">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15)记录纸规格：210mm卷纸；</w:t>
            </w:r>
          </w:p>
          <w:p w14:paraId="21EB9D2D">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16)记录模式：自动、手动；</w:t>
            </w:r>
          </w:p>
          <w:p w14:paraId="5A9F9B7F">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17)屏幕显示内容：心电波形显示、心率、导联名称、走纸速度、增益、滤波器状态、系统时间、患者信息、电池电量。</w:t>
            </w:r>
          </w:p>
          <w:p w14:paraId="4552DB39">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18)时间偏移：98μs，幅度量化：0.04μV/LSB。</w:t>
            </w:r>
          </w:p>
          <w:p w14:paraId="4C1B1473">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19)数据传输：WLAN功能  IEEE 802.11 a/b/g/n ；以太网 10M/100M Base-T端口全双工/半双工自适应；蓝牙4.0双模、3.0、2.1+EDR；</w:t>
            </w:r>
          </w:p>
          <w:p w14:paraId="084F5BD9">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20)设备端口：1个USB接口（可存储数据、连接扫描枪）；1个SD卡插槽（可存储数据）；1个LAN网络接口；预留1个专用接口；预留1个HDMI专用接口；</w:t>
            </w:r>
          </w:p>
          <w:p w14:paraId="67EE013E">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21)可充电锂电池：DC 22.2V/2.6AH；</w:t>
            </w:r>
          </w:p>
          <w:p w14:paraId="7979B514">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22)具备WORKLIST功能，可从HIS一键提取待检查患者详细信息，减少手工录入；</w:t>
            </w:r>
          </w:p>
          <w:p w14:paraId="5F43B411">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23)支持心电图采集数据上传功能，在心电图采集完成后，可通过波形回放查看采集质量，确认后可上传至心电会诊中心，可设置自动上传或手动上传模式；</w:t>
            </w:r>
          </w:p>
          <w:p w14:paraId="4DE40A1A">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24)支持心电图报告结论同步功能，在会诊中心诊断完成后，诊断结论可实时同步至本机；</w:t>
            </w:r>
          </w:p>
          <w:p w14:paraId="1644D03B">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25)主机面板上具有物理快捷功能按钮，快捷完成新建病例、采集开始/停止、打印等功能。要求提供产品彩页证明及现场真实演示；</w:t>
            </w:r>
          </w:p>
          <w:p w14:paraId="38FB55E1">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26)支持快速心电功能，适用于急诊及紧急情况下，快速完成心电图的采集；</w:t>
            </w:r>
          </w:p>
          <w:p w14:paraId="55F40149">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27)具备波形预采功能，可用于捕捉偶发、一过性的心律失常事件，预采集时间可进行设置；</w:t>
            </w:r>
          </w:p>
          <w:p w14:paraId="1E22AB4D">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28)具备导联脱落功能，可提示导联脱落；要求提供医疗器械注册证或其附件的复印件并圈出相应文字内容证明；</w:t>
            </w:r>
          </w:p>
          <w:p w14:paraId="5B685E72">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29)具备自动记录功能，自动记录菜单中包括：10秒、15秒、20秒、30秒、1分钟、3分钟、</w:t>
            </w:r>
            <w:r>
              <w:rPr>
                <w:rFonts w:hint="eastAsia" w:ascii="方正仿宋_GB2312" w:hAnsi="方正仿宋_GB2312" w:eastAsia="方正仿宋_GB2312" w:cs="方正仿宋_GB2312"/>
                <w:color w:val="auto"/>
                <w:sz w:val="24"/>
                <w:szCs w:val="24"/>
                <w:lang w:val="en-US" w:eastAsia="zh-CN"/>
              </w:rPr>
              <w:tab/>
            </w:r>
            <w:r>
              <w:rPr>
                <w:rFonts w:hint="eastAsia" w:ascii="方正仿宋_GB2312" w:hAnsi="方正仿宋_GB2312" w:eastAsia="方正仿宋_GB2312" w:cs="方正仿宋_GB2312"/>
                <w:color w:val="auto"/>
                <w:sz w:val="24"/>
                <w:szCs w:val="24"/>
                <w:lang w:val="en-US" w:eastAsia="zh-CN"/>
              </w:rPr>
              <w:t>5分钟；要求提供医疗器械注册证或其附件的复印件并圈出相应文字内容证明；</w:t>
            </w:r>
          </w:p>
          <w:p w14:paraId="0F68D085">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30)数据传输：数据可通过无线和有线两种方式完成数据上传；要求提供医疗器械注册证或其附件的复印件并圈出相应文字内容证明；</w:t>
            </w:r>
          </w:p>
          <w:p w14:paraId="6C415DB3">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31)数据接口：数据可通过无线网络或有限网络基于TCP/IP传输协议以XML、HL7、DICOM、EDF格式进行传输；要求提供医疗器械注册证或其附件的复印件并圈出相应文字内容证明；</w:t>
            </w:r>
          </w:p>
          <w:p w14:paraId="74BFA1A8">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32)具备用户访问控制：系统可分为操作员、管理员两种角色：管理员主要负责功能设置、用户管理功能；操作员主要使用业务功能完成检查。系统登录有密码访问验证，没有授权的操作用户无法使用系统。要求提供医疗器械注册证或其附件的复印件并圈出相应文字内容证明；</w:t>
            </w:r>
          </w:p>
          <w:p w14:paraId="36648107">
            <w:pP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32)</w:t>
            </w:r>
            <w:r>
              <w:rPr>
                <w:rFonts w:hint="eastAsia" w:ascii="方正仿宋_GB2312" w:hAnsi="方正仿宋_GB2312" w:eastAsia="方正仿宋_GB2312" w:cs="方正仿宋_GB2312"/>
                <w:color w:val="auto"/>
                <w:kern w:val="2"/>
                <w:sz w:val="24"/>
                <w:szCs w:val="24"/>
                <w:lang w:val="en-US" w:eastAsia="zh-CN" w:bidi="ar-SA"/>
              </w:rPr>
              <w:t>每套配置：主机、吸球、夹子、导联线、电源线、专业台车、无线路由器</w:t>
            </w:r>
          </w:p>
        </w:tc>
      </w:tr>
      <w:tr w14:paraId="6223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14:paraId="123E9F84">
            <w:pPr>
              <w:spacing w:line="240" w:lineRule="auto"/>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w:t>
            </w:r>
          </w:p>
        </w:tc>
        <w:tc>
          <w:tcPr>
            <w:tcW w:w="1567" w:type="dxa"/>
            <w:noWrap w:val="0"/>
            <w:vAlign w:val="center"/>
          </w:tcPr>
          <w:p w14:paraId="61C3A2CF">
            <w:pPr>
              <w:spacing w:line="240" w:lineRule="auto"/>
              <w:jc w:val="center"/>
              <w:rPr>
                <w:rFonts w:hint="eastAsia" w:ascii="方正仿宋_GB2312" w:hAnsi="方正仿宋_GB2312" w:eastAsia="方正仿宋_GB2312" w:cs="方正仿宋_GB2312"/>
                <w:color w:val="auto"/>
                <w:sz w:val="24"/>
                <w:szCs w:val="24"/>
                <w:vertAlign w:val="baseline"/>
                <w:rtl w:val="0"/>
                <w:lang w:val="en-US" w:eastAsia="zh-CN"/>
              </w:rPr>
            </w:pPr>
            <w:r>
              <w:rPr>
                <w:rFonts w:hint="eastAsia" w:ascii="方正仿宋_GB2312" w:hAnsi="方正仿宋_GB2312" w:eastAsia="方正仿宋_GB2312" w:cs="方正仿宋_GB2312"/>
                <w:color w:val="auto"/>
                <w:sz w:val="24"/>
                <w:szCs w:val="24"/>
                <w:vertAlign w:val="baseline"/>
                <w:rtl w:val="0"/>
                <w:lang w:val="en-US" w:eastAsia="zh-CN"/>
              </w:rPr>
              <w:t>接口费</w:t>
            </w:r>
          </w:p>
        </w:tc>
        <w:tc>
          <w:tcPr>
            <w:tcW w:w="7559" w:type="dxa"/>
            <w:noWrap w:val="0"/>
            <w:vAlign w:val="top"/>
          </w:tcPr>
          <w:p w14:paraId="07BE74FF">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包括但不限于以下接口，涉及第三方接口费用的由中标供应商承担全部接口费用：</w:t>
            </w:r>
          </w:p>
          <w:p w14:paraId="5CD680B9">
            <w:pPr>
              <w:spacing w:line="24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⑴、院内HIS、无纸化病案、体检系统接口费用；</w:t>
            </w:r>
          </w:p>
          <w:p w14:paraId="16FFE163">
            <w:pPr>
              <w:spacing w:line="240" w:lineRule="auto"/>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⑵、所提供设备必须可以接入院内心电信息管理系统。</w:t>
            </w:r>
          </w:p>
        </w:tc>
      </w:tr>
    </w:tbl>
    <w:p w14:paraId="1C245E39">
      <w:pPr>
        <w:keepNext w:val="0"/>
        <w:keepLines w:val="0"/>
        <w:pageBreakBefore w:val="0"/>
        <w:numPr>
          <w:ilvl w:val="0"/>
          <w:numId w:val="3"/>
        </w:numPr>
        <w:kinsoku/>
        <w:wordWrap/>
        <w:overflowPunct/>
        <w:topLinePunct w:val="0"/>
        <w:bidi w:val="0"/>
        <w:snapToGrid/>
        <w:spacing w:line="560" w:lineRule="exact"/>
        <w:ind w:left="0" w:leftChars="0" w:firstLine="420" w:firstLineChars="0"/>
        <w:outlineLvl w:val="1"/>
        <w:rPr>
          <w:rFonts w:hint="eastAsia" w:ascii="仿宋_GB2312" w:hAnsi="仿宋_GB2312" w:eastAsia="仿宋_GB2312" w:cs="仿宋_GB2312"/>
          <w:b/>
          <w:bCs/>
          <w:color w:val="auto"/>
          <w:sz w:val="30"/>
          <w:szCs w:val="30"/>
          <w:highlight w:val="none"/>
          <w:lang w:val="en-US" w:eastAsia="zh-CN"/>
        </w:rPr>
        <w:sectPr>
          <w:pgSz w:w="11907" w:h="16840"/>
          <w:pgMar w:top="1440" w:right="1077" w:bottom="1440" w:left="1077" w:header="964" w:footer="992" w:gutter="0"/>
          <w:pgBorders>
            <w:top w:val="none" w:sz="0" w:space="0"/>
            <w:left w:val="none" w:sz="0" w:space="0"/>
            <w:bottom w:val="none" w:sz="0" w:space="0"/>
            <w:right w:val="none" w:sz="0" w:space="0"/>
          </w:pgBorders>
          <w:pgNumType w:start="1"/>
          <w:cols w:space="720" w:num="1"/>
          <w:docGrid w:linePitch="354" w:charSpace="0"/>
        </w:sectPr>
      </w:pPr>
    </w:p>
    <w:p w14:paraId="0353261D">
      <w:pPr>
        <w:keepNext w:val="0"/>
        <w:keepLines w:val="0"/>
        <w:pageBreakBefore w:val="0"/>
        <w:widowControl w:val="0"/>
        <w:numPr>
          <w:ilvl w:val="0"/>
          <w:numId w:val="3"/>
        </w:numPr>
        <w:kinsoku/>
        <w:wordWrap/>
        <w:overflowPunct/>
        <w:topLinePunct w:val="0"/>
        <w:autoSpaceDE/>
        <w:autoSpaceDN/>
        <w:bidi w:val="0"/>
        <w:adjustRightInd/>
        <w:snapToGrid/>
        <w:spacing w:after="355" w:afterLines="100" w:line="560" w:lineRule="exact"/>
        <w:ind w:left="0" w:leftChars="0" w:firstLine="420" w:firstLineChars="0"/>
        <w:textAlignment w:val="auto"/>
        <w:outlineLvl w:val="1"/>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售后服务</w:t>
      </w:r>
    </w:p>
    <w:p w14:paraId="7C08D9C3">
      <w:pPr>
        <w:pStyle w:val="21"/>
        <w:widowControl/>
        <w:numPr>
          <w:ilvl w:val="0"/>
          <w:numId w:val="4"/>
        </w:numPr>
        <w:spacing w:line="360" w:lineRule="auto"/>
        <w:ind w:left="0" w:leftChars="0"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highlight w:val="none"/>
        </w:rPr>
        <w:t>中标人为本项目提供三年免费质保服务。</w:t>
      </w:r>
      <w:r>
        <w:rPr>
          <w:rFonts w:hint="eastAsia" w:ascii="仿宋_GB2312" w:hAnsi="仿宋_GB2312" w:eastAsia="仿宋_GB2312" w:cs="仿宋_GB2312"/>
          <w:color w:val="auto"/>
          <w:kern w:val="2"/>
          <w:sz w:val="28"/>
          <w:szCs w:val="28"/>
          <w:lang w:val="en-US" w:eastAsia="zh-CN" w:bidi="ar-SA"/>
        </w:rPr>
        <w:t>质保期内安排参与过本项目有资质、资历的工程师维护。</w:t>
      </w:r>
    </w:p>
    <w:p w14:paraId="26C082E6">
      <w:pPr>
        <w:pStyle w:val="21"/>
        <w:widowControl/>
        <w:numPr>
          <w:ilvl w:val="0"/>
          <w:numId w:val="4"/>
        </w:numPr>
        <w:spacing w:line="360" w:lineRule="auto"/>
        <w:ind w:left="0" w:leftChars="0"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质保期结束后，中标供应商需保证7*24小时的服务响应，响应时间不得低于如下标准：接到院方的通知后4小时内必须做出明确的响应和安排；8小时内做出故障诊断报告，常规故障12小时内必须解决。需提供现场服务的，服务团队须在24小时内达到故障现场，</w:t>
      </w:r>
    </w:p>
    <w:p w14:paraId="394AA818">
      <w:pPr>
        <w:keepNext w:val="0"/>
        <w:keepLines w:val="0"/>
        <w:pageBreakBefore w:val="0"/>
        <w:numPr>
          <w:ilvl w:val="0"/>
          <w:numId w:val="4"/>
        </w:numPr>
        <w:kinsoku/>
        <w:wordWrap/>
        <w:overflowPunct/>
        <w:topLinePunct w:val="0"/>
        <w:autoSpaceDE w:val="0"/>
        <w:autoSpaceDN w:val="0"/>
        <w:bidi w:val="0"/>
        <w:adjustRightInd w:val="0"/>
        <w:snapToGrid/>
        <w:spacing w:line="560" w:lineRule="exact"/>
        <w:ind w:left="0" w:leftChars="0"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中标人须提供完善的培训方案，面向医护人员、管理者、系统管理员、维护人员等不同角色分批提供培训课程，帮助其掌握使用、操作、维护等内容。</w:t>
      </w:r>
    </w:p>
    <w:p w14:paraId="6EDB68C3">
      <w:pPr>
        <w:keepNext w:val="0"/>
        <w:keepLines w:val="0"/>
        <w:pageBreakBefore w:val="0"/>
        <w:kinsoku/>
        <w:wordWrap/>
        <w:overflowPunct/>
        <w:topLinePunct w:val="0"/>
        <w:autoSpaceDE w:val="0"/>
        <w:autoSpaceDN w:val="0"/>
        <w:bidi w:val="0"/>
        <w:adjustRightInd w:val="0"/>
        <w:snapToGrid/>
        <w:spacing w:line="560" w:lineRule="exact"/>
        <w:ind w:firstLine="560" w:firstLineChars="200"/>
        <w:jc w:val="left"/>
        <w:rPr>
          <w:rFonts w:hint="eastAsia" w:ascii="仿宋_GB2312" w:hAnsi="仿宋_GB2312" w:eastAsia="仿宋_GB2312" w:cs="仿宋_GB2312"/>
          <w:color w:val="auto"/>
          <w:sz w:val="28"/>
          <w:szCs w:val="28"/>
          <w:highlight w:val="none"/>
        </w:rPr>
      </w:pPr>
    </w:p>
    <w:p w14:paraId="042E4689">
      <w:pPr>
        <w:keepNext w:val="0"/>
        <w:keepLines w:val="0"/>
        <w:pageBreakBefore w:val="0"/>
        <w:widowControl w:val="0"/>
        <w:numPr>
          <w:ilvl w:val="0"/>
          <w:numId w:val="3"/>
        </w:numPr>
        <w:kinsoku/>
        <w:wordWrap/>
        <w:overflowPunct/>
        <w:topLinePunct w:val="0"/>
        <w:autoSpaceDE/>
        <w:autoSpaceDN/>
        <w:bidi w:val="0"/>
        <w:adjustRightInd/>
        <w:snapToGrid/>
        <w:spacing w:after="355" w:afterLines="100" w:line="560" w:lineRule="exact"/>
        <w:ind w:left="0" w:leftChars="0" w:firstLine="420" w:firstLineChars="0"/>
        <w:textAlignment w:val="auto"/>
        <w:outlineLvl w:val="1"/>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服务标准及考核办法</w:t>
      </w:r>
    </w:p>
    <w:p w14:paraId="737E19AC">
      <w:pPr>
        <w:pStyle w:val="21"/>
        <w:widowControl/>
        <w:numPr>
          <w:ilvl w:val="0"/>
          <w:numId w:val="5"/>
        </w:numPr>
        <w:spacing w:line="360" w:lineRule="auto"/>
        <w:ind w:left="0" w:leftChars="0"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中标人需免费向用户方提供必要软件升级的服务,中标人需向用户提供备用件，保证不影响用户的正常使用；</w:t>
      </w:r>
    </w:p>
    <w:p w14:paraId="67498DF1">
      <w:pPr>
        <w:pStyle w:val="21"/>
        <w:widowControl/>
        <w:numPr>
          <w:ilvl w:val="0"/>
          <w:numId w:val="5"/>
        </w:numPr>
        <w:spacing w:line="360" w:lineRule="auto"/>
        <w:ind w:left="0" w:leftChars="0"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中标人必须保证系统运行的日常监控，及时发现和排除故障，保证一线技术支持人员7×24小时的售后服务。</w:t>
      </w:r>
    </w:p>
    <w:p w14:paraId="38142881">
      <w:pPr>
        <w:pStyle w:val="21"/>
        <w:widowControl/>
        <w:numPr>
          <w:ilvl w:val="0"/>
          <w:numId w:val="5"/>
        </w:numPr>
        <w:spacing w:line="360" w:lineRule="auto"/>
        <w:ind w:left="0" w:leftChars="0"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在质保期结束前，须进行一次全面检查，任何缺陷必须由中标人负责调试完善，在完善之后，项目实施方应将缺陷原因、完善内容、完成及恢复正常的时间和日期等报告给业主。</w:t>
      </w:r>
    </w:p>
    <w:p w14:paraId="3EE4397E">
      <w:pPr>
        <w:pStyle w:val="19"/>
        <w:keepNext w:val="0"/>
        <w:keepLines w:val="0"/>
        <w:pageBreakBefore w:val="0"/>
        <w:numPr>
          <w:ilvl w:val="0"/>
          <w:numId w:val="0"/>
        </w:numPr>
        <w:kinsoku/>
        <w:wordWrap/>
        <w:overflowPunct/>
        <w:topLinePunct w:val="0"/>
        <w:bidi w:val="0"/>
        <w:snapToGrid/>
        <w:spacing w:line="560" w:lineRule="exact"/>
        <w:ind w:left="641" w:leftChars="0"/>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服务地点</w:t>
      </w:r>
    </w:p>
    <w:p w14:paraId="0AB6E892">
      <w:pPr>
        <w:pStyle w:val="19"/>
        <w:keepNext w:val="0"/>
        <w:keepLines w:val="0"/>
        <w:pageBreakBefore w:val="0"/>
        <w:numPr>
          <w:ilvl w:val="0"/>
          <w:numId w:val="0"/>
        </w:numPr>
        <w:kinsoku/>
        <w:wordWrap/>
        <w:overflowPunct/>
        <w:topLinePunct w:val="0"/>
        <w:bidi w:val="0"/>
        <w:snapToGrid/>
        <w:spacing w:line="560" w:lineRule="exact"/>
        <w:ind w:left="641" w:leftChars="0"/>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和静县人民医院</w:t>
      </w:r>
    </w:p>
    <w:p w14:paraId="0B770AEA">
      <w:pPr>
        <w:pStyle w:val="19"/>
        <w:keepNext w:val="0"/>
        <w:keepLines w:val="0"/>
        <w:pageBreakBefore w:val="0"/>
        <w:numPr>
          <w:ilvl w:val="0"/>
          <w:numId w:val="0"/>
        </w:numPr>
        <w:kinsoku/>
        <w:wordWrap/>
        <w:overflowPunct/>
        <w:topLinePunct w:val="0"/>
        <w:bidi w:val="0"/>
        <w:snapToGrid/>
        <w:spacing w:line="560" w:lineRule="exact"/>
        <w:ind w:left="641" w:leftChars="0"/>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交货要求</w:t>
      </w:r>
    </w:p>
    <w:p w14:paraId="2E678BB8">
      <w:pPr>
        <w:keepNext w:val="0"/>
        <w:keepLines w:val="0"/>
        <w:pageBreakBefore w:val="0"/>
        <w:kinsoku/>
        <w:wordWrap/>
        <w:overflowPunct/>
        <w:topLinePunct w:val="0"/>
        <w:bidi w:val="0"/>
        <w:snapToGrid/>
        <w:spacing w:line="560" w:lineRule="exact"/>
        <w:ind w:firstLine="495" w:firstLineChars="17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签订合同后</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天内完成</w:t>
      </w:r>
      <w:r>
        <w:rPr>
          <w:rFonts w:hint="eastAsia" w:ascii="仿宋_GB2312" w:hAnsi="仿宋_GB2312" w:eastAsia="仿宋_GB2312" w:cs="仿宋_GB2312"/>
          <w:color w:val="auto"/>
          <w:sz w:val="28"/>
          <w:szCs w:val="28"/>
          <w:highlight w:val="none"/>
          <w:lang w:val="en-US" w:eastAsia="zh-CN"/>
        </w:rPr>
        <w:t>项目整体的</w:t>
      </w:r>
      <w:r>
        <w:rPr>
          <w:rFonts w:hint="eastAsia" w:ascii="仿宋_GB2312" w:hAnsi="仿宋_GB2312" w:eastAsia="仿宋_GB2312" w:cs="仿宋_GB2312"/>
          <w:color w:val="auto"/>
          <w:sz w:val="28"/>
          <w:szCs w:val="28"/>
          <w:highlight w:val="none"/>
        </w:rPr>
        <w:t>供货调试安装工作。</w:t>
      </w:r>
    </w:p>
    <w:p w14:paraId="5371AF0A">
      <w:pPr>
        <w:keepNext w:val="0"/>
        <w:keepLines w:val="0"/>
        <w:pageBreakBefore w:val="0"/>
        <w:kinsoku/>
        <w:wordWrap/>
        <w:overflowPunct/>
        <w:topLinePunct w:val="0"/>
        <w:bidi w:val="0"/>
        <w:snapToGrid/>
        <w:spacing w:line="560" w:lineRule="exact"/>
        <w:ind w:firstLine="495" w:firstLineChars="17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投标人必须承担的设备运输、安装调试、验收检测和提供设备操作说明书等其他</w:t>
      </w:r>
    </w:p>
    <w:p w14:paraId="042B25C6">
      <w:pPr>
        <w:keepNext w:val="0"/>
        <w:keepLines w:val="0"/>
        <w:pageBreakBefore w:val="0"/>
        <w:kinsoku/>
        <w:wordWrap/>
        <w:overflowPunct/>
        <w:topLinePunct w:val="0"/>
        <w:bidi w:val="0"/>
        <w:snapToGrid/>
        <w:spacing w:line="560" w:lineRule="exact"/>
        <w:ind w:firstLine="566" w:firstLineChars="177"/>
        <w:rPr>
          <w:rFonts w:hint="eastAsia" w:ascii="仿宋_GB2312" w:hAnsi="仿宋_GB2312" w:eastAsia="仿宋_GB2312" w:cs="仿宋_GB2312"/>
          <w:color w:val="auto"/>
          <w:sz w:val="32"/>
          <w:szCs w:val="32"/>
          <w:highlight w:val="none"/>
        </w:rPr>
      </w:pPr>
    </w:p>
    <w:p w14:paraId="2414DD61">
      <w:pPr>
        <w:keepNext w:val="0"/>
        <w:keepLines w:val="0"/>
        <w:pageBreakBefore w:val="0"/>
        <w:numPr>
          <w:ilvl w:val="0"/>
          <w:numId w:val="3"/>
        </w:numPr>
        <w:kinsoku/>
        <w:wordWrap/>
        <w:overflowPunct/>
        <w:topLinePunct w:val="0"/>
        <w:bidi w:val="0"/>
        <w:snapToGrid/>
        <w:spacing w:line="560" w:lineRule="exact"/>
        <w:ind w:left="0" w:leftChars="0" w:firstLine="420" w:firstLineChars="0"/>
        <w:outlineLvl w:val="1"/>
        <w:rPr>
          <w:rFonts w:hint="default" w:ascii="仿宋_GB2312" w:hAnsi="仿宋_GB2312" w:eastAsia="仿宋_GB2312" w:cs="仿宋_GB2312"/>
          <w:b/>
          <w:bCs/>
          <w:color w:val="auto"/>
          <w:sz w:val="30"/>
          <w:szCs w:val="30"/>
          <w:highlight w:val="none"/>
          <w:lang w:val="en-US" w:eastAsia="zh-CN"/>
        </w:rPr>
      </w:pPr>
      <w:r>
        <w:rPr>
          <w:rFonts w:hint="default" w:ascii="仿宋_GB2312" w:hAnsi="仿宋_GB2312" w:eastAsia="仿宋_GB2312" w:cs="仿宋_GB2312"/>
          <w:b/>
          <w:bCs/>
          <w:color w:val="auto"/>
          <w:sz w:val="30"/>
          <w:szCs w:val="30"/>
          <w:highlight w:val="none"/>
          <w:lang w:val="en-US" w:eastAsia="zh-CN"/>
        </w:rPr>
        <w:t>验收方式</w:t>
      </w:r>
      <w:r>
        <w:rPr>
          <w:rFonts w:hint="eastAsia" w:ascii="仿宋_GB2312" w:hAnsi="仿宋_GB2312" w:eastAsia="仿宋_GB2312" w:cs="仿宋_GB2312"/>
          <w:b/>
          <w:bCs/>
          <w:color w:val="auto"/>
          <w:sz w:val="30"/>
          <w:szCs w:val="30"/>
          <w:highlight w:val="none"/>
          <w:lang w:val="en-US" w:eastAsia="zh-CN"/>
        </w:rPr>
        <w:t>及标准</w:t>
      </w:r>
    </w:p>
    <w:p w14:paraId="7DE1D939">
      <w:pPr>
        <w:keepNext w:val="0"/>
        <w:keepLines w:val="0"/>
        <w:pageBreakBefore w:val="0"/>
        <w:kinsoku/>
        <w:wordWrap/>
        <w:overflowPunct/>
        <w:topLinePunct w:val="0"/>
        <w:bidi w:val="0"/>
        <w:snapToGrid/>
        <w:spacing w:line="560" w:lineRule="exact"/>
        <w:ind w:firstLine="498" w:firstLineChars="177"/>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验收方式：</w:t>
      </w:r>
    </w:p>
    <w:p w14:paraId="35EE1792">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1. 文档审查</w:t>
      </w:r>
    </w:p>
    <w:p w14:paraId="04C49C9D">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审查项目相关的技术文档，包括需求规格说明书、设计文档、测试报告等，确保项目的实施符合规划要求。</w:t>
      </w:r>
    </w:p>
    <w:p w14:paraId="610B7B43">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 系统功能测试</w:t>
      </w:r>
    </w:p>
    <w:p w14:paraId="4AEEC008">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对心电系统的各项功能进行实际操作测试，如心电数据的采集、传输、存储、分析、报告生成等功能是否正常运行。</w:t>
      </w:r>
    </w:p>
    <w:p w14:paraId="41B52E07">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3. 现场检查</w:t>
      </w:r>
    </w:p>
    <w:p w14:paraId="7FBC7FAA">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实地查看</w:t>
      </w:r>
      <w:r>
        <w:rPr>
          <w:rFonts w:hint="eastAsia" w:ascii="仿宋_GB2312" w:hAnsi="仿宋_GB2312" w:eastAsia="仿宋_GB2312" w:cs="仿宋_GB2312"/>
          <w:color w:val="auto"/>
          <w:sz w:val="28"/>
          <w:szCs w:val="28"/>
          <w:highlight w:val="none"/>
          <w:lang w:val="en-US" w:eastAsia="zh-CN"/>
        </w:rPr>
        <w:t>所投标产品是否以原始数据接入院内心电信息管理系统，检查申请及检查报告是否与院内各相关联业务系统集成</w:t>
      </w:r>
      <w:r>
        <w:rPr>
          <w:rFonts w:hint="default" w:ascii="仿宋_GB2312" w:hAnsi="仿宋_GB2312" w:eastAsia="仿宋_GB2312" w:cs="仿宋_GB2312"/>
          <w:color w:val="auto"/>
          <w:sz w:val="28"/>
          <w:szCs w:val="28"/>
          <w:highlight w:val="none"/>
          <w:lang w:val="en-US" w:eastAsia="zh-CN"/>
        </w:rPr>
        <w:t>。</w:t>
      </w:r>
    </w:p>
    <w:p w14:paraId="3362C7EB">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4. 用户反馈</w:t>
      </w:r>
    </w:p>
    <w:p w14:paraId="019E1B01">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收集医护人员、患者等用户的使用反馈，了解系统的易用性、稳定性和实用性。</w:t>
      </w:r>
    </w:p>
    <w:p w14:paraId="644FB919">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b/>
          <w:bCs/>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 </w:t>
      </w:r>
      <w:r>
        <w:rPr>
          <w:rFonts w:hint="default" w:ascii="仿宋_GB2312" w:hAnsi="仿宋_GB2312" w:eastAsia="仿宋_GB2312" w:cs="仿宋_GB2312"/>
          <w:b/>
          <w:bCs/>
          <w:color w:val="auto"/>
          <w:sz w:val="28"/>
          <w:szCs w:val="28"/>
          <w:highlight w:val="none"/>
          <w:lang w:val="en-US" w:eastAsia="zh-CN"/>
        </w:rPr>
        <w:t>验收标准</w:t>
      </w:r>
      <w:r>
        <w:rPr>
          <w:rFonts w:hint="eastAsia" w:ascii="仿宋_GB2312" w:hAnsi="仿宋_GB2312" w:eastAsia="仿宋_GB2312" w:cs="仿宋_GB2312"/>
          <w:b/>
          <w:bCs/>
          <w:color w:val="auto"/>
          <w:sz w:val="28"/>
          <w:szCs w:val="28"/>
          <w:highlight w:val="none"/>
          <w:lang w:val="en-US" w:eastAsia="zh-CN"/>
        </w:rPr>
        <w:t>：</w:t>
      </w:r>
    </w:p>
    <w:p w14:paraId="0F93A46D">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 1. 功能标准</w:t>
      </w:r>
    </w:p>
    <w:p w14:paraId="78F6461C">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⑴</w:t>
      </w:r>
      <w:r>
        <w:rPr>
          <w:rFonts w:hint="default" w:ascii="仿宋_GB2312" w:hAnsi="仿宋_GB2312" w:eastAsia="仿宋_GB2312" w:cs="仿宋_GB2312"/>
          <w:color w:val="auto"/>
          <w:sz w:val="28"/>
          <w:szCs w:val="28"/>
          <w:highlight w:val="none"/>
          <w:lang w:val="en-US" w:eastAsia="zh-CN"/>
        </w:rPr>
        <w:t>心电数据采集准确，信号质量良好。</w:t>
      </w:r>
    </w:p>
    <w:p w14:paraId="5A0C262C">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⑵</w:t>
      </w:r>
      <w:r>
        <w:rPr>
          <w:rFonts w:hint="default" w:ascii="仿宋_GB2312" w:hAnsi="仿宋_GB2312" w:eastAsia="仿宋_GB2312" w:cs="仿宋_GB2312"/>
          <w:color w:val="auto"/>
          <w:sz w:val="28"/>
          <w:szCs w:val="28"/>
          <w:highlight w:val="none"/>
          <w:lang w:val="en-US" w:eastAsia="zh-CN"/>
        </w:rPr>
        <w:t>数据传输稳定、快速，无丢失或错误。</w:t>
      </w:r>
    </w:p>
    <w:p w14:paraId="71170F8E">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⑶</w:t>
      </w:r>
      <w:r>
        <w:rPr>
          <w:rFonts w:hint="default" w:ascii="仿宋_GB2312" w:hAnsi="仿宋_GB2312" w:eastAsia="仿宋_GB2312" w:cs="仿宋_GB2312"/>
          <w:color w:val="auto"/>
          <w:sz w:val="28"/>
          <w:szCs w:val="28"/>
          <w:highlight w:val="none"/>
          <w:lang w:val="en-US" w:eastAsia="zh-CN"/>
        </w:rPr>
        <w:t>能够准确进行心电分析，提供可靠的诊断建议。</w:t>
      </w:r>
    </w:p>
    <w:p w14:paraId="4641D16E">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⑷</w:t>
      </w:r>
      <w:r>
        <w:rPr>
          <w:rFonts w:hint="default" w:ascii="仿宋_GB2312" w:hAnsi="仿宋_GB2312" w:eastAsia="仿宋_GB2312" w:cs="仿宋_GB2312"/>
          <w:color w:val="auto"/>
          <w:sz w:val="28"/>
          <w:szCs w:val="28"/>
          <w:highlight w:val="none"/>
          <w:lang w:val="en-US" w:eastAsia="zh-CN"/>
        </w:rPr>
        <w:t>报告生成规范、清晰，包含必要的信息。</w:t>
      </w:r>
    </w:p>
    <w:p w14:paraId="6CC21597">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 性能标准</w:t>
      </w:r>
    </w:p>
    <w:p w14:paraId="15407363">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⑴</w:t>
      </w:r>
      <w:r>
        <w:rPr>
          <w:rFonts w:hint="default" w:ascii="仿宋_GB2312" w:hAnsi="仿宋_GB2312" w:eastAsia="仿宋_GB2312" w:cs="仿宋_GB2312"/>
          <w:color w:val="auto"/>
          <w:sz w:val="28"/>
          <w:szCs w:val="28"/>
          <w:highlight w:val="none"/>
          <w:lang w:val="en-US" w:eastAsia="zh-CN"/>
        </w:rPr>
        <w:t>系统响应时间短，满足临床工作的效率要求。</w:t>
      </w:r>
    </w:p>
    <w:p w14:paraId="11CB07A0">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⑵</w:t>
      </w:r>
      <w:r>
        <w:rPr>
          <w:rFonts w:hint="default" w:ascii="仿宋_GB2312" w:hAnsi="仿宋_GB2312" w:eastAsia="仿宋_GB2312" w:cs="仿宋_GB2312"/>
          <w:color w:val="auto"/>
          <w:sz w:val="28"/>
          <w:szCs w:val="28"/>
          <w:highlight w:val="none"/>
          <w:lang w:val="en-US" w:eastAsia="zh-CN"/>
        </w:rPr>
        <w:t>具备高可靠性和稳定性，能够长时间不间断运行。</w:t>
      </w:r>
    </w:p>
    <w:p w14:paraId="72DE3ECB">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⑶</w:t>
      </w:r>
      <w:r>
        <w:rPr>
          <w:rFonts w:hint="default" w:ascii="仿宋_GB2312" w:hAnsi="仿宋_GB2312" w:eastAsia="仿宋_GB2312" w:cs="仿宋_GB2312"/>
          <w:color w:val="auto"/>
          <w:sz w:val="28"/>
          <w:szCs w:val="28"/>
          <w:highlight w:val="none"/>
          <w:lang w:val="en-US" w:eastAsia="zh-CN"/>
        </w:rPr>
        <w:t>数据存储安全可靠，易于查询和管理。</w:t>
      </w:r>
    </w:p>
    <w:p w14:paraId="2E8A2AB8">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3. 安全标准</w:t>
      </w:r>
    </w:p>
    <w:p w14:paraId="44924BA0">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⑴</w:t>
      </w:r>
      <w:r>
        <w:rPr>
          <w:rFonts w:hint="default" w:ascii="仿宋_GB2312" w:hAnsi="仿宋_GB2312" w:eastAsia="仿宋_GB2312" w:cs="仿宋_GB2312"/>
          <w:color w:val="auto"/>
          <w:sz w:val="28"/>
          <w:szCs w:val="28"/>
          <w:highlight w:val="none"/>
          <w:lang w:val="en-US" w:eastAsia="zh-CN"/>
        </w:rPr>
        <w:t>具备完善的用户权限管理机制，确保数据的保密性和安全性。</w:t>
      </w:r>
    </w:p>
    <w:p w14:paraId="31341433">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⑵</w:t>
      </w:r>
      <w:r>
        <w:rPr>
          <w:rFonts w:hint="default" w:ascii="仿宋_GB2312" w:hAnsi="仿宋_GB2312" w:eastAsia="仿宋_GB2312" w:cs="仿宋_GB2312"/>
          <w:color w:val="auto"/>
          <w:sz w:val="28"/>
          <w:szCs w:val="28"/>
          <w:highlight w:val="none"/>
          <w:lang w:val="en-US" w:eastAsia="zh-CN"/>
        </w:rPr>
        <w:t>系统具有防范网络攻击的能力。</w:t>
      </w:r>
    </w:p>
    <w:p w14:paraId="102E103B">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4. 技术标准</w:t>
      </w:r>
    </w:p>
    <w:p w14:paraId="55A7E586">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⑴</w:t>
      </w:r>
      <w:r>
        <w:rPr>
          <w:rFonts w:hint="default" w:ascii="仿宋_GB2312" w:hAnsi="仿宋_GB2312" w:eastAsia="仿宋_GB2312" w:cs="仿宋_GB2312"/>
          <w:color w:val="auto"/>
          <w:sz w:val="28"/>
          <w:szCs w:val="28"/>
          <w:highlight w:val="none"/>
          <w:lang w:val="en-US" w:eastAsia="zh-CN"/>
        </w:rPr>
        <w:t>符合相关的医疗信息技术标准和规范。</w:t>
      </w:r>
    </w:p>
    <w:p w14:paraId="3650F006">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⑵</w:t>
      </w:r>
      <w:r>
        <w:rPr>
          <w:rFonts w:hint="default" w:ascii="仿宋_GB2312" w:hAnsi="仿宋_GB2312" w:eastAsia="仿宋_GB2312" w:cs="仿宋_GB2312"/>
          <w:color w:val="auto"/>
          <w:sz w:val="28"/>
          <w:szCs w:val="28"/>
          <w:highlight w:val="none"/>
          <w:lang w:val="en-US" w:eastAsia="zh-CN"/>
        </w:rPr>
        <w:t>硬件设备符合质量要求，具备良好的兼容性和可扩展性。</w:t>
      </w:r>
    </w:p>
    <w:p w14:paraId="057502D0">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5. 服务标准</w:t>
      </w:r>
    </w:p>
    <w:p w14:paraId="3ED7321B">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⑴</w:t>
      </w:r>
      <w:r>
        <w:rPr>
          <w:rFonts w:hint="default" w:ascii="仿宋_GB2312" w:hAnsi="仿宋_GB2312" w:eastAsia="仿宋_GB2312" w:cs="仿宋_GB2312"/>
          <w:color w:val="auto"/>
          <w:sz w:val="28"/>
          <w:szCs w:val="28"/>
          <w:highlight w:val="none"/>
          <w:lang w:val="en-US" w:eastAsia="zh-CN"/>
        </w:rPr>
        <w:t>供应商提供及时的技术支持和维护服务。</w:t>
      </w:r>
    </w:p>
    <w:p w14:paraId="4697A6A9">
      <w:pPr>
        <w:keepNext w:val="0"/>
        <w:keepLines w:val="0"/>
        <w:pageBreakBefore w:val="0"/>
        <w:kinsoku/>
        <w:wordWrap/>
        <w:overflowPunct/>
        <w:topLinePunct w:val="0"/>
        <w:bidi w:val="0"/>
        <w:snapToGrid/>
        <w:spacing w:line="560" w:lineRule="exact"/>
        <w:ind w:firstLine="495" w:firstLineChars="177"/>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⑶</w:t>
      </w:r>
      <w:r>
        <w:rPr>
          <w:rFonts w:hint="default" w:ascii="仿宋_GB2312" w:hAnsi="仿宋_GB2312" w:eastAsia="仿宋_GB2312" w:cs="仿宋_GB2312"/>
          <w:color w:val="auto"/>
          <w:sz w:val="28"/>
          <w:szCs w:val="28"/>
          <w:highlight w:val="none"/>
          <w:lang w:val="en-US" w:eastAsia="zh-CN"/>
        </w:rPr>
        <w:t>有完善的培训计划，确保用户能够熟练使用系统。</w:t>
      </w:r>
    </w:p>
    <w:p w14:paraId="5959BE35">
      <w:pPr>
        <w:keepNext w:val="0"/>
        <w:keepLines w:val="0"/>
        <w:pageBreakBefore w:val="0"/>
        <w:numPr>
          <w:ilvl w:val="0"/>
          <w:numId w:val="3"/>
        </w:numPr>
        <w:kinsoku/>
        <w:wordWrap/>
        <w:overflowPunct/>
        <w:topLinePunct w:val="0"/>
        <w:bidi w:val="0"/>
        <w:snapToGrid/>
        <w:spacing w:line="560" w:lineRule="exact"/>
        <w:ind w:left="0" w:leftChars="0" w:firstLine="420" w:firstLineChars="0"/>
        <w:outlineLvl w:val="1"/>
        <w:rPr>
          <w:rFonts w:hint="default"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其它</w:t>
      </w:r>
    </w:p>
    <w:p w14:paraId="4080CC2C">
      <w:pPr>
        <w:keepNext w:val="0"/>
        <w:keepLines w:val="0"/>
        <w:pageBreakBefore w:val="0"/>
        <w:kinsoku/>
        <w:wordWrap/>
        <w:overflowPunct/>
        <w:topLinePunct w:val="0"/>
        <w:bidi w:val="0"/>
        <w:snapToGrid/>
        <w:spacing w:line="560" w:lineRule="exact"/>
        <w:ind w:firstLine="495" w:firstLineChars="177"/>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1.售后服务方案：</w:t>
      </w:r>
    </w:p>
    <w:p w14:paraId="4992E5CB">
      <w:pPr>
        <w:keepNext w:val="0"/>
        <w:keepLines w:val="0"/>
        <w:pageBreakBefore w:val="0"/>
        <w:kinsoku/>
        <w:wordWrap/>
        <w:overflowPunct/>
        <w:topLinePunct w:val="0"/>
        <w:bidi w:val="0"/>
        <w:snapToGrid/>
        <w:spacing w:line="560" w:lineRule="exact"/>
        <w:ind w:firstLine="495" w:firstLineChars="177"/>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⑴生产厂家在疆具有专职维修工程师， 能保证设备的日常维护及故障排除；生产厂家在疆设有分公司或售后服务机构（提供证明文件）</w:t>
      </w:r>
    </w:p>
    <w:p w14:paraId="496AADE6">
      <w:pPr>
        <w:keepNext w:val="0"/>
        <w:keepLines w:val="0"/>
        <w:pageBreakBefore w:val="0"/>
        <w:kinsoku/>
        <w:wordWrap/>
        <w:overflowPunct/>
        <w:topLinePunct w:val="0"/>
        <w:bidi w:val="0"/>
        <w:snapToGrid/>
        <w:spacing w:line="560" w:lineRule="exact"/>
        <w:ind w:firstLine="495" w:firstLineChars="177"/>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⑵设有常驻新疆专业维修工程师 5人以上；（需提供社保证明材料），</w:t>
      </w:r>
    </w:p>
    <w:p w14:paraId="2F3B819C">
      <w:pPr>
        <w:keepNext w:val="0"/>
        <w:keepLines w:val="0"/>
        <w:pageBreakBefore w:val="0"/>
        <w:kinsoku/>
        <w:wordWrap/>
        <w:overflowPunct/>
        <w:topLinePunct w:val="0"/>
        <w:bidi w:val="0"/>
        <w:snapToGrid/>
        <w:spacing w:line="560" w:lineRule="exact"/>
        <w:ind w:firstLine="495" w:firstLineChars="177"/>
        <w:rPr>
          <w:rFonts w:hint="eastAsia" w:ascii="仿宋_GB2312" w:hAnsi="仿宋_GB2312" w:eastAsia="仿宋_GB2312" w:cs="仿宋_GB2312"/>
          <w:color w:val="auto"/>
          <w:sz w:val="32"/>
          <w:szCs w:val="32"/>
          <w:highlight w:val="none"/>
          <w:lang w:val="en-US" w:eastAsia="zh-CN"/>
        </w:rPr>
        <w:sectPr>
          <w:pgSz w:w="11907" w:h="16840"/>
          <w:pgMar w:top="1077" w:right="1077" w:bottom="1440" w:left="1077" w:header="964" w:footer="992" w:gutter="0"/>
          <w:pgBorders>
            <w:top w:val="none" w:sz="0" w:space="0"/>
            <w:left w:val="none" w:sz="0" w:space="0"/>
            <w:bottom w:val="none" w:sz="0" w:space="0"/>
            <w:right w:val="none" w:sz="0" w:space="0"/>
          </w:pgBorders>
          <w:pgNumType w:start="1"/>
          <w:cols w:space="720" w:num="1"/>
          <w:docGrid w:linePitch="354" w:charSpace="0"/>
        </w:sectPr>
      </w:pPr>
      <w:r>
        <w:rPr>
          <w:rFonts w:hint="eastAsia" w:ascii="仿宋_GB2312" w:hAnsi="仿宋_GB2312" w:eastAsia="仿宋_GB2312" w:cs="仿宋_GB2312"/>
          <w:color w:val="auto"/>
          <w:sz w:val="28"/>
          <w:szCs w:val="28"/>
          <w:highlight w:val="none"/>
          <w:lang w:val="en-US" w:eastAsia="zh-CN"/>
        </w:rPr>
        <w:t>⑶售后服务承诺：包括但仅限于产品的应急响应时间、 质保期内服务方式、质保期外服务方式。</w:t>
      </w:r>
      <w:bookmarkStart w:id="0" w:name="_GoBack"/>
      <w:bookmarkEnd w:id="0"/>
    </w:p>
    <w:p w14:paraId="069AC19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color w:val="auto"/>
        </w:rPr>
      </w:pPr>
    </w:p>
    <w:sectPr>
      <w:footerReference r:id="rId4"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1" w:fontKey="{2C8C398B-2B45-469F-A0BA-E56121149A51}"/>
  </w:font>
  <w:font w:name="方正仿宋_GB2312">
    <w:panose1 w:val="02000000000000000000"/>
    <w:charset w:val="86"/>
    <w:family w:val="auto"/>
    <w:pitch w:val="default"/>
    <w:sig w:usb0="A00002BF" w:usb1="184F6CFA" w:usb2="00000012" w:usb3="00000000" w:csb0="00040001" w:csb1="00000000"/>
    <w:embedRegular r:id="rId2" w:fontKey="{1FEB5B98-C231-4DAA-B32B-854BBA39DC8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4D89">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749A">
    <w:pPr>
      <w:spacing w:line="184" w:lineRule="auto"/>
      <w:ind w:left="4576"/>
      <w:rPr>
        <w:rFonts w:ascii="Times New Roman" w:hAnsi="Times New Roman" w:eastAsia="Times New Roman" w:cs="Times New Roman"/>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7C6D5"/>
    <w:multiLevelType w:val="singleLevel"/>
    <w:tmpl w:val="8137C6D5"/>
    <w:lvl w:ilvl="0" w:tentative="0">
      <w:start w:val="1"/>
      <w:numFmt w:val="chineseCounting"/>
      <w:suff w:val="space"/>
      <w:lvlText w:val="%1、"/>
      <w:lvlJc w:val="left"/>
      <w:rPr>
        <w:rFonts w:hint="eastAsia"/>
      </w:rPr>
    </w:lvl>
  </w:abstractNum>
  <w:abstractNum w:abstractNumId="1">
    <w:nsid w:val="81A16B4B"/>
    <w:multiLevelType w:val="singleLevel"/>
    <w:tmpl w:val="81A16B4B"/>
    <w:lvl w:ilvl="0" w:tentative="0">
      <w:start w:val="1"/>
      <w:numFmt w:val="chineseCounting"/>
      <w:suff w:val="nothing"/>
      <w:lvlText w:val="（%1）"/>
      <w:lvlJc w:val="left"/>
      <w:pPr>
        <w:ind w:left="0" w:firstLine="420"/>
      </w:pPr>
      <w:rPr>
        <w:rFonts w:hint="eastAsia"/>
      </w:rPr>
    </w:lvl>
  </w:abstractNum>
  <w:abstractNum w:abstractNumId="2">
    <w:nsid w:val="9152F817"/>
    <w:multiLevelType w:val="singleLevel"/>
    <w:tmpl w:val="9152F817"/>
    <w:lvl w:ilvl="0" w:tentative="0">
      <w:start w:val="1"/>
      <w:numFmt w:val="decimal"/>
      <w:suff w:val="nothing"/>
      <w:lvlText w:val="%1．"/>
      <w:lvlJc w:val="left"/>
      <w:pPr>
        <w:ind w:left="0" w:firstLine="400"/>
      </w:pPr>
      <w:rPr>
        <w:rFonts w:hint="default"/>
      </w:rPr>
    </w:lvl>
  </w:abstractNum>
  <w:abstractNum w:abstractNumId="3">
    <w:nsid w:val="CE5D0FA0"/>
    <w:multiLevelType w:val="singleLevel"/>
    <w:tmpl w:val="CE5D0FA0"/>
    <w:lvl w:ilvl="0" w:tentative="0">
      <w:start w:val="1"/>
      <w:numFmt w:val="decimal"/>
      <w:suff w:val="nothing"/>
      <w:lvlText w:val="%1．"/>
      <w:lvlJc w:val="left"/>
      <w:pPr>
        <w:ind w:left="0" w:firstLine="400"/>
      </w:pPr>
      <w:rPr>
        <w:rFonts w:hint="default"/>
      </w:rPr>
    </w:lvl>
  </w:abstractNum>
  <w:abstractNum w:abstractNumId="4">
    <w:nsid w:val="ED0B2723"/>
    <w:multiLevelType w:val="singleLevel"/>
    <w:tmpl w:val="ED0B2723"/>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2M3NWNlZGM5ODUzZDEwYjdlZDI4MGUxZGEwNmUifQ=="/>
  </w:docVars>
  <w:rsids>
    <w:rsidRoot w:val="7DED53F2"/>
    <w:rsid w:val="00692EF4"/>
    <w:rsid w:val="019C521C"/>
    <w:rsid w:val="02307EB2"/>
    <w:rsid w:val="046E52C9"/>
    <w:rsid w:val="0CB657A6"/>
    <w:rsid w:val="11F905BC"/>
    <w:rsid w:val="1985767A"/>
    <w:rsid w:val="1DF1631D"/>
    <w:rsid w:val="21793350"/>
    <w:rsid w:val="22DF44D9"/>
    <w:rsid w:val="24C21EAA"/>
    <w:rsid w:val="26DF6DA8"/>
    <w:rsid w:val="2C8F4A16"/>
    <w:rsid w:val="35AE1D1F"/>
    <w:rsid w:val="37005EAB"/>
    <w:rsid w:val="3AE93759"/>
    <w:rsid w:val="3B76357B"/>
    <w:rsid w:val="3BC8651E"/>
    <w:rsid w:val="3BEF6610"/>
    <w:rsid w:val="41F24096"/>
    <w:rsid w:val="50071BC6"/>
    <w:rsid w:val="52C0463C"/>
    <w:rsid w:val="569607AC"/>
    <w:rsid w:val="593865EE"/>
    <w:rsid w:val="5A71698D"/>
    <w:rsid w:val="673871C7"/>
    <w:rsid w:val="68C8553C"/>
    <w:rsid w:val="69FA085C"/>
    <w:rsid w:val="6D6914D0"/>
    <w:rsid w:val="73781E99"/>
    <w:rsid w:val="75296C26"/>
    <w:rsid w:val="76E73060"/>
    <w:rsid w:val="7C137DD1"/>
    <w:rsid w:val="7DED53F2"/>
    <w:rsid w:val="7E235D21"/>
    <w:rsid w:val="7E866D5E"/>
    <w:rsid w:val="7F3E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left="420" w:leftChars="175" w:firstLine="420"/>
    </w:pPr>
  </w:style>
  <w:style w:type="paragraph" w:styleId="5">
    <w:name w:val="annotation text"/>
    <w:basedOn w:val="1"/>
    <w:semiHidden/>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next w:val="8"/>
    <w:qFormat/>
    <w:uiPriority w:val="0"/>
    <w:pPr>
      <w:spacing w:after="120"/>
      <w:ind w:left="420" w:leftChars="200"/>
    </w:pPr>
    <w:rPr>
      <w:rFonts w:ascii="Calibri" w:hAnsi="Calibri" w:cs="黑体"/>
    </w:rPr>
  </w:style>
  <w:style w:type="paragraph" w:styleId="8">
    <w:name w:val="annotation subject"/>
    <w:basedOn w:val="5"/>
    <w:next w:val="5"/>
    <w:semiHidden/>
    <w:qFormat/>
    <w:uiPriority w:val="0"/>
    <w:rPr>
      <w:b/>
      <w:bCs/>
    </w:rPr>
  </w:style>
  <w:style w:type="paragraph" w:styleId="9">
    <w:name w:val="Plain Text"/>
    <w:basedOn w:val="1"/>
    <w:qFormat/>
    <w:uiPriority w:val="0"/>
    <w:rPr>
      <w:rFonts w:ascii="宋体" w:hAnsi="Courier New" w:cs="黑体"/>
      <w:szCs w:val="22"/>
    </w:rPr>
  </w:style>
  <w:style w:type="paragraph" w:styleId="10">
    <w:name w:val="Body Text Indent 2"/>
    <w:basedOn w:val="1"/>
    <w:qFormat/>
    <w:uiPriority w:val="0"/>
    <w:pPr>
      <w:spacing w:line="360" w:lineRule="auto"/>
      <w:ind w:left="839" w:hanging="839" w:hangingChars="355"/>
    </w:pPr>
    <w:rPr>
      <w:b/>
      <w:sz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next w:val="4"/>
    <w:qFormat/>
    <w:uiPriority w:val="99"/>
    <w:pPr>
      <w:ind w:firstLine="420"/>
    </w:pPr>
    <w:rPr>
      <w:rFonts w:ascii="宋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styleId="19">
    <w:name w:val="List Paragraph"/>
    <w:basedOn w:val="1"/>
    <w:qFormat/>
    <w:uiPriority w:val="34"/>
    <w:pPr>
      <w:ind w:firstLine="420" w:firstLineChars="200"/>
    </w:pPr>
    <w:rPr>
      <w:rFonts w:ascii="Calibri" w:hAnsi="Calibri" w:eastAsia="宋体"/>
      <w:sz w:val="21"/>
      <w:szCs w:val="22"/>
    </w:r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1">
    <w:name w:val="列出段落1"/>
    <w:basedOn w:val="1"/>
    <w:qFormat/>
    <w:uiPriority w:val="34"/>
    <w:pPr>
      <w:ind w:firstLine="420" w:firstLineChars="200"/>
    </w:pPr>
  </w:style>
  <w:style w:type="paragraph" w:customStyle="1" w:styleId="22">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5551</Words>
  <Characters>5842</Characters>
  <Lines>0</Lines>
  <Paragraphs>0</Paragraphs>
  <TotalTime>1379</TotalTime>
  <ScaleCrop>false</ScaleCrop>
  <LinksUpToDate>false</LinksUpToDate>
  <CharactersWithSpaces>6672</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2024-10-17T04:15:00Z</dcterms:created>
  <dc:creator>静等花开</dc:creator>
  <cp:lastModifiedBy>膛食苹啪济</cp:lastModifiedBy>
  <cp:lastPrinted>2024-10-21T03:38:00Z</cp:lastPrinted>
  <dcterms:modified xsi:type="dcterms:W3CDTF">2024-10-31T02:04:34Z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84C85A20A4E240CBB8E8B2C7717D0976_13</vt:lpwstr>
  </property>
</Properties>
</file>