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1605">
      <w:pPr>
        <w:jc w:val="center"/>
        <w:rPr>
          <w:rFonts w:hint="eastAsia"/>
        </w:rPr>
      </w:pPr>
      <w:bookmarkStart w:id="0" w:name="_Hlk183776568"/>
      <w:r>
        <w:rPr>
          <w:rFonts w:hint="eastAsia"/>
          <w:lang w:eastAsia="zh-CN"/>
        </w:rPr>
        <w:t>焉耆回族自治县</w:t>
      </w:r>
      <w:bookmarkStart w:id="2" w:name="_GoBack"/>
      <w:bookmarkEnd w:id="2"/>
      <w:r>
        <w:rPr>
          <w:rFonts w:hint="eastAsia"/>
        </w:rPr>
        <w:t>林地保护利用总体规划</w:t>
      </w:r>
      <w:bookmarkEnd w:id="0"/>
      <w:r>
        <w:rPr>
          <w:rFonts w:hint="eastAsia"/>
        </w:rPr>
        <w:t>项目采购需求</w:t>
      </w:r>
    </w:p>
    <w:p w14:paraId="081582AC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一、规划依据</w:t>
      </w:r>
    </w:p>
    <w:p w14:paraId="15F28692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依据国家林草局《新一轮林地保护利用规划编制技术方案》和《新疆维吾尔自治区林地保护利用规划（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2021-2035 年）编制技术方案》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细化落实新疆省级林地保护利用规划下达的关于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eastAsia="zh-CN"/>
        </w:rPr>
        <w:t>焉耆回族自治县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的指标任务，做出具体安排。结合《中华人民共和国森林法》、《中华人民共和国森林法实施条例》、《全国林地保护利用规划纲要（2021—2035年）》等法律法规和国家有关林地保护管理的方针、政策，确定的规划目标和任务。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 xml:space="preserve"> </w:t>
      </w:r>
    </w:p>
    <w:p w14:paraId="29B70046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二、项目内容</w:t>
      </w:r>
    </w:p>
    <w:p w14:paraId="049F98A3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全面收集材料充分利用原有工作基础和成果，开展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eastAsia="zh-CN"/>
        </w:rPr>
        <w:t>焉耆回族自治县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林地保护利用规划相关专题调研，制定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eastAsia="zh-CN"/>
        </w:rPr>
        <w:t>焉耆回族自治县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未来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15年林地保护利用的基本战略，明确林地保护利用的主要目标和相应控制性指标，提出保护利用措施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与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利用方向，与国土空间规划全面衔接，解决后期县域经济社会发展与林地保护利用中的各类矛盾问题。</w:t>
      </w:r>
    </w:p>
    <w:p w14:paraId="3E34D7E0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在与国土“三调”数据对接完成并得到政府确认后，以分析对接数据为基础，确保林地保有量的有效措施及相应工程。编制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eastAsia="zh-CN"/>
        </w:rPr>
        <w:t>焉耆回族自治县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（2021-2035）林地保护利用规划，并提交</w:t>
      </w:r>
      <w:bookmarkStart w:id="1" w:name="_Hlk183777608"/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成果报告</w:t>
      </w:r>
      <w:bookmarkEnd w:id="1"/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。</w:t>
      </w:r>
    </w:p>
    <w:p w14:paraId="42594433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三、乙方资质及提交成果要求</w:t>
      </w:r>
    </w:p>
    <w:p w14:paraId="6A0B3D6F">
      <w:pPr>
        <w:spacing w:line="360" w:lineRule="auto"/>
        <w:ind w:firstLine="480" w:firstLineChars="200"/>
        <w:rPr>
          <w:rFonts w:hint="eastAsia" w:ascii="楷体" w:hAnsi="楷体" w:eastAsia="楷体" w:cs="Arial"/>
          <w:color w:val="000000"/>
          <w:kern w:val="0"/>
          <w:sz w:val="24"/>
          <w:szCs w:val="24"/>
        </w:rPr>
      </w:pPr>
      <w:r>
        <w:rPr>
          <w:rFonts w:ascii="楷体" w:hAnsi="楷体" w:eastAsia="楷体" w:cs="Arial"/>
          <w:color w:val="000000"/>
          <w:kern w:val="0"/>
          <w:sz w:val="24"/>
          <w:szCs w:val="24"/>
        </w:rPr>
        <w:t>1、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乙方需持有乙级或乙级以上行业内相关资质。</w:t>
      </w:r>
    </w:p>
    <w:p w14:paraId="370DB05D">
      <w:pPr>
        <w:spacing w:line="360" w:lineRule="auto"/>
        <w:ind w:firstLine="480" w:firstLineChars="200"/>
        <w:rPr>
          <w:rFonts w:hint="default" w:ascii="楷体" w:hAnsi="楷体" w:eastAsia="楷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2、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val="en-US" w:eastAsia="zh-CN"/>
        </w:rPr>
        <w:t>乙方需自备“三调数据”、林地“一张图”成果、林草湿综合监测成果底图数据及最新综合监测遥感影像；作为本次编制规划基础数据条件。</w:t>
      </w:r>
    </w:p>
    <w:p w14:paraId="7F46EAD1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成果报告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及评审电子版（签订委托合同之后90个工作日内，提供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成果报告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的电子评审及纸制稿）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；</w:t>
      </w:r>
    </w:p>
    <w:p w14:paraId="5EAB60F0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、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成果报告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报批稿PDF电子版（8个工作日内完成实施方案的专家评审）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；</w:t>
      </w:r>
    </w:p>
    <w:p w14:paraId="6FB2D1B1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、乙方必须派出1-2名具有高级职称以上专家参与实施的编制。</w:t>
      </w:r>
    </w:p>
    <w:p w14:paraId="294C473A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、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方案编制期间，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提供的基础数据的可实行性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需与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甲方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协商共同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做出决定。</w:t>
      </w:r>
    </w:p>
    <w:p w14:paraId="2A307132">
      <w:pPr>
        <w:spacing w:line="360" w:lineRule="auto"/>
        <w:ind w:firstLine="480" w:firstLineChars="200"/>
        <w:rPr>
          <w:rFonts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四、项目成果</w:t>
      </w:r>
    </w:p>
    <w:p w14:paraId="4FB57499">
      <w:pPr>
        <w:spacing w:line="360" w:lineRule="auto"/>
        <w:ind w:firstLine="480" w:firstLineChars="200"/>
        <w:rPr>
          <w:rFonts w:hint="eastAsia" w:ascii="楷体" w:hAnsi="楷体" w:eastAsia="楷体" w:cs="Arial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成果包括：提供正式文本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 xml:space="preserve"> 5 套及电子文档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。规划文本、规划编制说明、规划图集、规划附表及专题研究报告等其他材料。完成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  <w:lang w:eastAsia="zh-CN"/>
        </w:rPr>
        <w:t>焉耆回族自治县</w:t>
      </w:r>
      <w:r>
        <w:rPr>
          <w:rFonts w:hint="eastAsia" w:ascii="楷体" w:hAnsi="楷体" w:eastAsia="楷体" w:cs="Arial"/>
          <w:color w:val="000000"/>
          <w:kern w:val="0"/>
          <w:sz w:val="24"/>
          <w:szCs w:val="24"/>
        </w:rPr>
        <w:t>林地保护利用总体规划（</w:t>
      </w:r>
      <w:r>
        <w:rPr>
          <w:rFonts w:ascii="楷体" w:hAnsi="楷体" w:eastAsia="楷体" w:cs="Arial"/>
          <w:color w:val="000000"/>
          <w:kern w:val="0"/>
          <w:sz w:val="24"/>
          <w:szCs w:val="24"/>
        </w:rPr>
        <w:t>2021-2035年），提供正式文本 5 套及电子文档。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13"/>
    <w:rsid w:val="00186B3C"/>
    <w:rsid w:val="003B3FE6"/>
    <w:rsid w:val="00432580"/>
    <w:rsid w:val="004D3F77"/>
    <w:rsid w:val="00771F83"/>
    <w:rsid w:val="008360B4"/>
    <w:rsid w:val="00961A1B"/>
    <w:rsid w:val="00D715EA"/>
    <w:rsid w:val="00DA553C"/>
    <w:rsid w:val="00DE2713"/>
    <w:rsid w:val="1AB7266B"/>
    <w:rsid w:val="739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_正文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472" w:lineRule="atLeast"/>
      <w:ind w:firstLine="560" w:firstLineChars="200"/>
      <w:jc w:val="left"/>
    </w:pPr>
    <w:rPr>
      <w:rFonts w:ascii="Arial" w:hAnsi="Calibri" w:eastAsia="宋体" w:cs="Arial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758</Words>
  <Characters>802</Characters>
  <Lines>5</Lines>
  <Paragraphs>1</Paragraphs>
  <TotalTime>6</TotalTime>
  <ScaleCrop>false</ScaleCrop>
  <LinksUpToDate>false</LinksUpToDate>
  <CharactersWithSpaces>808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2024-11-29T04:03:00Z</dcterms:created>
  <dc:creator>姜 娇娇</dc:creator>
  <cp:lastModifiedBy>WPS_1696670673</cp:lastModifiedBy>
  <dcterms:modified xsi:type="dcterms:W3CDTF">2024-12-18T02:51:28Z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1CD29CE73CEB4B6E9F1FD807DF1DA218_12</vt:lpwstr>
  </property>
</Properties>
</file>