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40" w:firstLineChars="900"/>
        <w:jc w:val="both"/>
        <w:rPr>
          <w:rFonts w:hint="eastAsia"/>
          <w:sz w:val="36"/>
          <w:szCs w:val="36"/>
        </w:rPr>
      </w:pPr>
      <w:r>
        <w:rPr>
          <w:rFonts w:hint="eastAsia"/>
          <w:sz w:val="36"/>
          <w:szCs w:val="36"/>
        </w:rPr>
        <w:t>采购要求</w:t>
      </w:r>
    </w:p>
    <w:p>
      <w:pPr>
        <w:rPr>
          <w:rFonts w:hint="eastAsia"/>
          <w:sz w:val="28"/>
          <w:szCs w:val="28"/>
        </w:rPr>
      </w:pPr>
      <w:r>
        <w:rPr>
          <w:rFonts w:hint="eastAsia"/>
          <w:sz w:val="28"/>
          <w:szCs w:val="28"/>
        </w:rPr>
        <w:t xml:space="preserve"> </w:t>
      </w:r>
    </w:p>
    <w:p>
      <w:pPr>
        <w:numPr>
          <w:ilvl w:val="0"/>
          <w:numId w:val="0"/>
        </w:numPr>
        <w:ind w:firstLine="300" w:firstLineChars="100"/>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一</w:t>
      </w:r>
      <w:r>
        <w:rPr>
          <w:rFonts w:hint="eastAsia" w:ascii="黑体" w:hAnsi="黑体" w:eastAsia="黑体" w:cs="黑体"/>
          <w:b w:val="0"/>
          <w:bCs w:val="0"/>
          <w:sz w:val="30"/>
          <w:szCs w:val="30"/>
        </w:rPr>
        <w:t>、供应商资格要求</w:t>
      </w:r>
    </w:p>
    <w:p>
      <w:pPr>
        <w:numPr>
          <w:ilvl w:val="0"/>
          <w:numId w:val="0"/>
        </w:numPr>
        <w:ind w:firstLine="840" w:firstLineChars="300"/>
        <w:rPr>
          <w:rFonts w:hint="eastAsia"/>
          <w:sz w:val="28"/>
          <w:szCs w:val="28"/>
        </w:rPr>
      </w:pPr>
      <w:r>
        <w:rPr>
          <w:rFonts w:hint="eastAsia"/>
          <w:sz w:val="28"/>
          <w:szCs w:val="28"/>
        </w:rPr>
        <w:t>需满足《中华人民共和国政府采购法》第二十二条规定，提供营业执照、良好商业信誉和健全财务会计制度证明、依法缴纳税收和社会保障资金证明等材料。同时，在“信用中国”网站未被列入失信被执行人、重大税收违法案件当事人名单 ，在中国政府采购网未被列入政府采购严重违法失信行为记录名单。若供应商为医疗器械生产厂家，需提供《医疗器械生产许可证》及所投医疗设备的《医疗器械注册证》；若是代理商或经销商，须提供《医疗器械经营许可证》或《第二类医疗器械经营备案凭证》 。</w:t>
      </w:r>
    </w:p>
    <w:p>
      <w:pPr>
        <w:rPr>
          <w:rFonts w:hint="eastAsia"/>
          <w:sz w:val="28"/>
          <w:szCs w:val="28"/>
        </w:rPr>
      </w:pPr>
      <w:r>
        <w:rPr>
          <w:rFonts w:hint="eastAsia"/>
          <w:sz w:val="28"/>
          <w:szCs w:val="28"/>
        </w:rPr>
        <w:t xml:space="preserve"> </w:t>
      </w:r>
    </w:p>
    <w:p>
      <w:pPr>
        <w:numPr>
          <w:ilvl w:val="0"/>
          <w:numId w:val="0"/>
        </w:numPr>
        <w:ind w:firstLine="300" w:firstLineChars="10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二、产品要求</w:t>
      </w:r>
    </w:p>
    <w:p>
      <w:pPr>
        <w:numPr>
          <w:ilvl w:val="0"/>
          <w:numId w:val="0"/>
        </w:numPr>
        <w:ind w:firstLine="840" w:firstLineChars="300"/>
        <w:rPr>
          <w:rFonts w:hint="eastAsia"/>
          <w:sz w:val="28"/>
          <w:szCs w:val="28"/>
        </w:rPr>
      </w:pPr>
      <w:r>
        <w:rPr>
          <w:rFonts w:hint="eastAsia"/>
          <w:sz w:val="28"/>
          <w:szCs w:val="28"/>
        </w:rPr>
        <w:t>保证所提供的医疗设备全新、未使用过，符合国家、行业、地方和采购文件要求，以及供应商响应文件及合同规定的质量、性能和标准。提供设备的合格证明、质量检测报告等相关文件，设备的技术参数需完全满足采购文件的技术规格要求，如有特殊功能或附加配置需在响应文件中详细说明。</w:t>
      </w:r>
    </w:p>
    <w:p>
      <w:pPr>
        <w:rPr>
          <w:rFonts w:hint="eastAsia"/>
          <w:sz w:val="28"/>
          <w:szCs w:val="28"/>
        </w:rPr>
      </w:pPr>
      <w:r>
        <w:rPr>
          <w:rFonts w:hint="eastAsia"/>
          <w:sz w:val="28"/>
          <w:szCs w:val="28"/>
        </w:rPr>
        <w:t xml:space="preserve"> </w:t>
      </w:r>
    </w:p>
    <w:p>
      <w:pPr>
        <w:numPr>
          <w:ilvl w:val="0"/>
          <w:numId w:val="0"/>
        </w:numPr>
        <w:ind w:firstLine="300" w:firstLineChars="10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 、报价要求</w:t>
      </w:r>
    </w:p>
    <w:p>
      <w:pPr>
        <w:numPr>
          <w:ilvl w:val="0"/>
          <w:numId w:val="0"/>
        </w:numPr>
        <w:ind w:firstLine="840" w:firstLineChars="300"/>
        <w:rPr>
          <w:rFonts w:hint="eastAsia"/>
          <w:sz w:val="28"/>
          <w:szCs w:val="28"/>
        </w:rPr>
      </w:pPr>
      <w:r>
        <w:rPr>
          <w:rFonts w:hint="eastAsia"/>
          <w:sz w:val="28"/>
          <w:szCs w:val="28"/>
        </w:rPr>
        <w:t>报价应包含设备本身价格、运输费、安装调试费、售后服务费、技术培训费、保险费、税费及合同包含的所有风险、责任等各项应有费用，为完成项目的最终价格，不得在后期以任何理由追加费用。报价需在规定时间内，通过指定的反向竞价平台进行，严格按照平台的报价规则操作，如价格下浮标准、报价轮次等要求。供应商应根据自身成本和市场情况合理报价，不得恶意低价竞争，若报价明显低于成本价，采购方有权要求供应商作出合理说明，否则可能被认定为无效报价 。</w:t>
      </w:r>
    </w:p>
    <w:p>
      <w:pPr>
        <w:rPr>
          <w:rFonts w:hint="eastAsia"/>
          <w:sz w:val="28"/>
          <w:szCs w:val="28"/>
        </w:rPr>
      </w:pPr>
      <w:r>
        <w:rPr>
          <w:rFonts w:hint="eastAsia"/>
          <w:sz w:val="28"/>
          <w:szCs w:val="28"/>
        </w:rPr>
        <w:t xml:space="preserve"> </w:t>
      </w:r>
    </w:p>
    <w:p>
      <w:pPr>
        <w:numPr>
          <w:ilvl w:val="0"/>
          <w:numId w:val="1"/>
        </w:numPr>
        <w:ind w:firstLine="280" w:firstLineChars="100"/>
        <w:rPr>
          <w:rFonts w:hint="eastAsia" w:ascii="黑体" w:hAnsi="黑体" w:eastAsia="黑体" w:cs="黑体"/>
          <w:sz w:val="28"/>
          <w:szCs w:val="28"/>
        </w:rPr>
      </w:pPr>
      <w:r>
        <w:rPr>
          <w:rFonts w:hint="eastAsia" w:ascii="黑体" w:hAnsi="黑体" w:eastAsia="黑体" w:cs="黑体"/>
          <w:sz w:val="28"/>
          <w:szCs w:val="28"/>
        </w:rPr>
        <w:t>响应文件要求</w:t>
      </w:r>
    </w:p>
    <w:p>
      <w:pPr>
        <w:numPr>
          <w:ilvl w:val="0"/>
          <w:numId w:val="0"/>
        </w:numPr>
        <w:ind w:firstLine="560" w:firstLineChars="200"/>
        <w:rPr>
          <w:rFonts w:hint="eastAsia"/>
          <w:sz w:val="28"/>
          <w:szCs w:val="28"/>
        </w:rPr>
      </w:pPr>
      <w:r>
        <w:rPr>
          <w:rFonts w:hint="eastAsia"/>
          <w:sz w:val="28"/>
          <w:szCs w:val="28"/>
        </w:rPr>
        <w:t>内容需包含但不限于营业执照复印件、法人身份证明复印件、授权委托书复印件（如有授权）、资质证明资料复印件、详细的报价文件、技术参数响应文件、设备生产厂家授权委托书复印件（代理商或经销商提供）、售后服务方案等，并按采购方要求加盖单位公章、进行密封和标记，在规定时间内递交至指定地点或通过指定平台上传。文件应按照采购方提供的格式和顺序编写，确保内容完整、条理清晰，方便采购方查阅和评审。</w:t>
      </w:r>
    </w:p>
    <w:p>
      <w:pPr>
        <w:rPr>
          <w:rFonts w:hint="eastAsia"/>
          <w:sz w:val="28"/>
          <w:szCs w:val="28"/>
        </w:rPr>
      </w:pPr>
      <w:r>
        <w:rPr>
          <w:rFonts w:hint="eastAsia"/>
          <w:sz w:val="28"/>
          <w:szCs w:val="28"/>
        </w:rPr>
        <w:t xml:space="preserve"> </w:t>
      </w:r>
    </w:p>
    <w:p>
      <w:pPr>
        <w:numPr>
          <w:ilvl w:val="0"/>
          <w:numId w:val="1"/>
        </w:numPr>
        <w:ind w:left="0" w:leftChars="0" w:firstLine="280" w:firstLineChars="100"/>
        <w:rPr>
          <w:rFonts w:hint="eastAsia" w:ascii="黑体" w:hAnsi="黑体" w:eastAsia="黑体" w:cs="黑体"/>
          <w:sz w:val="28"/>
          <w:szCs w:val="28"/>
        </w:rPr>
      </w:pPr>
      <w:r>
        <w:rPr>
          <w:rFonts w:hint="eastAsia" w:ascii="黑体" w:hAnsi="黑体" w:eastAsia="黑体" w:cs="黑体"/>
          <w:sz w:val="28"/>
          <w:szCs w:val="28"/>
        </w:rPr>
        <w:t>竞价流程要求</w:t>
      </w:r>
    </w:p>
    <w:p>
      <w:pPr>
        <w:numPr>
          <w:ilvl w:val="0"/>
          <w:numId w:val="0"/>
        </w:numPr>
        <w:ind w:leftChars="100" w:firstLine="560" w:firstLineChars="200"/>
        <w:rPr>
          <w:rFonts w:hint="eastAsia"/>
          <w:sz w:val="28"/>
          <w:szCs w:val="28"/>
        </w:rPr>
      </w:pPr>
      <w:r>
        <w:rPr>
          <w:rFonts w:hint="eastAsia"/>
          <w:sz w:val="28"/>
          <w:szCs w:val="28"/>
        </w:rPr>
        <w:t>供应商需在规定时间内登录指定的反向竞价平台完成报名，提交相关报名资料，经审核通过后获得参与竞价资格。明确竞价开始和结束时间，在竞价时间内，供应商可根据平台显示的当前最低报价和剩余时间等信息，多次调整自己的报价，每次报价需符合报价规则。若设置了多轮竞价，供应商需在每轮规定时间内参与报价，否则将失去后续轮次的报价资格。竞价结束后，系统自动按照最低报价原则确定预成交供应商，若出现相同报价，以报价时间先后顺序确定，采购方对预成交供应商的响应文件和报价进行审核，确认无误后确定最终成交供应商，并发布成交公告 。</w:t>
      </w:r>
    </w:p>
    <w:p>
      <w:pPr>
        <w:rPr>
          <w:rFonts w:hint="eastAsia"/>
          <w:sz w:val="28"/>
          <w:szCs w:val="28"/>
        </w:rPr>
      </w:pPr>
      <w:r>
        <w:rPr>
          <w:rFonts w:hint="eastAsia"/>
          <w:sz w:val="28"/>
          <w:szCs w:val="28"/>
        </w:rPr>
        <w:t xml:space="preserve"> </w:t>
      </w:r>
    </w:p>
    <w:p>
      <w:pPr>
        <w:numPr>
          <w:ilvl w:val="0"/>
          <w:numId w:val="0"/>
        </w:numPr>
        <w:ind w:firstLine="280" w:firstLineChars="100"/>
        <w:rPr>
          <w:rFonts w:hint="eastAsia" w:ascii="黑体" w:hAnsi="黑体" w:eastAsia="黑体" w:cs="黑体"/>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 售后服务要求</w:t>
      </w:r>
    </w:p>
    <w:p>
      <w:pPr>
        <w:numPr>
          <w:ilvl w:val="0"/>
          <w:numId w:val="0"/>
        </w:numPr>
        <w:ind w:firstLine="560" w:firstLineChars="200"/>
        <w:rPr>
          <w:rFonts w:hint="eastAsia"/>
          <w:sz w:val="28"/>
          <w:szCs w:val="28"/>
        </w:rPr>
      </w:pPr>
      <w:r>
        <w:rPr>
          <w:rFonts w:hint="eastAsia"/>
          <w:sz w:val="28"/>
          <w:szCs w:val="28"/>
        </w:rPr>
        <w:t>供应商需提供一定期限的免费质保期，在质保期内免费提供设备维修、保养、更换零部件等服务。质保期外，应提供长期的技术支持和维修服务，仅收取合理的零部件成本费</w:t>
      </w:r>
      <w:bookmarkStart w:id="0" w:name="_GoBack"/>
      <w:bookmarkEnd w:id="0"/>
      <w:r>
        <w:rPr>
          <w:rFonts w:hint="eastAsia"/>
          <w:sz w:val="28"/>
          <w:szCs w:val="28"/>
        </w:rPr>
        <w:t>。在接到设备故障通知后，需在规定时间内响应，如通过电话、远程指导等方式解决问题；若无法远程解决，应在规定时间内派专业技术人员到达现场维修，确保设备正常运行。免费为采购方的操作人员和维护人员提供操作培训和维护培训，使其能够熟练掌握设备的使用和基本维护技能，培训内容包括设备操作、日常维护、常见故障排除等。</w:t>
      </w:r>
    </w:p>
    <w:p>
      <w:pPr>
        <w:rPr>
          <w:rFonts w:hint="eastAsia"/>
          <w:sz w:val="28"/>
          <w:szCs w:val="28"/>
        </w:rPr>
      </w:pPr>
      <w:r>
        <w:rPr>
          <w:rFonts w:hint="eastAsia"/>
          <w:sz w:val="28"/>
          <w:szCs w:val="28"/>
        </w:rPr>
        <w:t xml:space="preserve"> </w:t>
      </w:r>
    </w:p>
    <w:p>
      <w:pPr>
        <w:numPr>
          <w:ilvl w:val="0"/>
          <w:numId w:val="0"/>
        </w:numPr>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七</w:t>
      </w:r>
      <w:r>
        <w:rPr>
          <w:rFonts w:hint="eastAsia" w:ascii="黑体" w:hAnsi="黑体" w:eastAsia="黑体" w:cs="黑体"/>
          <w:sz w:val="28"/>
          <w:szCs w:val="28"/>
        </w:rPr>
        <w:t> 、其他要求</w:t>
      </w:r>
    </w:p>
    <w:p>
      <w:pPr>
        <w:numPr>
          <w:ilvl w:val="0"/>
          <w:numId w:val="0"/>
        </w:numPr>
        <w:ind w:firstLine="560" w:firstLineChars="200"/>
        <w:rPr>
          <w:rFonts w:hint="eastAsia"/>
          <w:sz w:val="28"/>
          <w:szCs w:val="28"/>
        </w:rPr>
      </w:pPr>
      <w:r>
        <w:rPr>
          <w:rFonts w:hint="eastAsia"/>
          <w:sz w:val="28"/>
          <w:szCs w:val="28"/>
        </w:rPr>
        <w:t>供应商应遵守采购活动中的各项法律法规和采购方的规定，不得有围标、串标、提供虚假材料等违法违规行为，一经发现，将取消其参与资格，并依法追究法律责任 。单位负责人为同一人或者存在直接控股、管理关系的不同供应商，不得参加同一合同项下的反向竞价采购活动，以保证公平竞争。若采购项目涉及知识产权，供应商应保证所提供的设备及相关技术不侵犯任何第三方的知识产权，否则由此产生的法律纠纷和经济损失由供应商承担。</w:t>
      </w:r>
    </w:p>
    <w:p>
      <w:pPr>
        <w:numPr>
          <w:ilvl w:val="0"/>
          <w:numId w:val="0"/>
        </w:numPr>
        <w:ind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768C6"/>
    <w:multiLevelType w:val="singleLevel"/>
    <w:tmpl w:val="77D768C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C115B"/>
    <w:rsid w:val="0C445355"/>
    <w:rsid w:val="0CAC115B"/>
    <w:rsid w:val="4D66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2025-03-25T10:25:00Z</dcterms:created>
  <dc:creator>Administrator</dc:creator>
  <cp:lastModifiedBy>Administrator</cp:lastModifiedBy>
  <dcterms:modified xsi:type="dcterms:W3CDTF">2025-03-27T02:25:29Z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