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jc w:val="center"/>
        <w:rPr>
          <w:rFonts w:ascii="黑体" w:hAnsi="黑体" w:eastAsia="黑体"/>
          <w:b/>
          <w:sz w:val="36"/>
        </w:rPr>
      </w:pPr>
      <w:bookmarkStart w:id="7" w:name="_GoBack"/>
      <w:bookmarkEnd w:id="7"/>
      <w:r>
        <w:rPr>
          <w:rFonts w:hint="eastAsia" w:ascii="黑体" w:hAnsi="黑体" w:eastAsia="黑体"/>
          <w:b/>
          <w:sz w:val="36"/>
        </w:rPr>
        <w:t>电子阴道镜</w:t>
      </w:r>
    </w:p>
    <w:p>
      <w:pPr>
        <w:snapToGrid w:val="0"/>
        <w:spacing w:line="360" w:lineRule="auto"/>
        <w:jc w:val="center"/>
        <w:rPr>
          <w:rFonts w:ascii="黑体" w:hAnsi="黑体" w:eastAsia="黑体"/>
          <w:b/>
          <w:sz w:val="36"/>
        </w:rPr>
      </w:pPr>
      <w:r>
        <w:rPr>
          <w:rFonts w:hint="eastAsia" w:ascii="黑体" w:hAnsi="黑体" w:eastAsia="黑体"/>
          <w:b/>
          <w:sz w:val="36"/>
        </w:rPr>
        <w:t>招标技术要求</w:t>
      </w:r>
    </w:p>
    <w:p>
      <w:pPr>
        <w:spacing w:line="400" w:lineRule="exact"/>
        <w:rPr>
          <w:rFonts w:asciiTheme="minorEastAsia" w:hAnsiTheme="minorEastAsia" w:eastAsiaTheme="minorEastAsia"/>
          <w:b/>
          <w:sz w:val="28"/>
          <w:szCs w:val="28"/>
        </w:rPr>
      </w:pPr>
      <w:r>
        <w:rPr>
          <w:rFonts w:hint="eastAsia" w:asciiTheme="minorEastAsia" w:hAnsiTheme="minorEastAsia" w:eastAsiaTheme="minorEastAsia"/>
          <w:b/>
          <w:sz w:val="28"/>
          <w:szCs w:val="28"/>
        </w:rPr>
        <w:t>一、整机要求</w:t>
      </w:r>
    </w:p>
    <w:p>
      <w:pPr>
        <w:spacing w:line="400" w:lineRule="exact"/>
        <w:ind w:left="417" w:leftChars="104" w:hanging="199" w:hangingChars="95"/>
        <w:rPr>
          <w:rFonts w:hint="eastAsia" w:ascii="宋体" w:hAnsi="宋体"/>
          <w:szCs w:val="21"/>
        </w:rPr>
      </w:pPr>
      <w:r>
        <w:rPr>
          <w:rFonts w:hint="eastAsia" w:ascii="宋体" w:hAnsi="宋体"/>
          <w:szCs w:val="21"/>
        </w:rPr>
        <w:t>1.整机要求：投标产品镜头和工作站同时在国内组合注册，且必须是同一个产品名称通过NMPA注册，不接受镜头或工作站单独注册产品或组合投标，提供注册证及注册登记表证明其符合要求。</w:t>
      </w:r>
    </w:p>
    <w:p>
      <w:pPr>
        <w:keepNext w:val="0"/>
        <w:keepLines w:val="0"/>
        <w:pageBreakBefore w:val="0"/>
        <w:kinsoku/>
        <w:wordWrap/>
        <w:overflowPunct/>
        <w:topLinePunct w:val="0"/>
        <w:autoSpaceDE/>
        <w:autoSpaceDN/>
        <w:bidi w:val="0"/>
        <w:adjustRightInd/>
        <w:snapToGrid/>
        <w:spacing w:line="288" w:lineRule="auto"/>
        <w:ind w:left="0" w:leftChars="0" w:firstLine="210" w:firstLineChars="100"/>
        <w:contextualSpacing/>
        <w:jc w:val="left"/>
        <w:rPr>
          <w:rFonts w:hint="eastAsia" w:ascii="宋体" w:hAnsi="宋体"/>
          <w:szCs w:val="21"/>
        </w:rPr>
      </w:pPr>
      <w:r>
        <w:rPr>
          <w:rFonts w:hint="eastAsia" w:ascii="宋体" w:hAnsi="宋体"/>
          <w:szCs w:val="21"/>
          <w:lang w:val="en-US" w:eastAsia="zh-CN"/>
        </w:rPr>
        <w:t>2.</w:t>
      </w:r>
      <w:r>
        <w:rPr>
          <w:rFonts w:hint="eastAsia" w:ascii="宋体" w:hAnsi="宋体"/>
          <w:szCs w:val="21"/>
          <w:lang w:eastAsia="zh-CN"/>
        </w:rPr>
        <w:t>★设备使用年限：10年（提供设备铭牌图片）。</w:t>
      </w:r>
    </w:p>
    <w:p>
      <w:pPr>
        <w:spacing w:line="400" w:lineRule="exact"/>
        <w:ind w:left="480" w:leftChars="0" w:hanging="480" w:hangingChars="200"/>
        <w:rPr>
          <w:rFonts w:ascii="宋体" w:hAnsi="宋体" w:cs="宋体"/>
          <w:color w:val="000000"/>
          <w:sz w:val="24"/>
        </w:rPr>
      </w:pPr>
    </w:p>
    <w:p>
      <w:pPr>
        <w:numPr>
          <w:ilvl w:val="0"/>
          <w:numId w:val="1"/>
        </w:numPr>
        <w:spacing w:line="400" w:lineRule="exact"/>
        <w:ind w:left="562" w:leftChars="0" w:hanging="562" w:hangingChars="200"/>
        <w:rPr>
          <w:rFonts w:hint="eastAsia"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具体要求</w:t>
      </w:r>
    </w:p>
    <w:p>
      <w:pPr>
        <w:numPr>
          <w:ilvl w:val="0"/>
          <w:numId w:val="0"/>
        </w:numPr>
        <w:spacing w:line="400" w:lineRule="exact"/>
        <w:ind w:leftChars="-200"/>
        <w:rPr>
          <w:rFonts w:hint="eastAsia" w:asciiTheme="minorEastAsia" w:hAnsiTheme="minorEastAsia" w:eastAsiaTheme="minorEastAsia"/>
          <w:b/>
          <w:color w:val="auto"/>
          <w:sz w:val="28"/>
          <w:szCs w:val="28"/>
        </w:rPr>
      </w:pPr>
    </w:p>
    <w:p>
      <w:pPr>
        <w:pStyle w:val="6"/>
        <w:numPr>
          <w:ilvl w:val="0"/>
          <w:numId w:val="2"/>
        </w:numPr>
        <w:snapToGrid w:val="0"/>
        <w:spacing w:line="360" w:lineRule="auto"/>
        <w:ind w:left="636" w:leftChars="102" w:hanging="422" w:hangingChars="175"/>
        <w:rPr>
          <w:rFonts w:asciiTheme="minorEastAsia" w:hAnsiTheme="minorEastAsia" w:eastAsiaTheme="minorEastAsia"/>
          <w:b/>
          <w:color w:val="auto"/>
          <w:sz w:val="24"/>
        </w:rPr>
      </w:pPr>
      <w:r>
        <w:rPr>
          <w:rFonts w:hint="eastAsia" w:asciiTheme="minorEastAsia" w:hAnsiTheme="minorEastAsia" w:eastAsiaTheme="minorEastAsia"/>
          <w:b/>
          <w:color w:val="auto"/>
          <w:sz w:val="24"/>
        </w:rPr>
        <w:t>镜头性能要求：</w:t>
      </w:r>
    </w:p>
    <w:p>
      <w:pPr>
        <w:pStyle w:val="6"/>
        <w:numPr>
          <w:ilvl w:val="0"/>
          <w:numId w:val="3"/>
        </w:numPr>
        <w:tabs>
          <w:tab w:val="left" w:pos="210"/>
        </w:tabs>
        <w:snapToGrid w:val="0"/>
        <w:spacing w:line="360" w:lineRule="auto"/>
        <w:ind w:left="586" w:leftChars="106" w:hanging="363" w:hangingChars="173"/>
        <w:rPr>
          <w:rFonts w:ascii="宋体" w:hAnsi="宋体"/>
          <w:color w:val="auto"/>
          <w:sz w:val="24"/>
          <w:highlight w:val="none"/>
        </w:rPr>
      </w:pPr>
      <w:r>
        <w:rPr>
          <w:rFonts w:hint="eastAsia" w:ascii="宋体" w:hAnsi="宋体"/>
          <w:color w:val="auto"/>
          <w:szCs w:val="21"/>
        </w:rPr>
        <w:t>★</w:t>
      </w:r>
      <w:r>
        <w:rPr>
          <w:rFonts w:hint="eastAsia" w:asciiTheme="minorEastAsia" w:hAnsiTheme="minorEastAsia" w:eastAsiaTheme="minorEastAsia"/>
          <w:color w:val="auto"/>
          <w:szCs w:val="21"/>
          <w:lang w:val="en-US" w:eastAsia="zh-CN"/>
        </w:rPr>
        <w:t>成像要求：</w:t>
      </w:r>
      <w:r>
        <w:rPr>
          <w:rFonts w:hint="eastAsia" w:ascii="宋体" w:hAnsi="宋体"/>
          <w:color w:val="auto"/>
          <w:szCs w:val="21"/>
        </w:rPr>
        <w:t>具有光学</w:t>
      </w:r>
      <w:r>
        <w:rPr>
          <w:rFonts w:hint="eastAsia" w:ascii="宋体" w:hAnsi="宋体"/>
          <w:color w:val="auto"/>
          <w:szCs w:val="21"/>
          <w:lang w:val="en-US" w:eastAsia="zh-CN"/>
        </w:rPr>
        <w:t>放大连续变倍、</w:t>
      </w:r>
      <w:r>
        <w:rPr>
          <w:rFonts w:hint="eastAsia" w:ascii="宋体" w:hAnsi="宋体"/>
          <w:color w:val="auto"/>
          <w:szCs w:val="21"/>
        </w:rPr>
        <w:t>自动聚焦和1080p高清视频成像功能，整机系统水平分辨率≥</w:t>
      </w:r>
      <w:r>
        <w:rPr>
          <w:rFonts w:hint="eastAsia" w:ascii="宋体" w:hAnsi="宋体"/>
          <w:color w:val="auto"/>
          <w:szCs w:val="21"/>
          <w:highlight w:val="none"/>
        </w:rPr>
        <w:t>11</w:t>
      </w:r>
      <w:r>
        <w:rPr>
          <w:rFonts w:hint="eastAsia" w:ascii="宋体" w:hAnsi="宋体"/>
          <w:color w:val="auto"/>
          <w:szCs w:val="21"/>
          <w:highlight w:val="none"/>
          <w:lang w:val="en-US" w:eastAsia="zh-CN"/>
        </w:rPr>
        <w:t>5</w:t>
      </w:r>
      <w:r>
        <w:rPr>
          <w:rFonts w:hint="eastAsia" w:ascii="宋体" w:hAnsi="宋体"/>
          <w:color w:val="auto"/>
          <w:szCs w:val="21"/>
          <w:highlight w:val="none"/>
        </w:rPr>
        <w:t>0TVL（提供检测报告并加盖厂家公章）</w:t>
      </w:r>
      <w:r>
        <w:rPr>
          <w:rFonts w:hint="eastAsia" w:asciiTheme="minorEastAsia" w:hAnsiTheme="minorEastAsia" w:eastAsiaTheme="minorEastAsia"/>
          <w:color w:val="auto"/>
          <w:szCs w:val="21"/>
          <w:highlight w:val="none"/>
        </w:rPr>
        <w:t>；</w:t>
      </w:r>
    </w:p>
    <w:p>
      <w:pPr>
        <w:pStyle w:val="6"/>
        <w:numPr>
          <w:ilvl w:val="0"/>
          <w:numId w:val="3"/>
        </w:numPr>
        <w:snapToGrid w:val="0"/>
        <w:spacing w:line="360" w:lineRule="auto"/>
        <w:ind w:left="586" w:leftChars="106" w:hanging="363" w:hangingChars="173"/>
        <w:rPr>
          <w:rFonts w:hint="eastAsia" w:ascii="宋体" w:hAnsi="宋体"/>
          <w:color w:val="auto"/>
          <w:kern w:val="0"/>
          <w:szCs w:val="21"/>
          <w:highlight w:val="none"/>
        </w:rPr>
      </w:pPr>
      <w:r>
        <w:rPr>
          <w:rFonts w:hint="eastAsia" w:ascii="宋体" w:hAnsi="宋体"/>
          <w:color w:val="auto"/>
          <w:kern w:val="0"/>
          <w:szCs w:val="21"/>
          <w:highlight w:val="none"/>
        </w:rPr>
        <w:t>视场范围满足：≥100mm(3X), ≥1</w:t>
      </w:r>
      <w:r>
        <w:rPr>
          <w:rFonts w:hint="eastAsia" w:ascii="宋体" w:hAnsi="宋体"/>
          <w:color w:val="auto"/>
          <w:kern w:val="0"/>
          <w:szCs w:val="21"/>
          <w:highlight w:val="none"/>
          <w:lang w:val="en-US" w:eastAsia="zh-CN"/>
        </w:rPr>
        <w:t>6</w:t>
      </w:r>
      <w:r>
        <w:rPr>
          <w:rFonts w:hint="eastAsia" w:ascii="宋体" w:hAnsi="宋体"/>
          <w:color w:val="auto"/>
          <w:kern w:val="0"/>
          <w:szCs w:val="21"/>
          <w:highlight w:val="none"/>
        </w:rPr>
        <w:t>mm(</w:t>
      </w:r>
      <w:r>
        <w:rPr>
          <w:rFonts w:hint="eastAsia" w:ascii="宋体" w:hAnsi="宋体"/>
          <w:color w:val="auto"/>
          <w:kern w:val="0"/>
          <w:szCs w:val="21"/>
          <w:highlight w:val="none"/>
          <w:lang w:val="en-US" w:eastAsia="zh-CN"/>
        </w:rPr>
        <w:t>18</w:t>
      </w:r>
      <w:r>
        <w:rPr>
          <w:rFonts w:hint="eastAsia" w:ascii="宋体" w:hAnsi="宋体"/>
          <w:color w:val="auto"/>
          <w:kern w:val="0"/>
          <w:szCs w:val="21"/>
          <w:highlight w:val="none"/>
        </w:rPr>
        <w:t>X)</w:t>
      </w:r>
      <w:r>
        <w:rPr>
          <w:rFonts w:hint="eastAsia" w:ascii="宋体" w:hAnsi="宋体"/>
          <w:color w:val="auto"/>
          <w:kern w:val="0"/>
          <w:szCs w:val="21"/>
          <w:highlight w:val="none"/>
          <w:lang w:eastAsia="zh-CN"/>
        </w:rPr>
        <w:t>；</w:t>
      </w:r>
    </w:p>
    <w:p>
      <w:pPr>
        <w:pStyle w:val="6"/>
        <w:numPr>
          <w:ilvl w:val="0"/>
          <w:numId w:val="3"/>
        </w:numPr>
        <w:snapToGrid w:val="0"/>
        <w:spacing w:line="360" w:lineRule="auto"/>
        <w:ind w:left="586" w:leftChars="106" w:hanging="363" w:hangingChars="173"/>
        <w:rPr>
          <w:rFonts w:hint="eastAsia" w:ascii="宋体" w:hAnsi="宋体"/>
          <w:color w:val="auto"/>
          <w:kern w:val="0"/>
          <w:szCs w:val="21"/>
          <w:highlight w:val="none"/>
        </w:rPr>
      </w:pPr>
      <w:r>
        <w:rPr>
          <w:rFonts w:hint="eastAsia" w:ascii="微软雅黑" w:hAnsi="微软雅黑" w:eastAsia="微软雅黑" w:cs="微软雅黑"/>
          <w:color w:val="auto"/>
          <w:szCs w:val="21"/>
        </w:rPr>
        <w:t>✩</w:t>
      </w:r>
      <w:r>
        <w:rPr>
          <w:rFonts w:hint="eastAsia" w:ascii="宋体" w:hAnsi="宋体"/>
          <w:color w:val="auto"/>
          <w:kern w:val="0"/>
          <w:szCs w:val="21"/>
          <w:highlight w:val="none"/>
          <w:lang w:val="en-US" w:eastAsia="zh-CN"/>
        </w:rPr>
        <w:t>镜头成像</w:t>
      </w:r>
      <w:r>
        <w:rPr>
          <w:rFonts w:hint="eastAsia" w:ascii="宋体" w:hAnsi="宋体"/>
          <w:color w:val="auto"/>
          <w:kern w:val="0"/>
          <w:szCs w:val="21"/>
          <w:highlight w:val="none"/>
        </w:rPr>
        <w:t>景深：</w:t>
      </w:r>
      <w:bookmarkStart w:id="0" w:name="OLE_LINK1"/>
      <w:r>
        <w:rPr>
          <w:rFonts w:hint="eastAsia" w:ascii="宋体" w:hAnsi="宋体"/>
          <w:color w:val="auto"/>
          <w:kern w:val="0"/>
          <w:szCs w:val="21"/>
          <w:highlight w:val="none"/>
          <w:lang w:val="en-US" w:eastAsia="zh-CN"/>
        </w:rPr>
        <w:t>放大倍数3x观察条件下</w:t>
      </w:r>
      <w:bookmarkEnd w:id="0"/>
      <w:r>
        <w:rPr>
          <w:rFonts w:hint="eastAsia" w:ascii="宋体" w:hAnsi="宋体"/>
          <w:color w:val="auto"/>
          <w:kern w:val="0"/>
          <w:szCs w:val="21"/>
          <w:highlight w:val="none"/>
        </w:rPr>
        <w:t>≥2</w:t>
      </w:r>
      <w:r>
        <w:rPr>
          <w:rFonts w:hint="eastAsia" w:ascii="宋体" w:hAnsi="宋体"/>
          <w:color w:val="auto"/>
          <w:kern w:val="0"/>
          <w:szCs w:val="21"/>
          <w:highlight w:val="none"/>
          <w:lang w:val="en-US" w:eastAsia="zh-CN"/>
        </w:rPr>
        <w:t>0</w:t>
      </w:r>
      <w:r>
        <w:rPr>
          <w:rFonts w:hint="eastAsia" w:ascii="宋体" w:hAnsi="宋体"/>
          <w:color w:val="auto"/>
          <w:kern w:val="0"/>
          <w:szCs w:val="21"/>
          <w:highlight w:val="none"/>
        </w:rPr>
        <w:t xml:space="preserve">0mm, </w:t>
      </w:r>
      <w:r>
        <w:rPr>
          <w:rFonts w:hint="eastAsia" w:ascii="宋体" w:hAnsi="宋体"/>
          <w:color w:val="auto"/>
          <w:kern w:val="0"/>
          <w:szCs w:val="21"/>
          <w:highlight w:val="none"/>
          <w:lang w:val="en-US" w:eastAsia="zh-CN"/>
        </w:rPr>
        <w:t>放大倍数18x观察条件下</w:t>
      </w:r>
      <w:r>
        <w:rPr>
          <w:rFonts w:hint="eastAsia" w:ascii="宋体" w:hAnsi="宋体"/>
          <w:color w:val="auto"/>
          <w:kern w:val="0"/>
          <w:szCs w:val="21"/>
          <w:highlight w:val="none"/>
        </w:rPr>
        <w:t>≥</w:t>
      </w:r>
      <w:r>
        <w:rPr>
          <w:rFonts w:hint="eastAsia" w:ascii="宋体" w:hAnsi="宋体"/>
          <w:color w:val="auto"/>
          <w:kern w:val="0"/>
          <w:szCs w:val="21"/>
          <w:highlight w:val="none"/>
          <w:lang w:val="en-US" w:eastAsia="zh-CN"/>
        </w:rPr>
        <w:t>60</w:t>
      </w:r>
      <w:r>
        <w:rPr>
          <w:rFonts w:hint="eastAsia" w:ascii="宋体" w:hAnsi="宋体"/>
          <w:color w:val="auto"/>
          <w:kern w:val="0"/>
          <w:szCs w:val="21"/>
          <w:highlight w:val="none"/>
        </w:rPr>
        <w:t>mm</w:t>
      </w:r>
      <w:r>
        <w:rPr>
          <w:rFonts w:hint="eastAsia" w:ascii="宋体" w:hAnsi="宋体"/>
          <w:color w:val="auto"/>
          <w:kern w:val="0"/>
          <w:szCs w:val="21"/>
          <w:highlight w:val="none"/>
          <w:lang w:eastAsia="zh-CN"/>
        </w:rPr>
        <w:t>；</w:t>
      </w:r>
      <w:r>
        <w:rPr>
          <w:rFonts w:hint="eastAsia" w:ascii="宋体" w:hAnsi="宋体"/>
          <w:color w:val="auto"/>
          <w:kern w:val="0"/>
          <w:szCs w:val="21"/>
          <w:highlight w:val="none"/>
        </w:rPr>
        <w:t>（</w:t>
      </w:r>
      <w:r>
        <w:rPr>
          <w:rFonts w:hint="eastAsia" w:ascii="宋体" w:hAnsi="宋体"/>
          <w:color w:val="auto"/>
          <w:kern w:val="0"/>
          <w:szCs w:val="21"/>
        </w:rPr>
        <w:t>提供检测报告并加盖厂</w:t>
      </w:r>
      <w:r>
        <w:rPr>
          <w:rFonts w:hint="eastAsia" w:ascii="宋体" w:hAnsi="宋体"/>
          <w:color w:val="auto"/>
          <w:szCs w:val="21"/>
        </w:rPr>
        <w:t>家公章）；</w:t>
      </w:r>
    </w:p>
    <w:p>
      <w:pPr>
        <w:pStyle w:val="6"/>
        <w:numPr>
          <w:ilvl w:val="0"/>
          <w:numId w:val="3"/>
        </w:numPr>
        <w:snapToGrid w:val="0"/>
        <w:spacing w:line="360" w:lineRule="auto"/>
        <w:ind w:left="586" w:leftChars="106" w:hanging="363" w:hangingChars="173"/>
        <w:rPr>
          <w:rFonts w:hint="eastAsia" w:ascii="宋体" w:hAnsi="宋体"/>
          <w:color w:val="auto"/>
          <w:kern w:val="0"/>
          <w:szCs w:val="21"/>
          <w:highlight w:val="none"/>
        </w:rPr>
      </w:pPr>
      <w:r>
        <w:rPr>
          <w:rFonts w:hint="eastAsia" w:ascii="微软雅黑" w:hAnsi="微软雅黑" w:eastAsia="微软雅黑" w:cs="微软雅黑"/>
          <w:color w:val="auto"/>
          <w:szCs w:val="21"/>
        </w:rPr>
        <w:t>✩</w:t>
      </w:r>
      <w:r>
        <w:rPr>
          <w:rFonts w:hint="eastAsia" w:ascii="宋体" w:hAnsi="宋体"/>
          <w:color w:val="auto"/>
          <w:szCs w:val="21"/>
          <w:highlight w:val="none"/>
          <w:lang w:val="en-US" w:eastAsia="zh-CN"/>
        </w:rPr>
        <w:t>视频观察</w:t>
      </w:r>
      <w:r>
        <w:rPr>
          <w:rFonts w:hint="eastAsia" w:ascii="宋体" w:hAnsi="宋体"/>
          <w:color w:val="auto"/>
          <w:szCs w:val="21"/>
          <w:highlight w:val="none"/>
        </w:rPr>
        <w:t>图像</w:t>
      </w:r>
      <w:r>
        <w:rPr>
          <w:rFonts w:hint="eastAsia" w:ascii="宋体" w:hAnsi="宋体"/>
          <w:color w:val="auto"/>
          <w:szCs w:val="21"/>
          <w:highlight w:val="none"/>
          <w:lang w:eastAsia="zh-CN"/>
        </w:rPr>
        <w:t>：</w:t>
      </w:r>
      <w:r>
        <w:rPr>
          <w:rFonts w:hint="eastAsia" w:ascii="宋体" w:hAnsi="宋体"/>
          <w:color w:val="auto"/>
          <w:szCs w:val="21"/>
          <w:highlight w:val="none"/>
        </w:rPr>
        <w:t>几何失真度为≤</w:t>
      </w:r>
      <w:r>
        <w:rPr>
          <w:rFonts w:hint="eastAsia" w:ascii="宋体" w:hAnsi="宋体"/>
          <w:color w:val="auto"/>
          <w:szCs w:val="21"/>
          <w:highlight w:val="none"/>
          <w:lang w:val="en-US" w:eastAsia="zh-CN"/>
        </w:rPr>
        <w:t>0.5</w:t>
      </w:r>
      <w:r>
        <w:rPr>
          <w:rFonts w:hint="eastAsia" w:ascii="宋体" w:hAnsi="宋体"/>
          <w:color w:val="auto"/>
          <w:szCs w:val="21"/>
          <w:highlight w:val="none"/>
        </w:rPr>
        <w:t>%；视场中心的空间分辨力≥</w:t>
      </w:r>
      <w:r>
        <w:rPr>
          <w:rFonts w:hint="eastAsia" w:ascii="宋体" w:hAnsi="宋体"/>
          <w:color w:val="auto"/>
          <w:szCs w:val="21"/>
          <w:highlight w:val="none"/>
          <w:lang w:val="en-US" w:eastAsia="zh-CN"/>
        </w:rPr>
        <w:t>20</w:t>
      </w:r>
      <w:r>
        <w:rPr>
          <w:rFonts w:hint="eastAsia" w:ascii="宋体" w:hAnsi="宋体"/>
          <w:color w:val="auto"/>
          <w:szCs w:val="21"/>
          <w:highlight w:val="none"/>
        </w:rPr>
        <w:t xml:space="preserve"> lP/mm</w:t>
      </w:r>
      <w:r>
        <w:rPr>
          <w:rFonts w:hint="eastAsia" w:ascii="宋体" w:hAnsi="宋体"/>
          <w:color w:val="auto"/>
          <w:szCs w:val="21"/>
          <w:highlight w:val="none"/>
          <w:lang w:eastAsia="zh-CN"/>
        </w:rPr>
        <w:t>；</w:t>
      </w:r>
      <w:r>
        <w:rPr>
          <w:rFonts w:hint="eastAsia" w:ascii="宋体" w:hAnsi="宋体"/>
          <w:color w:val="auto"/>
          <w:szCs w:val="21"/>
          <w:highlight w:val="none"/>
        </w:rPr>
        <w:t>色彩饱和度平均值不小于95%,色彩还原度最大误差不</w:t>
      </w:r>
      <w:r>
        <w:rPr>
          <w:rFonts w:hint="eastAsia" w:ascii="宋体" w:hAnsi="宋体"/>
          <w:color w:val="auto"/>
          <w:kern w:val="0"/>
          <w:szCs w:val="21"/>
          <w:highlight w:val="none"/>
        </w:rPr>
        <w:t>大于30 NBS，平均误差不大于20 NBS；</w:t>
      </w:r>
      <w:r>
        <w:rPr>
          <w:rFonts w:hint="eastAsia" w:ascii="宋体" w:hAnsi="宋体"/>
          <w:color w:val="auto"/>
          <w:kern w:val="0"/>
          <w:szCs w:val="21"/>
        </w:rPr>
        <w:t>（提供检测报告并加盖厂</w:t>
      </w:r>
      <w:r>
        <w:rPr>
          <w:rFonts w:hint="eastAsia" w:ascii="宋体" w:hAnsi="宋体"/>
          <w:color w:val="auto"/>
          <w:szCs w:val="21"/>
        </w:rPr>
        <w:t>家公章）；</w:t>
      </w:r>
    </w:p>
    <w:p>
      <w:pPr>
        <w:pStyle w:val="6"/>
        <w:numPr>
          <w:ilvl w:val="0"/>
          <w:numId w:val="3"/>
        </w:numPr>
        <w:snapToGrid w:val="0"/>
        <w:spacing w:line="360" w:lineRule="auto"/>
        <w:ind w:left="586" w:leftChars="106" w:hanging="363" w:hangingChars="173"/>
        <w:rPr>
          <w:rFonts w:hint="eastAsia" w:ascii="宋体" w:hAnsi="宋体"/>
          <w:color w:val="auto"/>
          <w:kern w:val="0"/>
          <w:szCs w:val="21"/>
          <w:highlight w:val="none"/>
        </w:rPr>
      </w:pPr>
      <w:r>
        <w:rPr>
          <w:rFonts w:hint="eastAsia" w:ascii="宋体" w:hAnsi="宋体"/>
          <w:color w:val="auto"/>
          <w:kern w:val="0"/>
          <w:szCs w:val="21"/>
          <w:highlight w:val="none"/>
          <w:lang w:val="en-US" w:eastAsia="zh-CN"/>
        </w:rPr>
        <w:t>镜头成像</w:t>
      </w:r>
      <w:r>
        <w:rPr>
          <w:rFonts w:hint="eastAsia" w:ascii="宋体" w:hAnsi="宋体"/>
          <w:color w:val="auto"/>
          <w:kern w:val="0"/>
          <w:szCs w:val="21"/>
          <w:highlight w:val="none"/>
        </w:rPr>
        <w:t>工作距离</w:t>
      </w:r>
      <w:r>
        <w:rPr>
          <w:rFonts w:hint="eastAsia" w:ascii="宋体" w:hAnsi="宋体"/>
          <w:color w:val="auto"/>
          <w:kern w:val="0"/>
          <w:szCs w:val="21"/>
          <w:highlight w:val="none"/>
          <w:lang w:eastAsia="zh-CN"/>
        </w:rPr>
        <w:t>：</w:t>
      </w:r>
      <w:r>
        <w:rPr>
          <w:rFonts w:hint="eastAsia" w:ascii="宋体" w:hAnsi="宋体"/>
          <w:color w:val="auto"/>
          <w:kern w:val="0"/>
          <w:szCs w:val="21"/>
          <w:highlight w:val="none"/>
        </w:rPr>
        <w:t>1</w:t>
      </w:r>
      <w:r>
        <w:rPr>
          <w:rFonts w:hint="eastAsia" w:ascii="宋体" w:hAnsi="宋体"/>
          <w:color w:val="auto"/>
          <w:kern w:val="0"/>
          <w:szCs w:val="21"/>
          <w:highlight w:val="none"/>
          <w:lang w:val="en-US" w:eastAsia="zh-CN"/>
        </w:rPr>
        <w:t>5</w:t>
      </w:r>
      <w:r>
        <w:rPr>
          <w:rFonts w:hint="eastAsia" w:ascii="宋体" w:hAnsi="宋体"/>
          <w:color w:val="auto"/>
          <w:kern w:val="0"/>
          <w:szCs w:val="21"/>
          <w:highlight w:val="none"/>
        </w:rPr>
        <w:t>0mm～3</w:t>
      </w:r>
      <w:r>
        <w:rPr>
          <w:rFonts w:hint="eastAsia" w:ascii="宋体" w:hAnsi="宋体"/>
          <w:color w:val="auto"/>
          <w:kern w:val="0"/>
          <w:szCs w:val="21"/>
          <w:highlight w:val="none"/>
          <w:lang w:val="en-US" w:eastAsia="zh-CN"/>
        </w:rPr>
        <w:t>8</w:t>
      </w:r>
      <w:r>
        <w:rPr>
          <w:rFonts w:hint="eastAsia" w:ascii="宋体" w:hAnsi="宋体"/>
          <w:color w:val="auto"/>
          <w:kern w:val="0"/>
          <w:szCs w:val="21"/>
          <w:highlight w:val="none"/>
        </w:rPr>
        <w:t>0mm；</w:t>
      </w:r>
      <w:r>
        <w:rPr>
          <w:rFonts w:hint="eastAsia" w:ascii="宋体" w:hAnsi="宋体"/>
          <w:color w:val="auto"/>
          <w:kern w:val="0"/>
          <w:szCs w:val="21"/>
        </w:rPr>
        <w:t>（提供检测报告并加盖厂</w:t>
      </w:r>
      <w:r>
        <w:rPr>
          <w:rFonts w:hint="eastAsia" w:ascii="宋体" w:hAnsi="宋体"/>
          <w:color w:val="auto"/>
          <w:szCs w:val="21"/>
        </w:rPr>
        <w:t>家公章）</w:t>
      </w:r>
    </w:p>
    <w:p>
      <w:pPr>
        <w:pStyle w:val="6"/>
        <w:numPr>
          <w:ilvl w:val="0"/>
          <w:numId w:val="3"/>
        </w:numPr>
        <w:snapToGrid w:val="0"/>
        <w:spacing w:line="360" w:lineRule="auto"/>
        <w:ind w:left="586" w:leftChars="106" w:hanging="363" w:hangingChars="173"/>
        <w:rPr>
          <w:rFonts w:hint="eastAsia" w:ascii="宋体" w:hAnsi="宋体"/>
          <w:color w:val="auto"/>
          <w:kern w:val="0"/>
          <w:szCs w:val="21"/>
        </w:rPr>
      </w:pPr>
      <w:r>
        <w:rPr>
          <w:rFonts w:hint="eastAsia" w:ascii="宋体" w:hAnsi="宋体"/>
          <w:color w:val="auto"/>
          <w:kern w:val="0"/>
          <w:szCs w:val="21"/>
          <w:lang w:val="en-US" w:eastAsia="zh-CN"/>
        </w:rPr>
        <w:t>镜头视频成像放大倍数：</w:t>
      </w:r>
      <w:r>
        <w:rPr>
          <w:rFonts w:hint="eastAsia" w:ascii="宋体" w:hAnsi="宋体"/>
          <w:color w:val="auto"/>
          <w:kern w:val="0"/>
          <w:szCs w:val="21"/>
          <w:highlight w:val="none"/>
        </w:rPr>
        <w:t>支持</w:t>
      </w:r>
      <w:r>
        <w:rPr>
          <w:rFonts w:hint="eastAsia" w:ascii="宋体" w:hAnsi="宋体"/>
          <w:color w:val="auto"/>
          <w:kern w:val="0"/>
          <w:szCs w:val="21"/>
          <w:highlight w:val="none"/>
          <w:lang w:val="en-US" w:eastAsia="zh-CN"/>
        </w:rPr>
        <w:t>连续变倍≥45</w:t>
      </w:r>
      <w:r>
        <w:rPr>
          <w:rFonts w:hint="eastAsia" w:ascii="宋体" w:hAnsi="宋体"/>
          <w:color w:val="auto"/>
          <w:kern w:val="0"/>
          <w:szCs w:val="21"/>
          <w:highlight w:val="none"/>
        </w:rPr>
        <w:t>倍（可选1～90倍）,</w:t>
      </w:r>
      <w:r>
        <w:rPr>
          <w:rFonts w:hint="eastAsia" w:ascii="宋体" w:hAnsi="宋体"/>
          <w:color w:val="auto"/>
          <w:kern w:val="0"/>
          <w:szCs w:val="21"/>
          <w:lang w:val="en-US" w:eastAsia="zh-CN"/>
        </w:rPr>
        <w:t>可在视频图像上标记显示放大倍数标记，</w:t>
      </w:r>
      <w:r>
        <w:rPr>
          <w:rFonts w:hint="eastAsia" w:ascii="宋体" w:hAnsi="宋体"/>
          <w:color w:val="auto"/>
          <w:kern w:val="0"/>
          <w:szCs w:val="21"/>
        </w:rPr>
        <w:t>并可在打印报告中显示对图像的倍数标记；</w:t>
      </w:r>
    </w:p>
    <w:p>
      <w:pPr>
        <w:pStyle w:val="6"/>
        <w:numPr>
          <w:ilvl w:val="0"/>
          <w:numId w:val="3"/>
        </w:numPr>
        <w:snapToGrid w:val="0"/>
        <w:spacing w:line="360" w:lineRule="auto"/>
        <w:ind w:left="586" w:leftChars="106" w:hanging="363" w:hangingChars="173"/>
        <w:rPr>
          <w:rFonts w:ascii="宋体" w:hAnsi="宋体"/>
          <w:color w:val="auto"/>
          <w:szCs w:val="21"/>
          <w:highlight w:val="none"/>
        </w:rPr>
      </w:pPr>
      <w:bookmarkStart w:id="1" w:name="OLE_LINK2"/>
      <w:r>
        <w:rPr>
          <w:rFonts w:hint="eastAsia" w:ascii="宋体" w:hAnsi="宋体"/>
          <w:color w:val="auto"/>
          <w:kern w:val="0"/>
          <w:szCs w:val="21"/>
          <w:lang w:val="en-US" w:eastAsia="zh-CN"/>
        </w:rPr>
        <w:t>镜头光源：</w:t>
      </w:r>
      <w:bookmarkEnd w:id="1"/>
      <w:r>
        <w:rPr>
          <w:rFonts w:hint="eastAsia" w:ascii="宋体" w:hAnsi="宋体"/>
          <w:color w:val="auto"/>
          <w:kern w:val="0"/>
          <w:szCs w:val="21"/>
        </w:rPr>
        <w:t>采</w:t>
      </w:r>
      <w:r>
        <w:rPr>
          <w:rFonts w:hint="eastAsia" w:ascii="宋体" w:hAnsi="宋体"/>
          <w:color w:val="auto"/>
          <w:kern w:val="0"/>
          <w:szCs w:val="21"/>
          <w:highlight w:val="none"/>
        </w:rPr>
        <w:t>用</w:t>
      </w:r>
      <w:r>
        <w:rPr>
          <w:rFonts w:hint="eastAsia" w:ascii="宋体" w:hAnsi="宋体"/>
          <w:color w:val="auto"/>
          <w:kern w:val="0"/>
          <w:szCs w:val="21"/>
          <w:highlight w:val="none"/>
          <w:lang w:val="en-US" w:eastAsia="zh-CN"/>
        </w:rPr>
        <w:t>长寿命、</w:t>
      </w:r>
      <w:r>
        <w:rPr>
          <w:rFonts w:hint="eastAsia" w:ascii="宋体" w:hAnsi="宋体"/>
          <w:color w:val="auto"/>
          <w:kern w:val="0"/>
          <w:szCs w:val="21"/>
          <w:highlight w:val="none"/>
        </w:rPr>
        <w:t>高亮度</w:t>
      </w:r>
      <w:r>
        <w:rPr>
          <w:rFonts w:hint="eastAsia" w:ascii="宋体" w:hAnsi="宋体"/>
          <w:color w:val="auto"/>
          <w:kern w:val="0"/>
          <w:szCs w:val="21"/>
          <w:highlight w:val="none"/>
          <w:lang w:eastAsia="zh-CN"/>
        </w:rPr>
        <w:t>、</w:t>
      </w:r>
      <w:r>
        <w:rPr>
          <w:rFonts w:hint="eastAsia" w:ascii="宋体" w:hAnsi="宋体"/>
          <w:color w:val="auto"/>
          <w:kern w:val="0"/>
          <w:szCs w:val="21"/>
          <w:highlight w:val="none"/>
          <w:lang w:val="en-US" w:eastAsia="zh-CN"/>
        </w:rPr>
        <w:t>高显色性</w:t>
      </w:r>
      <w:r>
        <w:rPr>
          <w:rFonts w:hint="eastAsia" w:ascii="宋体" w:hAnsi="宋体"/>
          <w:color w:val="auto"/>
          <w:kern w:val="0"/>
          <w:szCs w:val="21"/>
          <w:highlight w:val="none"/>
        </w:rPr>
        <w:t>LED</w:t>
      </w:r>
      <w:r>
        <w:rPr>
          <w:rFonts w:hint="eastAsia" w:ascii="宋体" w:hAnsi="宋体"/>
          <w:color w:val="auto"/>
          <w:kern w:val="0"/>
          <w:szCs w:val="21"/>
          <w:highlight w:val="none"/>
          <w:lang w:val="en-US" w:eastAsia="zh-CN"/>
        </w:rPr>
        <w:t>环形组光源，</w:t>
      </w:r>
      <w:r>
        <w:rPr>
          <w:rFonts w:hint="eastAsia" w:ascii="宋体" w:hAnsi="宋体"/>
          <w:color w:val="auto"/>
          <w:kern w:val="0"/>
          <w:szCs w:val="21"/>
          <w:highlight w:val="none"/>
        </w:rPr>
        <w:t>当工作距离为200mm时目标中心照度的最大值≥</w:t>
      </w:r>
      <w:r>
        <w:rPr>
          <w:rFonts w:hint="eastAsia" w:ascii="宋体" w:hAnsi="宋体"/>
          <w:color w:val="auto"/>
          <w:kern w:val="0"/>
          <w:szCs w:val="21"/>
          <w:highlight w:val="none"/>
          <w:lang w:val="en-US" w:eastAsia="zh-CN"/>
        </w:rPr>
        <w:t>1</w:t>
      </w:r>
      <w:r>
        <w:rPr>
          <w:rFonts w:hint="eastAsia" w:ascii="宋体" w:hAnsi="宋体"/>
          <w:color w:val="auto"/>
          <w:kern w:val="0"/>
          <w:szCs w:val="21"/>
          <w:highlight w:val="none"/>
        </w:rPr>
        <w:t>5000Lx，当工作距离为300mm时目标中心照度的最大值≥</w:t>
      </w:r>
      <w:r>
        <w:rPr>
          <w:rFonts w:hint="eastAsia" w:ascii="宋体" w:hAnsi="宋体"/>
          <w:color w:val="auto"/>
          <w:kern w:val="0"/>
          <w:szCs w:val="21"/>
          <w:highlight w:val="none"/>
          <w:lang w:val="en-US" w:eastAsia="zh-CN"/>
        </w:rPr>
        <w:t>1</w:t>
      </w:r>
      <w:r>
        <w:rPr>
          <w:rFonts w:hint="eastAsia" w:ascii="宋体" w:hAnsi="宋体"/>
          <w:color w:val="auto"/>
          <w:kern w:val="0"/>
          <w:szCs w:val="21"/>
          <w:highlight w:val="none"/>
        </w:rPr>
        <w:t>0000Lx（提供检测报告并加盖厂</w:t>
      </w:r>
      <w:r>
        <w:rPr>
          <w:rFonts w:hint="eastAsia" w:ascii="宋体" w:hAnsi="宋体"/>
          <w:color w:val="auto"/>
          <w:szCs w:val="21"/>
          <w:highlight w:val="none"/>
        </w:rPr>
        <w:t>家公章）；；</w:t>
      </w:r>
    </w:p>
    <w:p>
      <w:pPr>
        <w:pStyle w:val="6"/>
        <w:numPr>
          <w:ilvl w:val="0"/>
          <w:numId w:val="3"/>
        </w:numPr>
        <w:snapToGrid w:val="0"/>
        <w:spacing w:line="360" w:lineRule="auto"/>
        <w:ind w:left="586" w:leftChars="106" w:hanging="363" w:hangingChars="173"/>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镜头按键功能：基于人因工程设计的镜头12按键功能：检查、计时、回放、报告、放大、缩小、三级白光、三级绿光、手扣采图。（镜头按键图证明文件并加盖生产厂家公章）</w:t>
      </w:r>
    </w:p>
    <w:p>
      <w:pPr>
        <w:pStyle w:val="6"/>
        <w:numPr>
          <w:ilvl w:val="0"/>
          <w:numId w:val="3"/>
        </w:numPr>
        <w:snapToGrid w:val="0"/>
        <w:spacing w:line="360" w:lineRule="auto"/>
        <w:ind w:left="586" w:leftChars="106" w:hanging="363" w:hangingChars="173"/>
        <w:rPr>
          <w:rFonts w:hint="eastAsia" w:ascii="宋体" w:hAnsi="宋体"/>
          <w:color w:val="auto"/>
          <w:kern w:val="0"/>
          <w:szCs w:val="21"/>
          <w:highlight w:val="none"/>
          <w:lang w:val="en-US" w:eastAsia="zh-CN"/>
        </w:rPr>
      </w:pPr>
      <w:r>
        <w:rPr>
          <w:rFonts w:hint="eastAsia" w:ascii="宋体" w:hAnsi="宋体"/>
          <w:color w:val="auto"/>
          <w:szCs w:val="21"/>
          <w:highlight w:val="none"/>
        </w:rPr>
        <w:t>★</w:t>
      </w:r>
      <w:r>
        <w:rPr>
          <w:rFonts w:hint="eastAsia" w:ascii="宋体" w:hAnsi="宋体"/>
          <w:color w:val="auto"/>
          <w:kern w:val="0"/>
          <w:szCs w:val="21"/>
          <w:highlight w:val="none"/>
          <w:lang w:val="en-US" w:eastAsia="zh-CN"/>
        </w:rPr>
        <w:t>镜头按键根据阴道镜检查流程，检查键“一键”实现</w:t>
      </w:r>
      <w:bookmarkStart w:id="2" w:name="OLE_LINK3"/>
      <w:r>
        <w:rPr>
          <w:rFonts w:hint="eastAsia" w:ascii="宋体" w:hAnsi="宋体"/>
          <w:color w:val="auto"/>
          <w:kern w:val="0"/>
          <w:szCs w:val="21"/>
          <w:highlight w:val="none"/>
          <w:lang w:val="en-US" w:eastAsia="zh-CN"/>
        </w:rPr>
        <w:t>6X</w:t>
      </w:r>
      <w:bookmarkEnd w:id="2"/>
      <w:r>
        <w:rPr>
          <w:rFonts w:hint="eastAsia" w:ascii="宋体" w:hAnsi="宋体"/>
          <w:color w:val="auto"/>
          <w:kern w:val="0"/>
          <w:szCs w:val="21"/>
          <w:highlight w:val="none"/>
          <w:lang w:val="en-US" w:eastAsia="zh-CN"/>
        </w:rPr>
        <w:t>-8X-12X倍光学放大观察快速切换；“一键”进入按采图时序回放观察多图界面，回放显示可将阴道镜检查过程中采集的图像按时序同屏显示，显示图像数量</w:t>
      </w:r>
      <w:r>
        <w:rPr>
          <w:rFonts w:hint="eastAsia" w:ascii="宋体" w:hAnsi="宋体" w:eastAsia="宋体" w:cs="宋体"/>
          <w:color w:val="auto"/>
          <w:kern w:val="0"/>
          <w:szCs w:val="21"/>
          <w:highlight w:val="none"/>
          <w:lang w:val="en-US" w:eastAsia="zh-CN"/>
        </w:rPr>
        <w:t>≧</w:t>
      </w:r>
      <w:r>
        <w:rPr>
          <w:rFonts w:hint="eastAsia" w:ascii="宋体" w:hAnsi="宋体"/>
          <w:color w:val="auto"/>
          <w:kern w:val="0"/>
          <w:szCs w:val="21"/>
          <w:highlight w:val="none"/>
          <w:lang w:val="en-US" w:eastAsia="zh-CN"/>
        </w:rPr>
        <w:t>6幅；“一键”进入检查报告记录操作界面；</w:t>
      </w:r>
      <w:r>
        <w:rPr>
          <w:rFonts w:hint="eastAsia" w:ascii="宋体" w:hAnsi="宋体"/>
          <w:color w:val="auto"/>
          <w:kern w:val="0"/>
          <w:szCs w:val="21"/>
          <w:highlight w:val="none"/>
        </w:rPr>
        <w:t>（提供检测报告并加盖厂</w:t>
      </w:r>
      <w:r>
        <w:rPr>
          <w:rFonts w:hint="eastAsia" w:ascii="宋体" w:hAnsi="宋体"/>
          <w:color w:val="auto"/>
          <w:szCs w:val="21"/>
          <w:highlight w:val="none"/>
        </w:rPr>
        <w:t>家公章）</w:t>
      </w:r>
      <w:r>
        <w:rPr>
          <w:rFonts w:hint="eastAsia" w:ascii="宋体" w:hAnsi="宋体"/>
          <w:color w:val="auto"/>
          <w:kern w:val="0"/>
          <w:szCs w:val="21"/>
          <w:highlight w:val="none"/>
          <w:lang w:val="en-US" w:eastAsia="zh-CN"/>
        </w:rPr>
        <w:t>；</w:t>
      </w:r>
    </w:p>
    <w:p>
      <w:pPr>
        <w:pStyle w:val="6"/>
        <w:widowControl/>
        <w:numPr>
          <w:ilvl w:val="0"/>
          <w:numId w:val="3"/>
        </w:numPr>
        <w:spacing w:after="160" w:line="360" w:lineRule="auto"/>
        <w:ind w:left="586" w:leftChars="106" w:hanging="363" w:hangingChars="173"/>
        <w:contextualSpacing/>
        <w:jc w:val="left"/>
        <w:rPr>
          <w:rFonts w:hint="eastAsia" w:ascii="宋体" w:hAnsi="宋体"/>
          <w:color w:val="auto"/>
          <w:szCs w:val="21"/>
          <w:highlight w:val="none"/>
        </w:rPr>
      </w:pPr>
      <w:r>
        <w:rPr>
          <w:rFonts w:hint="eastAsia" w:hAnsi="宋体"/>
          <w:color w:val="auto"/>
          <w:szCs w:val="21"/>
          <w:highlight w:val="none"/>
        </w:rPr>
        <w:t>镜头</w:t>
      </w:r>
      <w:r>
        <w:rPr>
          <w:rFonts w:hint="eastAsia" w:hAnsi="宋体"/>
          <w:color w:val="auto"/>
          <w:szCs w:val="21"/>
          <w:highlight w:val="none"/>
          <w:lang w:val="en-US" w:eastAsia="zh-CN"/>
        </w:rPr>
        <w:t>手柄手</w:t>
      </w:r>
      <w:r>
        <w:rPr>
          <w:rFonts w:hint="eastAsia" w:hAnsi="宋体"/>
          <w:color w:val="auto"/>
          <w:szCs w:val="21"/>
          <w:highlight w:val="none"/>
        </w:rPr>
        <w:t>扣按键</w:t>
      </w:r>
      <w:r>
        <w:rPr>
          <w:rFonts w:hint="eastAsia" w:hAnsi="宋体"/>
          <w:color w:val="auto"/>
          <w:szCs w:val="21"/>
          <w:highlight w:val="none"/>
          <w:lang w:val="en-US" w:eastAsia="zh-CN"/>
        </w:rPr>
        <w:t>功能：提供图像采集</w:t>
      </w:r>
      <w:r>
        <w:rPr>
          <w:rFonts w:hint="eastAsia" w:hAnsi="宋体"/>
          <w:color w:val="auto"/>
          <w:szCs w:val="21"/>
          <w:highlight w:val="none"/>
          <w:lang w:eastAsia="zh-Hans"/>
        </w:rPr>
        <w:t>、图像冻结等</w:t>
      </w:r>
      <w:r>
        <w:rPr>
          <w:rFonts w:hint="eastAsia" w:hAnsi="宋体"/>
          <w:color w:val="auto"/>
          <w:szCs w:val="21"/>
          <w:highlight w:val="none"/>
          <w:lang w:val="en-US" w:eastAsia="zh-CN"/>
        </w:rPr>
        <w:t>多功能模式设置</w:t>
      </w:r>
      <w:r>
        <w:rPr>
          <w:rFonts w:hint="eastAsia" w:hAnsi="宋体"/>
          <w:color w:val="auto"/>
          <w:szCs w:val="21"/>
          <w:highlight w:val="none"/>
          <w:lang w:eastAsia="zh-Hans"/>
        </w:rPr>
        <w:t>功能；</w:t>
      </w:r>
      <w:r>
        <w:rPr>
          <w:rFonts w:hint="eastAsia" w:hAnsi="宋体"/>
          <w:color w:val="auto"/>
          <w:szCs w:val="21"/>
          <w:highlight w:val="none"/>
          <w:lang w:eastAsia="zh-CN"/>
        </w:rPr>
        <w:t>（</w:t>
      </w:r>
      <w:r>
        <w:rPr>
          <w:rFonts w:hint="eastAsia" w:hAnsi="宋体"/>
          <w:color w:val="auto"/>
          <w:szCs w:val="21"/>
          <w:highlight w:val="none"/>
          <w:lang w:val="en-US" w:eastAsia="zh-CN"/>
        </w:rPr>
        <w:t>提供设置界面证明）</w:t>
      </w:r>
    </w:p>
    <w:p>
      <w:pPr>
        <w:pStyle w:val="6"/>
        <w:widowControl/>
        <w:numPr>
          <w:ilvl w:val="0"/>
          <w:numId w:val="3"/>
        </w:numPr>
        <w:spacing w:after="160" w:line="360" w:lineRule="auto"/>
        <w:ind w:left="586" w:leftChars="106" w:hanging="363" w:hangingChars="173"/>
        <w:contextualSpacing/>
        <w:jc w:val="left"/>
        <w:rPr>
          <w:rFonts w:ascii="宋体" w:hAnsi="宋体"/>
          <w:color w:val="auto"/>
          <w:szCs w:val="21"/>
        </w:rPr>
      </w:pPr>
      <w:r>
        <w:rPr>
          <w:rFonts w:hint="eastAsia" w:ascii="宋体" w:hAnsi="宋体" w:eastAsia="宋体"/>
          <w:color w:val="auto"/>
          <w:szCs w:val="21"/>
          <w:highlight w:val="none"/>
        </w:rPr>
        <w:t>配置镜头专用保护套，保护镜头按键不受污染</w:t>
      </w:r>
      <w:r>
        <w:rPr>
          <w:rFonts w:hint="eastAsia" w:ascii="宋体" w:hAnsi="宋体" w:eastAsia="宋体"/>
          <w:color w:val="auto"/>
          <w:szCs w:val="21"/>
          <w:highlight w:val="none"/>
          <w:lang w:eastAsia="zh-CN"/>
        </w:rPr>
        <w:t>；</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提供检测报告并加盖厂家公章）</w:t>
      </w:r>
    </w:p>
    <w:p>
      <w:pPr>
        <w:pStyle w:val="6"/>
        <w:numPr>
          <w:ilvl w:val="0"/>
          <w:numId w:val="3"/>
        </w:numPr>
        <w:snapToGrid w:val="0"/>
        <w:spacing w:line="360" w:lineRule="auto"/>
        <w:ind w:left="586" w:leftChars="106" w:hanging="363" w:hangingChars="173"/>
        <w:rPr>
          <w:rFonts w:ascii="宋体" w:hAnsi="宋体"/>
          <w:color w:val="auto"/>
          <w:szCs w:val="21"/>
        </w:rPr>
      </w:pPr>
      <w:r>
        <w:rPr>
          <w:rFonts w:hint="eastAsia" w:ascii="宋体" w:hAnsi="宋体"/>
          <w:color w:val="auto"/>
          <w:szCs w:val="21"/>
          <w:highlight w:val="none"/>
          <w:lang w:val="en-US" w:eastAsia="zh-CN"/>
        </w:rPr>
        <w:t>支架功能：提供</w:t>
      </w:r>
      <w:r>
        <w:rPr>
          <w:rFonts w:hint="eastAsia" w:ascii="宋体" w:hAnsi="宋体"/>
          <w:color w:val="auto"/>
          <w:szCs w:val="21"/>
          <w:highlight w:val="none"/>
        </w:rPr>
        <w:t>金属</w:t>
      </w:r>
      <w:r>
        <w:rPr>
          <w:rFonts w:hint="eastAsia" w:ascii="宋体" w:hAnsi="宋体"/>
          <w:color w:val="auto"/>
          <w:szCs w:val="21"/>
          <w:highlight w:val="none"/>
          <w:lang w:val="en-US" w:eastAsia="zh-CN"/>
        </w:rPr>
        <w:t>结构</w:t>
      </w:r>
      <w:r>
        <w:rPr>
          <w:rFonts w:hint="eastAsia" w:ascii="宋体" w:hAnsi="宋体"/>
          <w:color w:val="auto"/>
          <w:szCs w:val="21"/>
          <w:highlight w:val="none"/>
        </w:rPr>
        <w:t>可升降直立式支架</w:t>
      </w:r>
      <w:r>
        <w:rPr>
          <w:rFonts w:hint="eastAsia" w:ascii="宋体" w:hAnsi="宋体"/>
          <w:color w:val="auto"/>
          <w:szCs w:val="21"/>
          <w:highlight w:val="none"/>
          <w:lang w:eastAsia="zh-CN"/>
        </w:rPr>
        <w:t>，</w:t>
      </w:r>
      <w:r>
        <w:rPr>
          <w:rFonts w:hint="eastAsia" w:ascii="宋体" w:hAnsi="宋体"/>
          <w:color w:val="auto"/>
          <w:szCs w:val="21"/>
        </w:rPr>
        <w:t>免调节阻尼机构一体式云台，</w:t>
      </w:r>
      <w:r>
        <w:rPr>
          <w:rFonts w:hint="eastAsia" w:ascii="宋体" w:hAnsi="宋体"/>
          <w:color w:val="auto"/>
          <w:szCs w:val="21"/>
          <w:highlight w:val="none"/>
          <w:lang w:val="en-US" w:eastAsia="zh-CN"/>
        </w:rPr>
        <w:t>升降</w:t>
      </w:r>
      <w:bookmarkStart w:id="3" w:name="OLE_LINK4"/>
      <w:r>
        <w:rPr>
          <w:rFonts w:hint="eastAsia" w:ascii="宋体" w:hAnsi="宋体"/>
          <w:color w:val="auto"/>
          <w:szCs w:val="21"/>
          <w:highlight w:val="none"/>
          <w:lang w:val="en-US" w:eastAsia="zh-CN"/>
        </w:rPr>
        <w:t>范围</w:t>
      </w:r>
      <w:r>
        <w:rPr>
          <w:rFonts w:hint="eastAsia" w:ascii="宋体" w:hAnsi="宋体"/>
          <w:color w:val="auto"/>
          <w:kern w:val="0"/>
          <w:szCs w:val="21"/>
          <w:highlight w:val="none"/>
        </w:rPr>
        <w:t>≥</w:t>
      </w:r>
      <w:bookmarkEnd w:id="3"/>
      <w:r>
        <w:rPr>
          <w:rFonts w:hint="eastAsia" w:ascii="宋体" w:hAnsi="宋体"/>
          <w:color w:val="auto"/>
          <w:kern w:val="0"/>
          <w:szCs w:val="21"/>
          <w:highlight w:val="none"/>
          <w:lang w:val="en-US" w:eastAsia="zh-CN"/>
        </w:rPr>
        <w:t>200mm，</w:t>
      </w:r>
      <w:r>
        <w:rPr>
          <w:rFonts w:hint="eastAsia" w:ascii="宋体" w:hAnsi="宋体"/>
          <w:color w:val="auto"/>
          <w:szCs w:val="21"/>
          <w:highlight w:val="none"/>
          <w:lang w:val="en-US" w:eastAsia="zh-CN"/>
        </w:rPr>
        <w:t>镜头前后</w:t>
      </w:r>
      <w:r>
        <w:rPr>
          <w:rFonts w:hint="eastAsia" w:ascii="宋体" w:hAnsi="宋体"/>
          <w:color w:val="auto"/>
          <w:szCs w:val="21"/>
          <w:highlight w:val="none"/>
        </w:rPr>
        <w:t>微距调节</w:t>
      </w:r>
      <w:r>
        <w:rPr>
          <w:rFonts w:hint="eastAsia" w:ascii="宋体" w:hAnsi="宋体"/>
          <w:color w:val="auto"/>
          <w:szCs w:val="21"/>
          <w:highlight w:val="none"/>
          <w:lang w:val="en-US" w:eastAsia="zh-CN"/>
        </w:rPr>
        <w:t>范围</w:t>
      </w:r>
      <w:r>
        <w:rPr>
          <w:rFonts w:hint="eastAsia" w:ascii="宋体" w:hAnsi="宋体"/>
          <w:color w:val="auto"/>
          <w:szCs w:val="21"/>
          <w:highlight w:val="none"/>
          <w:lang w:eastAsia="zh-CN"/>
        </w:rPr>
        <w:t>：</w:t>
      </w:r>
      <w:r>
        <w:rPr>
          <w:rFonts w:hint="eastAsia" w:ascii="宋体" w:hAnsi="宋体"/>
          <w:color w:val="auto"/>
          <w:kern w:val="0"/>
          <w:szCs w:val="21"/>
          <w:highlight w:val="none"/>
        </w:rPr>
        <w:t>≥</w:t>
      </w:r>
      <w:r>
        <w:rPr>
          <w:rFonts w:hint="eastAsia" w:ascii="宋体" w:hAnsi="宋体"/>
          <w:color w:val="auto"/>
          <w:szCs w:val="21"/>
          <w:highlight w:val="none"/>
          <w:lang w:val="en-US" w:eastAsia="zh-CN"/>
        </w:rPr>
        <w:t>10</w:t>
      </w:r>
      <w:r>
        <w:rPr>
          <w:rFonts w:hint="eastAsia" w:ascii="宋体" w:hAnsi="宋体"/>
          <w:color w:val="auto"/>
          <w:szCs w:val="21"/>
          <w:highlight w:val="none"/>
        </w:rPr>
        <w:t>0mm</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不依赖脚轮移动</w:t>
      </w:r>
      <w:r>
        <w:rPr>
          <w:rFonts w:hint="eastAsia" w:ascii="宋体" w:hAnsi="宋体"/>
          <w:color w:val="auto"/>
          <w:szCs w:val="21"/>
          <w:highlight w:val="none"/>
          <w:lang w:eastAsia="zh-CN"/>
        </w:rPr>
        <w:t>）</w:t>
      </w:r>
      <w:r>
        <w:rPr>
          <w:rFonts w:hint="eastAsia" w:ascii="宋体" w:hAnsi="宋体"/>
          <w:color w:val="auto"/>
          <w:szCs w:val="21"/>
          <w:highlight w:val="none"/>
        </w:rPr>
        <w:t>（提供</w:t>
      </w:r>
      <w:r>
        <w:rPr>
          <w:rFonts w:hint="eastAsia" w:ascii="宋体" w:hAnsi="宋体"/>
          <w:color w:val="auto"/>
          <w:szCs w:val="21"/>
          <w:highlight w:val="none"/>
          <w:lang w:val="en-US" w:eastAsia="zh-CN"/>
        </w:rPr>
        <w:t>外观照片及检测报告证明，</w:t>
      </w:r>
      <w:r>
        <w:rPr>
          <w:rFonts w:hint="eastAsia" w:ascii="宋体" w:hAnsi="宋体"/>
          <w:color w:val="auto"/>
          <w:szCs w:val="21"/>
          <w:highlight w:val="none"/>
        </w:rPr>
        <w:t>并加盖生产厂家公章</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eastAsia="zh-CN"/>
        </w:rPr>
        <w:t>。</w:t>
      </w:r>
    </w:p>
    <w:p>
      <w:pPr>
        <w:pStyle w:val="6"/>
        <w:snapToGrid w:val="0"/>
        <w:spacing w:line="360" w:lineRule="auto"/>
        <w:ind w:left="581" w:leftChars="102" w:hanging="367" w:hangingChars="175"/>
        <w:rPr>
          <w:rFonts w:asciiTheme="minorEastAsia" w:hAnsiTheme="minorEastAsia" w:eastAsiaTheme="minorEastAsia"/>
          <w:color w:val="auto"/>
          <w:szCs w:val="21"/>
        </w:rPr>
      </w:pPr>
    </w:p>
    <w:p>
      <w:pPr>
        <w:pStyle w:val="6"/>
        <w:numPr>
          <w:ilvl w:val="0"/>
          <w:numId w:val="2"/>
        </w:numPr>
        <w:snapToGrid w:val="0"/>
        <w:spacing w:line="360" w:lineRule="auto"/>
        <w:ind w:left="636" w:leftChars="102" w:hanging="422" w:hangingChars="175"/>
        <w:rPr>
          <w:rFonts w:hint="eastAsia" w:asciiTheme="minorEastAsia" w:hAnsiTheme="minorEastAsia" w:eastAsiaTheme="minorEastAsia"/>
          <w:b/>
          <w:color w:val="auto"/>
          <w:sz w:val="24"/>
        </w:rPr>
      </w:pPr>
      <w:r>
        <w:rPr>
          <w:rFonts w:hint="eastAsia" w:asciiTheme="minorEastAsia" w:hAnsiTheme="minorEastAsia" w:eastAsiaTheme="minorEastAsia"/>
          <w:b/>
          <w:color w:val="auto"/>
          <w:sz w:val="24"/>
        </w:rPr>
        <w:t>阴道镜工作站性能要求：</w:t>
      </w:r>
    </w:p>
    <w:p>
      <w:pPr>
        <w:pStyle w:val="6"/>
        <w:numPr>
          <w:ilvl w:val="0"/>
          <w:numId w:val="4"/>
        </w:numPr>
        <w:tabs>
          <w:tab w:val="left" w:pos="840"/>
          <w:tab w:val="left" w:pos="1050"/>
        </w:tabs>
        <w:snapToGrid w:val="0"/>
        <w:spacing w:line="360" w:lineRule="auto"/>
        <w:ind w:left="586" w:leftChars="106" w:hanging="363" w:hangingChars="173"/>
        <w:rPr>
          <w:rFonts w:ascii="宋体" w:hAnsi="宋体"/>
          <w:bCs/>
          <w:color w:val="auto"/>
          <w:szCs w:val="21"/>
        </w:rPr>
      </w:pPr>
      <w:r>
        <w:rPr>
          <w:rFonts w:hint="eastAsia" w:ascii="宋体" w:hAnsi="宋体"/>
          <w:bCs/>
          <w:color w:val="auto"/>
          <w:szCs w:val="21"/>
        </w:rPr>
        <w:t>图像处理工作站性能要求：显示器</w:t>
      </w:r>
      <w:r>
        <w:rPr>
          <w:rFonts w:hint="default" w:ascii="宋体" w:hAnsi="宋体"/>
          <w:bCs/>
          <w:color w:val="auto"/>
          <w:szCs w:val="21"/>
        </w:rPr>
        <w:t>，</w:t>
      </w:r>
      <w:r>
        <w:rPr>
          <w:rFonts w:hint="eastAsia" w:ascii="宋体" w:hAnsi="宋体"/>
          <w:color w:val="auto"/>
          <w:szCs w:val="21"/>
        </w:rPr>
        <w:t>≥</w:t>
      </w:r>
      <w:r>
        <w:rPr>
          <w:rFonts w:hint="eastAsia" w:ascii="宋体" w:hAnsi="宋体"/>
          <w:bCs/>
          <w:color w:val="auto"/>
          <w:szCs w:val="21"/>
        </w:rPr>
        <w:t>23.8</w:t>
      </w:r>
      <w:r>
        <w:rPr>
          <w:rFonts w:ascii="宋体" w:hAnsi="宋体"/>
          <w:bCs/>
          <w:color w:val="auto"/>
          <w:szCs w:val="21"/>
        </w:rPr>
        <w:t>英</w:t>
      </w:r>
      <w:r>
        <w:rPr>
          <w:rFonts w:hint="eastAsia" w:ascii="宋体" w:hAnsi="宋体"/>
          <w:bCs/>
          <w:color w:val="auto"/>
          <w:szCs w:val="21"/>
        </w:rPr>
        <w:t>寸</w:t>
      </w:r>
      <w:r>
        <w:rPr>
          <w:rFonts w:hint="eastAsia" w:ascii="宋体" w:hAnsi="宋体"/>
          <w:color w:val="auto"/>
          <w:szCs w:val="21"/>
        </w:rPr>
        <w:t>宽视角、真彩、高清图像显示器</w:t>
      </w:r>
      <w:r>
        <w:rPr>
          <w:rFonts w:hint="default" w:ascii="宋体" w:hAnsi="宋体"/>
          <w:bCs/>
          <w:color w:val="auto"/>
          <w:szCs w:val="21"/>
        </w:rPr>
        <w:t>，</w:t>
      </w:r>
      <w:r>
        <w:rPr>
          <w:rFonts w:hint="eastAsia"/>
          <w:color w:val="auto"/>
        </w:rPr>
        <w:t>CPU≥2.5GHz</w:t>
      </w:r>
      <w:r>
        <w:rPr>
          <w:rFonts w:hint="default"/>
          <w:color w:val="auto"/>
        </w:rPr>
        <w:t xml:space="preserve"> </w:t>
      </w:r>
      <w:r>
        <w:rPr>
          <w:rFonts w:hint="eastAsia" w:ascii="宋体" w:hAnsi="宋体"/>
          <w:bCs/>
          <w:color w:val="auto"/>
          <w:szCs w:val="21"/>
        </w:rPr>
        <w:t>I3</w:t>
      </w:r>
      <w:r>
        <w:rPr>
          <w:rFonts w:hint="eastAsia" w:ascii="宋体" w:hAnsi="宋体"/>
          <w:bCs/>
          <w:color w:val="auto"/>
          <w:szCs w:val="21"/>
          <w:lang w:val="en-US" w:eastAsia="zh-Hans"/>
        </w:rPr>
        <w:t>处理器</w:t>
      </w:r>
      <w:r>
        <w:rPr>
          <w:rFonts w:hint="eastAsia" w:ascii="宋体" w:hAnsi="宋体"/>
          <w:bCs/>
          <w:color w:val="auto"/>
          <w:szCs w:val="21"/>
        </w:rPr>
        <w:t xml:space="preserve"> ，内存</w:t>
      </w:r>
      <w:r>
        <w:rPr>
          <w:rFonts w:hint="eastAsia" w:ascii="宋体" w:hAnsi="宋体"/>
          <w:color w:val="auto"/>
          <w:szCs w:val="21"/>
        </w:rPr>
        <w:t>≥</w:t>
      </w:r>
      <w:r>
        <w:rPr>
          <w:rFonts w:hint="eastAsia" w:ascii="宋体" w:hAnsi="宋体"/>
          <w:bCs/>
          <w:color w:val="auto"/>
          <w:szCs w:val="21"/>
        </w:rPr>
        <w:t>8</w:t>
      </w:r>
      <w:r>
        <w:rPr>
          <w:rFonts w:hint="eastAsia" w:ascii="宋体" w:hAnsi="宋体"/>
          <w:bCs/>
          <w:color w:val="auto"/>
          <w:szCs w:val="21"/>
          <w:lang w:eastAsia="zh-Hans"/>
        </w:rPr>
        <w:t>G</w:t>
      </w:r>
      <w:r>
        <w:rPr>
          <w:rFonts w:hint="eastAsia" w:ascii="宋体" w:hAnsi="宋体"/>
          <w:bCs/>
          <w:color w:val="auto"/>
          <w:szCs w:val="21"/>
        </w:rPr>
        <w:t>，</w:t>
      </w:r>
      <w:r>
        <w:rPr>
          <w:rFonts w:hint="eastAsia" w:ascii="宋体" w:hAnsi="宋体"/>
          <w:bCs/>
          <w:color w:val="auto"/>
          <w:szCs w:val="21"/>
          <w:lang w:val="en-US" w:eastAsia="zh-CN"/>
        </w:rPr>
        <w:t>固态硬盘</w:t>
      </w:r>
      <w:r>
        <w:rPr>
          <w:rFonts w:hint="eastAsia" w:ascii="宋体" w:hAnsi="宋体"/>
          <w:color w:val="auto"/>
          <w:szCs w:val="21"/>
        </w:rPr>
        <w:t>≥</w:t>
      </w:r>
      <w:r>
        <w:rPr>
          <w:rFonts w:hint="eastAsia" w:ascii="宋体" w:hAnsi="宋体"/>
          <w:bCs/>
          <w:color w:val="auto"/>
          <w:szCs w:val="21"/>
          <w:lang w:val="en-US" w:eastAsia="zh-CN"/>
        </w:rPr>
        <w:t>128</w:t>
      </w:r>
      <w:r>
        <w:rPr>
          <w:rFonts w:hint="eastAsia" w:ascii="宋体" w:hAnsi="宋体"/>
          <w:bCs/>
          <w:color w:val="auto"/>
          <w:szCs w:val="21"/>
          <w:lang w:eastAsia="zh-Hans"/>
        </w:rPr>
        <w:t>G</w:t>
      </w:r>
      <w:r>
        <w:rPr>
          <w:rFonts w:hint="eastAsia" w:ascii="宋体" w:hAnsi="宋体"/>
          <w:bCs/>
          <w:color w:val="auto"/>
          <w:szCs w:val="21"/>
        </w:rPr>
        <w:t>，硬盘</w:t>
      </w:r>
      <w:r>
        <w:rPr>
          <w:rFonts w:hint="eastAsia" w:ascii="宋体" w:hAnsi="宋体"/>
          <w:color w:val="auto"/>
          <w:szCs w:val="21"/>
        </w:rPr>
        <w:t>≥</w:t>
      </w:r>
      <w:r>
        <w:rPr>
          <w:rFonts w:hint="eastAsia" w:ascii="宋体" w:hAnsi="宋体"/>
          <w:bCs/>
          <w:color w:val="auto"/>
          <w:szCs w:val="21"/>
        </w:rPr>
        <w:t>1T，USB接口≥</w:t>
      </w:r>
      <w:r>
        <w:rPr>
          <w:rFonts w:hint="eastAsia" w:ascii="宋体" w:hAnsi="宋体"/>
          <w:bCs/>
          <w:color w:val="auto"/>
          <w:szCs w:val="21"/>
          <w:lang w:val="en-US" w:eastAsia="zh-CN"/>
        </w:rPr>
        <w:t>6</w:t>
      </w:r>
      <w:r>
        <w:rPr>
          <w:rFonts w:hint="eastAsia" w:ascii="宋体" w:hAnsi="宋体"/>
          <w:bCs/>
          <w:color w:val="auto"/>
          <w:szCs w:val="21"/>
        </w:rPr>
        <w:t>个；</w:t>
      </w:r>
    </w:p>
    <w:p>
      <w:pPr>
        <w:pStyle w:val="6"/>
        <w:numPr>
          <w:ilvl w:val="0"/>
          <w:numId w:val="4"/>
        </w:numPr>
        <w:tabs>
          <w:tab w:val="left" w:pos="840"/>
          <w:tab w:val="left" w:pos="1050"/>
        </w:tabs>
        <w:snapToGrid w:val="0"/>
        <w:spacing w:line="360" w:lineRule="auto"/>
        <w:ind w:left="586" w:leftChars="106" w:hanging="363" w:hangingChars="173"/>
        <w:rPr>
          <w:rFonts w:ascii="宋体" w:hAnsi="宋体"/>
          <w:bCs/>
          <w:color w:val="auto"/>
          <w:szCs w:val="21"/>
        </w:rPr>
      </w:pPr>
      <w:r>
        <w:rPr>
          <w:rFonts w:hint="eastAsia" w:ascii="宋体" w:hAnsi="宋体"/>
          <w:bCs/>
          <w:color w:val="auto"/>
          <w:szCs w:val="21"/>
        </w:rPr>
        <w:t>带网络接口，</w:t>
      </w:r>
      <w:r>
        <w:rPr>
          <w:rFonts w:hint="eastAsia" w:ascii="宋体" w:hAnsi="宋体"/>
          <w:color w:val="auto"/>
          <w:szCs w:val="21"/>
          <w:lang w:val="en-US" w:eastAsia="zh-Hans"/>
        </w:rPr>
        <w:t>内置</w:t>
      </w:r>
      <w:r>
        <w:rPr>
          <w:rFonts w:hint="default" w:ascii="宋体" w:hAnsi="宋体"/>
          <w:color w:val="auto"/>
          <w:szCs w:val="21"/>
          <w:lang w:eastAsia="zh-Hans"/>
        </w:rPr>
        <w:t>4</w:t>
      </w:r>
      <w:r>
        <w:rPr>
          <w:rFonts w:hint="eastAsia" w:ascii="宋体" w:hAnsi="宋体"/>
          <w:color w:val="auto"/>
          <w:szCs w:val="21"/>
          <w:lang w:val="en-US" w:eastAsia="zh-Hans"/>
        </w:rPr>
        <w:t>G</w:t>
      </w:r>
      <w:r>
        <w:rPr>
          <w:rFonts w:hint="eastAsia" w:ascii="宋体" w:hAnsi="宋体"/>
          <w:color w:val="auto"/>
          <w:szCs w:val="21"/>
          <w:lang w:val="en-US" w:eastAsia="zh-CN"/>
        </w:rPr>
        <w:t>物联</w:t>
      </w:r>
      <w:r>
        <w:rPr>
          <w:rFonts w:hint="eastAsia" w:ascii="宋体" w:hAnsi="宋体"/>
          <w:color w:val="auto"/>
          <w:szCs w:val="21"/>
          <w:lang w:val="en-US" w:eastAsia="zh-Hans"/>
        </w:rPr>
        <w:t>网络</w:t>
      </w:r>
      <w:r>
        <w:rPr>
          <w:rFonts w:hint="default" w:ascii="宋体" w:hAnsi="宋体"/>
          <w:color w:val="auto"/>
          <w:szCs w:val="21"/>
          <w:lang w:eastAsia="zh-Hans"/>
        </w:rPr>
        <w:t>，</w:t>
      </w:r>
      <w:r>
        <w:rPr>
          <w:rFonts w:hint="eastAsia" w:ascii="宋体" w:hAnsi="宋体"/>
          <w:bCs/>
          <w:color w:val="auto"/>
          <w:szCs w:val="21"/>
        </w:rPr>
        <w:t>为远程维护提供便携手段；</w:t>
      </w:r>
    </w:p>
    <w:p>
      <w:pPr>
        <w:pStyle w:val="6"/>
        <w:numPr>
          <w:ilvl w:val="0"/>
          <w:numId w:val="4"/>
        </w:numPr>
        <w:tabs>
          <w:tab w:val="left" w:pos="840"/>
          <w:tab w:val="left" w:pos="1050"/>
        </w:tabs>
        <w:snapToGrid w:val="0"/>
        <w:spacing w:line="360" w:lineRule="auto"/>
        <w:ind w:left="586" w:leftChars="106" w:hanging="363" w:hangingChars="173"/>
        <w:rPr>
          <w:color w:val="auto"/>
          <w:sz w:val="24"/>
        </w:rPr>
      </w:pPr>
      <w:r>
        <w:rPr>
          <w:rFonts w:hint="eastAsia" w:ascii="宋体" w:hAnsi="宋体" w:cs="宋体"/>
          <w:color w:val="auto"/>
          <w:kern w:val="0"/>
          <w:szCs w:val="21"/>
          <w:lang w:val="en-US" w:eastAsia="zh-CN"/>
        </w:rPr>
        <w:t>工作站显示器功能：</w:t>
      </w:r>
      <w:r>
        <w:rPr>
          <w:rFonts w:hint="eastAsia" w:ascii="宋体" w:hAnsi="宋体" w:cs="宋体"/>
          <w:color w:val="auto"/>
          <w:kern w:val="0"/>
          <w:szCs w:val="21"/>
        </w:rPr>
        <w:t>采用直立式显示支架，配置360º旋转显示器云台</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分辨率满足1920*1080；</w:t>
      </w:r>
    </w:p>
    <w:p>
      <w:pPr>
        <w:pStyle w:val="6"/>
        <w:numPr>
          <w:ilvl w:val="0"/>
          <w:numId w:val="4"/>
        </w:numPr>
        <w:tabs>
          <w:tab w:val="left" w:pos="840"/>
          <w:tab w:val="left" w:pos="1050"/>
        </w:tabs>
        <w:snapToGrid w:val="0"/>
        <w:spacing w:line="360" w:lineRule="auto"/>
        <w:ind w:left="586" w:leftChars="106" w:hanging="363" w:hangingChars="173"/>
        <w:rPr>
          <w:color w:val="auto"/>
          <w:sz w:val="24"/>
          <w:highlight w:val="none"/>
        </w:rPr>
      </w:pPr>
      <w:r>
        <w:rPr>
          <w:rFonts w:hint="eastAsia" w:ascii="宋体" w:hAnsi="宋体"/>
          <w:color w:val="auto"/>
          <w:szCs w:val="21"/>
          <w:lang w:val="en-US" w:eastAsia="zh-CN"/>
        </w:rPr>
        <w:t>工作站台车：</w:t>
      </w:r>
      <w:r>
        <w:rPr>
          <w:rFonts w:hint="eastAsia" w:ascii="宋体" w:hAnsi="宋体"/>
          <w:color w:val="auto"/>
          <w:szCs w:val="21"/>
        </w:rPr>
        <w:t>配置多功能操作台面</w:t>
      </w:r>
      <w:r>
        <w:rPr>
          <w:rFonts w:hint="eastAsia" w:ascii="宋体" w:hAnsi="宋体"/>
          <w:color w:val="auto"/>
          <w:szCs w:val="21"/>
          <w:lang w:eastAsia="zh-CN"/>
        </w:rPr>
        <w:t>（</w:t>
      </w:r>
      <w:r>
        <w:rPr>
          <w:rFonts w:hint="eastAsia" w:ascii="宋体" w:hAnsi="宋体"/>
          <w:color w:val="auto"/>
          <w:szCs w:val="21"/>
          <w:lang w:val="en-US" w:eastAsia="zh-CN"/>
        </w:rPr>
        <w:t>非嵌入式键盘</w:t>
      </w:r>
      <w:r>
        <w:rPr>
          <w:rFonts w:hint="eastAsia" w:ascii="宋体" w:hAnsi="宋体"/>
          <w:color w:val="auto"/>
          <w:szCs w:val="21"/>
          <w:lang w:eastAsia="zh-CN"/>
        </w:rPr>
        <w:t>），</w:t>
      </w:r>
      <w:r>
        <w:rPr>
          <w:rFonts w:hint="eastAsia" w:ascii="宋体" w:hAnsi="宋体"/>
          <w:color w:val="auto"/>
          <w:szCs w:val="21"/>
          <w:lang w:val="en-US" w:eastAsia="zh-CN"/>
        </w:rPr>
        <w:t>台面具有一体成型检查/手术用</w:t>
      </w:r>
      <w:r>
        <w:rPr>
          <w:rFonts w:hint="eastAsia" w:ascii="宋体" w:hAnsi="宋体"/>
          <w:color w:val="auto"/>
          <w:szCs w:val="21"/>
          <w:highlight w:val="none"/>
          <w:lang w:val="en-US" w:eastAsia="zh-CN"/>
        </w:rPr>
        <w:t>具放置凹槽，方便</w:t>
      </w:r>
      <w:r>
        <w:rPr>
          <w:rFonts w:hint="eastAsia" w:ascii="宋体" w:hAnsi="宋体"/>
          <w:color w:val="auto"/>
          <w:szCs w:val="21"/>
          <w:highlight w:val="none"/>
        </w:rPr>
        <w:t>键盘</w:t>
      </w:r>
      <w:r>
        <w:rPr>
          <w:rFonts w:hint="eastAsia" w:ascii="宋体" w:hAnsi="宋体"/>
          <w:color w:val="auto"/>
          <w:szCs w:val="21"/>
          <w:highlight w:val="none"/>
          <w:lang w:val="en-US" w:eastAsia="zh-CN"/>
        </w:rPr>
        <w:t>和鼠标放置</w:t>
      </w:r>
      <w:r>
        <w:rPr>
          <w:rFonts w:hint="eastAsia" w:ascii="宋体" w:hAnsi="宋体"/>
          <w:color w:val="auto"/>
          <w:szCs w:val="21"/>
          <w:highlight w:val="none"/>
        </w:rPr>
        <w:t>，</w:t>
      </w:r>
      <w:r>
        <w:rPr>
          <w:rFonts w:hint="eastAsia" w:ascii="宋体" w:hAnsi="宋体"/>
          <w:color w:val="auto"/>
          <w:szCs w:val="21"/>
          <w:highlight w:val="none"/>
          <w:lang w:val="en-US" w:eastAsia="zh-CN"/>
        </w:rPr>
        <w:t>易于维修更换</w:t>
      </w:r>
      <w:r>
        <w:rPr>
          <w:rFonts w:hint="eastAsia" w:ascii="宋体" w:hAnsi="宋体" w:cs="宋体"/>
          <w:color w:val="auto"/>
          <w:kern w:val="0"/>
          <w:szCs w:val="21"/>
          <w:highlight w:val="none"/>
        </w:rPr>
        <w:t xml:space="preserve">； </w:t>
      </w:r>
    </w:p>
    <w:p>
      <w:pPr>
        <w:pStyle w:val="6"/>
        <w:numPr>
          <w:ilvl w:val="0"/>
          <w:numId w:val="4"/>
        </w:numPr>
        <w:tabs>
          <w:tab w:val="left" w:pos="840"/>
          <w:tab w:val="left" w:pos="1050"/>
        </w:tabs>
        <w:snapToGrid w:val="0"/>
        <w:spacing w:line="360" w:lineRule="auto"/>
        <w:ind w:left="586" w:leftChars="106" w:hanging="363" w:hangingChars="173"/>
        <w:rPr>
          <w:rFonts w:ascii="宋体" w:hAnsi="宋体"/>
          <w:color w:val="auto"/>
          <w:szCs w:val="21"/>
          <w:highlight w:val="none"/>
        </w:rPr>
      </w:pPr>
      <w:r>
        <w:rPr>
          <w:rFonts w:hint="eastAsia" w:ascii="宋体" w:hAnsi="宋体" w:cs="宋体"/>
          <w:color w:val="auto"/>
          <w:kern w:val="0"/>
          <w:szCs w:val="21"/>
          <w:highlight w:val="none"/>
          <w:lang w:val="en-US" w:eastAsia="zh-CN"/>
        </w:rPr>
        <w:t>患者信息登记功能：支持</w:t>
      </w:r>
      <w:r>
        <w:rPr>
          <w:rFonts w:hint="eastAsia" w:ascii="宋体" w:hAnsi="宋体" w:cs="宋体"/>
          <w:color w:val="auto"/>
          <w:kern w:val="0"/>
          <w:szCs w:val="21"/>
          <w:highlight w:val="none"/>
        </w:rPr>
        <w:t>身份证读取功能</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lang w:val="en-US" w:eastAsia="zh-CN"/>
        </w:rPr>
        <w:t>直接获取</w:t>
      </w:r>
      <w:r>
        <w:rPr>
          <w:rFonts w:hint="eastAsia" w:ascii="宋体" w:hAnsi="宋体" w:cs="宋体"/>
          <w:color w:val="auto"/>
          <w:kern w:val="0"/>
          <w:szCs w:val="21"/>
          <w:highlight w:val="none"/>
        </w:rPr>
        <w:t>患者姓名及身份证号码</w:t>
      </w:r>
      <w:r>
        <w:rPr>
          <w:rFonts w:hint="eastAsia" w:ascii="宋体" w:hAnsi="宋体" w:cs="宋体"/>
          <w:color w:val="auto"/>
          <w:kern w:val="0"/>
          <w:szCs w:val="21"/>
          <w:highlight w:val="none"/>
          <w:lang w:eastAsia="zh-CN"/>
        </w:rPr>
        <w:t>）；</w:t>
      </w:r>
      <w:r>
        <w:rPr>
          <w:rFonts w:hint="eastAsia" w:ascii="宋体" w:hAnsi="宋体"/>
          <w:color w:val="auto"/>
          <w:szCs w:val="21"/>
          <w:highlight w:val="none"/>
          <w:lang w:val="en-US" w:eastAsia="zh-CN"/>
        </w:rPr>
        <w:t>提供自动</w:t>
      </w:r>
      <w:r>
        <w:rPr>
          <w:rFonts w:hint="eastAsia" w:ascii="宋体" w:hAnsi="宋体"/>
          <w:color w:val="auto"/>
          <w:szCs w:val="21"/>
          <w:highlight w:val="none"/>
        </w:rPr>
        <w:t>复查功能,能减免重复录入同一患者信息工作量</w:t>
      </w:r>
      <w:r>
        <w:rPr>
          <w:rFonts w:hint="eastAsia" w:ascii="宋体" w:hAnsi="宋体"/>
          <w:color w:val="auto"/>
          <w:szCs w:val="21"/>
          <w:highlight w:val="none"/>
          <w:lang w:eastAsia="zh-CN"/>
        </w:rPr>
        <w:t>；</w:t>
      </w:r>
    </w:p>
    <w:p>
      <w:pPr>
        <w:pStyle w:val="6"/>
        <w:numPr>
          <w:ilvl w:val="0"/>
          <w:numId w:val="4"/>
        </w:numPr>
        <w:tabs>
          <w:tab w:val="left" w:pos="840"/>
          <w:tab w:val="left" w:pos="1050"/>
        </w:tabs>
        <w:snapToGrid w:val="0"/>
        <w:spacing w:line="360" w:lineRule="auto"/>
        <w:ind w:left="586" w:leftChars="106" w:hanging="363" w:hangingChars="173"/>
        <w:rPr>
          <w:color w:val="auto"/>
          <w:sz w:val="24"/>
        </w:rPr>
      </w:pPr>
      <w:r>
        <w:rPr>
          <w:rFonts w:hint="eastAsia" w:ascii="宋体" w:hAnsi="宋体"/>
          <w:color w:val="auto"/>
          <w:szCs w:val="21"/>
          <w:lang w:val="en-US" w:eastAsia="zh-CN"/>
        </w:rPr>
        <w:t>观察检查UI界面功能：</w:t>
      </w:r>
      <w:r>
        <w:rPr>
          <w:rFonts w:hint="eastAsia" w:ascii="宋体" w:hAnsi="宋体"/>
          <w:bCs/>
          <w:color w:val="auto"/>
          <w:szCs w:val="21"/>
        </w:rPr>
        <w:t>具有</w:t>
      </w:r>
      <w:r>
        <w:rPr>
          <w:rFonts w:hint="eastAsia" w:ascii="宋体" w:hAnsi="宋体"/>
          <w:bCs/>
          <w:color w:val="auto"/>
          <w:szCs w:val="21"/>
          <w:lang w:val="en-US" w:eastAsia="zh-Hans"/>
        </w:rPr>
        <w:t>自动采图功能</w:t>
      </w:r>
      <w:r>
        <w:rPr>
          <w:rFonts w:hint="default" w:ascii="宋体" w:hAnsi="宋体"/>
          <w:bCs/>
          <w:color w:val="auto"/>
          <w:szCs w:val="21"/>
          <w:lang w:eastAsia="zh-Hans"/>
        </w:rPr>
        <w:t>，</w:t>
      </w:r>
      <w:r>
        <w:rPr>
          <w:rFonts w:hint="eastAsia" w:ascii="宋体" w:hAnsi="宋体"/>
          <w:bCs/>
          <w:color w:val="auto"/>
          <w:szCs w:val="21"/>
          <w:lang w:val="en-US" w:eastAsia="zh-Hans"/>
        </w:rPr>
        <w:t>自动采图开始时间</w:t>
      </w:r>
      <w:r>
        <w:rPr>
          <w:rFonts w:hint="default" w:ascii="宋体" w:hAnsi="宋体"/>
          <w:bCs/>
          <w:color w:val="auto"/>
          <w:szCs w:val="21"/>
          <w:lang w:eastAsia="zh-Hans"/>
        </w:rPr>
        <w:t>、</w:t>
      </w:r>
      <w:r>
        <w:rPr>
          <w:rFonts w:hint="eastAsia" w:ascii="宋体" w:hAnsi="宋体"/>
          <w:bCs/>
          <w:color w:val="auto"/>
          <w:szCs w:val="21"/>
          <w:lang w:val="en-US" w:eastAsia="zh-Hans"/>
        </w:rPr>
        <w:t>间隔时间</w:t>
      </w:r>
      <w:r>
        <w:rPr>
          <w:rFonts w:hint="default" w:ascii="宋体" w:hAnsi="宋体"/>
          <w:bCs/>
          <w:color w:val="auto"/>
          <w:szCs w:val="21"/>
          <w:lang w:eastAsia="zh-Hans"/>
        </w:rPr>
        <w:t>、</w:t>
      </w:r>
      <w:r>
        <w:rPr>
          <w:rFonts w:hint="eastAsia" w:ascii="宋体" w:hAnsi="宋体"/>
          <w:bCs/>
          <w:color w:val="auto"/>
          <w:szCs w:val="21"/>
          <w:lang w:val="en-US" w:eastAsia="zh-Hans"/>
        </w:rPr>
        <w:t>采图数量支持自定义设置</w:t>
      </w:r>
      <w:r>
        <w:rPr>
          <w:rFonts w:hint="eastAsia" w:ascii="宋体" w:hAnsi="宋体"/>
          <w:bCs/>
          <w:color w:val="auto"/>
          <w:szCs w:val="21"/>
        </w:rPr>
        <w:t>；</w:t>
      </w:r>
      <w:r>
        <w:rPr>
          <w:rFonts w:hint="eastAsia" w:ascii="宋体" w:hAnsi="宋体"/>
          <w:color w:val="auto"/>
          <w:szCs w:val="21"/>
        </w:rPr>
        <w:t>能将阴道镜检查过程中所采集的图像按时序同屏显示，并支持镜头按键控制，方便医生对比分析患者</w:t>
      </w:r>
      <w:r>
        <w:rPr>
          <w:rFonts w:hint="eastAsia" w:ascii="宋体" w:hAnsi="宋体"/>
          <w:szCs w:val="21"/>
        </w:rPr>
        <w:t>病变部位醋白变化和碘染色的关联诊断</w:t>
      </w:r>
      <w:r>
        <w:rPr>
          <w:rFonts w:hint="eastAsia" w:asciiTheme="minorEastAsia" w:hAnsiTheme="minorEastAsia" w:eastAsiaTheme="minorEastAsia"/>
          <w:szCs w:val="21"/>
        </w:rPr>
        <w:t>（提供图</w:t>
      </w:r>
      <w:r>
        <w:rPr>
          <w:rFonts w:hint="eastAsia" w:asciiTheme="minorEastAsia" w:hAnsiTheme="minorEastAsia" w:eastAsiaTheme="minorEastAsia"/>
          <w:color w:val="auto"/>
          <w:szCs w:val="21"/>
        </w:rPr>
        <w:t>片证明并加盖生产厂家公章）</w:t>
      </w:r>
      <w:r>
        <w:rPr>
          <w:rFonts w:hint="eastAsia" w:ascii="宋体" w:hAnsi="宋体"/>
          <w:color w:val="auto"/>
          <w:szCs w:val="21"/>
        </w:rPr>
        <w:t>；</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color w:val="auto"/>
          <w:szCs w:val="21"/>
        </w:rPr>
      </w:pPr>
      <w:r>
        <w:rPr>
          <w:rFonts w:hint="eastAsia" w:ascii="宋体" w:hAnsi="宋体"/>
          <w:color w:val="auto"/>
          <w:szCs w:val="21"/>
          <w:lang w:val="en-US" w:eastAsia="zh-CN"/>
        </w:rPr>
        <w:t>辅助诊断评估：提供不少于3种国际学术专业认可的评估方法（Swede、RCI</w:t>
      </w:r>
      <w:r>
        <w:rPr>
          <w:rFonts w:hint="eastAsia" w:ascii="宋体" w:hAnsi="宋体"/>
          <w:bCs/>
          <w:color w:val="auto"/>
          <w:szCs w:val="21"/>
        </w:rPr>
        <w:t>和Shafi-Nazeer</w:t>
      </w:r>
      <w:r>
        <w:rPr>
          <w:rFonts w:hint="eastAsia" w:ascii="宋体" w:hAnsi="宋体"/>
          <w:color w:val="auto"/>
          <w:szCs w:val="21"/>
          <w:lang w:val="en-US" w:eastAsia="zh-CN"/>
        </w:rPr>
        <w:t>）,用于宫颈CIN病变程度的评估；提供基于三种不同溶液实验结果关联“特征”的智能评估和报告系统，可通过对病变边界、范围、表面轮廓、醋白上皮颜色、醋酸变化、血管形态及碘染色等维度的评分统计。</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color w:val="auto"/>
          <w:szCs w:val="21"/>
        </w:rPr>
      </w:pPr>
      <w:bookmarkStart w:id="4" w:name="_Hlk22199469"/>
      <w:r>
        <w:rPr>
          <w:rFonts w:hint="eastAsia" w:ascii="宋体" w:hAnsi="宋体"/>
          <w:color w:val="auto"/>
          <w:szCs w:val="21"/>
          <w:lang w:val="en-US" w:eastAsia="zh-CN"/>
        </w:rPr>
        <w:t>检查结果记录功能：</w:t>
      </w:r>
      <w:r>
        <w:rPr>
          <w:rFonts w:hint="eastAsia" w:ascii="宋体" w:hAnsi="宋体" w:eastAsia="宋体" w:cs="Times New Roman"/>
          <w:color w:val="auto"/>
          <w:kern w:val="2"/>
          <w:sz w:val="21"/>
          <w:szCs w:val="21"/>
          <w:lang w:val="en-US" w:eastAsia="zh-CN" w:bidi="ar-SA"/>
        </w:rPr>
        <w:t>具有对阴道镜检查和手术治疗结果进行记录、</w:t>
      </w:r>
      <w:r>
        <w:rPr>
          <w:rFonts w:hint="eastAsia" w:ascii="宋体" w:hAnsi="宋体" w:cs="Times New Roman"/>
          <w:color w:val="auto"/>
          <w:kern w:val="2"/>
          <w:sz w:val="21"/>
          <w:szCs w:val="21"/>
          <w:lang w:val="en-US" w:eastAsia="zh-CN" w:bidi="ar-SA"/>
        </w:rPr>
        <w:t>图像</w:t>
      </w:r>
      <w:r>
        <w:rPr>
          <w:rFonts w:hint="eastAsia" w:ascii="宋体" w:hAnsi="宋体" w:eastAsia="宋体" w:cs="Times New Roman"/>
          <w:color w:val="auto"/>
          <w:kern w:val="2"/>
          <w:sz w:val="21"/>
          <w:szCs w:val="21"/>
          <w:lang w:val="en-US" w:eastAsia="zh-CN" w:bidi="ar-SA"/>
        </w:rPr>
        <w:t>标记和随访管理功能；</w:t>
      </w:r>
      <w:r>
        <w:rPr>
          <w:rFonts w:hint="eastAsia" w:ascii="宋体" w:hAnsi="宋体"/>
          <w:color w:val="auto"/>
          <w:szCs w:val="21"/>
        </w:rPr>
        <w:t>提供符合 IFCPC2011 和 ASCCP2019 指南术语阴道镜诊断术语及参考图谱，并可与当前检查患者检查图像对比显示在同一界面，方便对比参考，辅助检查医生做出准确判断；</w:t>
      </w:r>
      <w:bookmarkEnd w:id="4"/>
      <w:r>
        <w:rPr>
          <w:rFonts w:hint="eastAsia" w:ascii="宋体" w:hAnsi="宋体"/>
          <w:color w:val="auto"/>
          <w:szCs w:val="21"/>
          <w:lang w:val="en-US" w:eastAsia="zh-CN"/>
        </w:rPr>
        <w:t>（提供检测报告并加盖生产厂家公章）</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szCs w:val="21"/>
        </w:rPr>
      </w:pPr>
      <w:r>
        <w:rPr>
          <w:rFonts w:hint="eastAsia" w:ascii="宋体" w:hAnsi="宋体"/>
          <w:color w:val="auto"/>
          <w:szCs w:val="21"/>
        </w:rPr>
        <w:t>★</w:t>
      </w:r>
      <w:r>
        <w:rPr>
          <w:rFonts w:hint="eastAsia" w:ascii="宋体" w:hAnsi="宋体"/>
          <w:color w:val="auto"/>
          <w:szCs w:val="21"/>
          <w:lang w:val="en-US" w:eastAsia="zh-CN"/>
        </w:rPr>
        <w:t>检查/治疗手术报告输出功能：</w:t>
      </w:r>
      <w:r>
        <w:rPr>
          <w:rFonts w:hint="eastAsia" w:ascii="宋体" w:hAnsi="宋体"/>
          <w:bCs/>
          <w:color w:val="auto"/>
          <w:szCs w:val="21"/>
        </w:rPr>
        <w:t>提供可编辑式报告模</w:t>
      </w:r>
      <w:r>
        <w:rPr>
          <w:rFonts w:hint="eastAsia" w:ascii="宋体" w:hAnsi="宋体"/>
          <w:bCs/>
          <w:szCs w:val="21"/>
        </w:rPr>
        <w:t>板，支持导航栏快速定位到报告内容，可对阴道镜检查、手术治疗进行针对性的记录和随访管理，可自适应打印报告模版，根据临床需要增减打印报告选择项目，提交患者打印报告后系统自动生成PDF文件备份,便于医疗纠纷的追朔（提供图片证明并加盖生产厂家公章）；</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color w:val="auto"/>
          <w:szCs w:val="21"/>
          <w:highlight w:val="none"/>
        </w:rPr>
      </w:pPr>
      <w:r>
        <w:rPr>
          <w:rFonts w:hint="eastAsia" w:ascii="宋体" w:hAnsi="宋体"/>
          <w:color w:val="auto"/>
          <w:szCs w:val="21"/>
          <w:highlight w:val="none"/>
          <w:lang w:val="en-US" w:eastAsia="zh-CN"/>
        </w:rPr>
        <w:t>数据管理功能：提供患者就诊</w:t>
      </w:r>
      <w:r>
        <w:rPr>
          <w:rFonts w:hint="eastAsia" w:ascii="宋体" w:hAnsi="宋体"/>
          <w:color w:val="auto"/>
          <w:szCs w:val="21"/>
          <w:highlight w:val="none"/>
        </w:rPr>
        <w:t>数据信息的自动备份与恢复功能；可对阴道镜检查</w:t>
      </w:r>
      <w:r>
        <w:rPr>
          <w:rFonts w:hint="eastAsia" w:ascii="宋体" w:hAnsi="宋体"/>
          <w:color w:val="auto"/>
          <w:szCs w:val="21"/>
          <w:highlight w:val="none"/>
          <w:lang w:val="en-US" w:eastAsia="zh-CN"/>
        </w:rPr>
        <w:t>异常活检和</w:t>
      </w:r>
      <w:r>
        <w:rPr>
          <w:rFonts w:hint="eastAsia" w:ascii="宋体" w:hAnsi="宋体"/>
          <w:color w:val="auto"/>
          <w:szCs w:val="21"/>
          <w:highlight w:val="none"/>
        </w:rPr>
        <w:t>手术治疗</w:t>
      </w:r>
      <w:r>
        <w:rPr>
          <w:rFonts w:hint="eastAsia" w:ascii="宋体" w:hAnsi="宋体"/>
          <w:color w:val="auto"/>
          <w:szCs w:val="21"/>
          <w:highlight w:val="none"/>
          <w:lang w:val="en-US" w:eastAsia="zh-CN"/>
        </w:rPr>
        <w:t>患者</w:t>
      </w:r>
      <w:r>
        <w:rPr>
          <w:rFonts w:hint="eastAsia" w:ascii="宋体" w:hAnsi="宋体"/>
          <w:color w:val="auto"/>
          <w:szCs w:val="21"/>
          <w:highlight w:val="none"/>
        </w:rPr>
        <w:t>进行随访管理</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提供检测报告）</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color w:val="auto"/>
          <w:szCs w:val="21"/>
          <w:highlight w:val="none"/>
        </w:rPr>
      </w:pPr>
      <w:r>
        <w:rPr>
          <w:rFonts w:hint="eastAsia" w:ascii="宋体" w:hAnsi="宋体"/>
          <w:color w:val="auto"/>
          <w:szCs w:val="21"/>
          <w:highlight w:val="none"/>
          <w:lang w:val="en-US" w:eastAsia="zh-CN"/>
        </w:rPr>
        <w:t>统计分析：提供按日期、姓名、手机号码的等信息查询功能；</w:t>
      </w:r>
      <w:r>
        <w:rPr>
          <w:rFonts w:hint="eastAsia" w:ascii="宋体" w:hAnsi="宋体" w:eastAsia="宋体" w:cs="Times New Roman"/>
          <w:color w:val="auto"/>
          <w:kern w:val="2"/>
          <w:sz w:val="21"/>
          <w:szCs w:val="21"/>
          <w:highlight w:val="none"/>
          <w:lang w:val="en-US" w:eastAsia="zh-CN" w:bidi="ar-SA"/>
        </w:rPr>
        <w:t>具有对拟诊结果、病理结果、实验室检查结果、检查医生和开单医生的工作量等进行统计分析功能，统计结果可以饼型、线型和柱状图形式进行显示，也可以数据列表显示，并可输出Excel格式文件。</w:t>
      </w:r>
      <w:r>
        <w:rPr>
          <w:rFonts w:hint="eastAsia" w:ascii="宋体" w:hAnsi="宋体" w:cs="Times New Roman"/>
          <w:color w:val="auto"/>
          <w:kern w:val="2"/>
          <w:sz w:val="21"/>
          <w:szCs w:val="21"/>
          <w:highlight w:val="none"/>
          <w:lang w:val="en-US" w:eastAsia="zh-CN" w:bidi="ar-SA"/>
        </w:rPr>
        <w:t>（提供检测报告）</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color w:val="auto"/>
          <w:szCs w:val="21"/>
          <w:highlight w:val="none"/>
          <w:lang w:val="en-US" w:eastAsia="zh-CN"/>
        </w:rPr>
      </w:pPr>
      <w:bookmarkStart w:id="5" w:name="_Hlk26869234"/>
      <w:r>
        <w:rPr>
          <w:rFonts w:hint="eastAsia" w:ascii="宋体" w:hAnsi="宋体"/>
          <w:color w:val="auto"/>
          <w:szCs w:val="21"/>
          <w:highlight w:val="none"/>
        </w:rPr>
        <w:t>★</w:t>
      </w:r>
      <w:r>
        <w:rPr>
          <w:rFonts w:hint="eastAsia" w:ascii="宋体" w:hAnsi="宋体"/>
          <w:color w:val="auto"/>
          <w:szCs w:val="21"/>
          <w:highlight w:val="none"/>
          <w:lang w:val="en-US" w:eastAsia="zh-CN"/>
        </w:rPr>
        <w:t>提供阴道镜模拟训练云服务系统微信登录可选功能，为阴道镜用户提供阴道镜视频教学、图像判读学习、术语学习和模拟测试功能；。</w:t>
      </w:r>
    </w:p>
    <w:p>
      <w:pPr>
        <w:pStyle w:val="6"/>
        <w:numPr>
          <w:ilvl w:val="0"/>
          <w:numId w:val="4"/>
        </w:numPr>
        <w:tabs>
          <w:tab w:val="left" w:pos="840"/>
          <w:tab w:val="left" w:pos="1050"/>
        </w:tabs>
        <w:snapToGrid w:val="0"/>
        <w:spacing w:line="360" w:lineRule="auto"/>
        <w:ind w:left="586" w:leftChars="106" w:hanging="363" w:hangingChars="173"/>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提供与HIS/PACS数据交换可选功能：可提供标准国际DICOM3.0数据交换接口，包括：DICOM worklist, DICOM verify, DICOM storage；</w:t>
      </w:r>
    </w:p>
    <w:p>
      <w:pPr>
        <w:pStyle w:val="6"/>
        <w:numPr>
          <w:ilvl w:val="0"/>
          <w:numId w:val="4"/>
        </w:numPr>
        <w:tabs>
          <w:tab w:val="left" w:pos="840"/>
          <w:tab w:val="left" w:pos="1050"/>
        </w:tabs>
        <w:snapToGrid w:val="0"/>
        <w:spacing w:line="360" w:lineRule="auto"/>
        <w:ind w:left="586" w:leftChars="106" w:hanging="363" w:hangingChars="173"/>
        <w:rPr>
          <w:rFonts w:ascii="宋体" w:hAnsi="宋体"/>
          <w:color w:val="auto"/>
          <w:szCs w:val="21"/>
          <w:highlight w:val="none"/>
        </w:rPr>
      </w:pPr>
      <w:r>
        <w:rPr>
          <w:rFonts w:hint="eastAsia" w:ascii="宋体" w:hAnsi="宋体"/>
          <w:color w:val="auto"/>
          <w:szCs w:val="21"/>
          <w:highlight w:val="none"/>
          <w:lang w:val="en-US" w:eastAsia="zh-CN"/>
        </w:rPr>
        <w:t>提供开放数据交换接口协议可选功能，满足转诊阴道镜检查数据和病例数据下载到阴道镜系统，阴道镜报告上传功能。</w:t>
      </w:r>
    </w:p>
    <w:bookmarkEnd w:id="5"/>
    <w:p>
      <w:pPr>
        <w:snapToGrid w:val="0"/>
        <w:spacing w:line="360" w:lineRule="auto"/>
        <w:rPr>
          <w:rFonts w:ascii="宋体" w:hAnsi="宋体"/>
          <w:szCs w:val="21"/>
        </w:rPr>
      </w:pPr>
    </w:p>
    <w:p>
      <w:pPr>
        <w:pStyle w:val="6"/>
        <w:numPr>
          <w:ilvl w:val="0"/>
          <w:numId w:val="2"/>
        </w:numPr>
        <w:snapToGrid w:val="0"/>
        <w:spacing w:line="360" w:lineRule="auto"/>
        <w:ind w:left="636" w:leftChars="102" w:hanging="422" w:hangingChars="175"/>
        <w:rPr>
          <w:rFonts w:hint="eastAsia" w:ascii="宋体" w:hAnsi="宋体" w:cs="宋体"/>
          <w:b/>
          <w:color w:val="auto"/>
          <w:kern w:val="0"/>
          <w:sz w:val="24"/>
        </w:rPr>
      </w:pPr>
      <w:bookmarkStart w:id="6" w:name="_Hlk22118869"/>
      <w:r>
        <w:rPr>
          <w:rFonts w:hint="eastAsia" w:ascii="宋体" w:hAnsi="宋体" w:cs="宋体"/>
          <w:b/>
          <w:color w:val="auto"/>
          <w:kern w:val="0"/>
          <w:sz w:val="24"/>
          <w:lang w:val="en-US" w:eastAsia="zh-CN"/>
        </w:rPr>
        <w:t>可选</w:t>
      </w:r>
      <w:r>
        <w:rPr>
          <w:rFonts w:hint="eastAsia" w:ascii="宋体" w:hAnsi="宋体" w:cs="宋体"/>
          <w:b/>
          <w:color w:val="auto"/>
          <w:kern w:val="0"/>
          <w:sz w:val="24"/>
        </w:rPr>
        <w:t>网络应用功能：</w:t>
      </w:r>
    </w:p>
    <w:p>
      <w:pPr>
        <w:pStyle w:val="6"/>
        <w:numPr>
          <w:ilvl w:val="0"/>
          <w:numId w:val="5"/>
        </w:numPr>
        <w:tabs>
          <w:tab w:val="left" w:pos="640"/>
          <w:tab w:val="clear" w:pos="420"/>
        </w:tabs>
        <w:snapToGrid w:val="0"/>
        <w:spacing w:line="360" w:lineRule="auto"/>
        <w:ind w:left="611" w:leftChars="0" w:hanging="401" w:firstLineChars="0"/>
        <w:rPr>
          <w:rFonts w:hint="eastAsia" w:ascii="宋体" w:hAnsi="宋体"/>
          <w:color w:val="auto"/>
          <w:szCs w:val="21"/>
        </w:rPr>
      </w:pPr>
      <w:r>
        <w:rPr>
          <w:rFonts w:hint="eastAsia" w:ascii="宋体" w:hAnsi="宋体"/>
          <w:color w:val="auto"/>
          <w:szCs w:val="21"/>
        </w:rPr>
        <w:t>★阴道镜网络数据管理软件具有医疗器械注册证；</w:t>
      </w:r>
    </w:p>
    <w:p>
      <w:pPr>
        <w:pStyle w:val="6"/>
        <w:numPr>
          <w:ilvl w:val="0"/>
          <w:numId w:val="5"/>
        </w:numPr>
        <w:tabs>
          <w:tab w:val="left" w:pos="640"/>
          <w:tab w:val="clear" w:pos="420"/>
        </w:tabs>
        <w:snapToGrid w:val="0"/>
        <w:spacing w:line="360" w:lineRule="auto"/>
        <w:ind w:left="611" w:leftChars="0" w:hanging="401" w:firstLineChars="0"/>
        <w:rPr>
          <w:rFonts w:hint="eastAsia" w:ascii="宋体" w:hAnsi="宋体"/>
          <w:color w:val="auto"/>
          <w:szCs w:val="21"/>
          <w:lang w:val="en-US" w:eastAsia="zh-CN"/>
        </w:rPr>
      </w:pPr>
      <w:r>
        <w:rPr>
          <w:rFonts w:hint="eastAsia" w:ascii="宋体" w:hAnsi="宋体"/>
          <w:color w:val="auto"/>
          <w:szCs w:val="21"/>
        </w:rPr>
        <w:t>阴道镜</w:t>
      </w:r>
      <w:r>
        <w:rPr>
          <w:rFonts w:hint="eastAsia" w:ascii="宋体" w:hAnsi="宋体"/>
          <w:color w:val="auto"/>
          <w:szCs w:val="21"/>
          <w:lang w:val="en-US" w:eastAsia="zh-CN"/>
        </w:rPr>
        <w:t>设备</w:t>
      </w:r>
      <w:r>
        <w:rPr>
          <w:rFonts w:hint="eastAsia" w:ascii="宋体" w:hAnsi="宋体"/>
          <w:color w:val="auto"/>
          <w:szCs w:val="21"/>
        </w:rPr>
        <w:t>具备</w:t>
      </w:r>
      <w:r>
        <w:rPr>
          <w:rFonts w:hint="eastAsia" w:ascii="宋体" w:hAnsi="宋体"/>
          <w:color w:val="auto"/>
          <w:szCs w:val="21"/>
          <w:lang w:val="en-US" w:eastAsia="zh-CN"/>
        </w:rPr>
        <w:t>与阴道镜</w:t>
      </w:r>
      <w:r>
        <w:rPr>
          <w:rFonts w:hint="eastAsia" w:ascii="宋体" w:hAnsi="宋体"/>
          <w:color w:val="auto"/>
          <w:szCs w:val="21"/>
        </w:rPr>
        <w:t>网络数</w:t>
      </w:r>
      <w:r>
        <w:rPr>
          <w:rFonts w:hint="eastAsia" w:ascii="宋体" w:hAnsi="宋体"/>
          <w:color w:val="auto"/>
          <w:szCs w:val="21"/>
          <w:lang w:val="en-US" w:eastAsia="zh-CN"/>
        </w:rPr>
        <w:t>据管理软件连接功能，可实现网络阴道镜护士站终端登记的待检查患者信息自动加载到阴道镜工作站今日检查列表功能及检查医生通过阴道镜工作站选择就诊患者和叫号功能；可实现检查结果（报告记录和采集图像）自动或手动上传数据服务器功能；</w:t>
      </w:r>
    </w:p>
    <w:p>
      <w:pPr>
        <w:pStyle w:val="6"/>
        <w:numPr>
          <w:ilvl w:val="0"/>
          <w:numId w:val="5"/>
        </w:numPr>
        <w:tabs>
          <w:tab w:val="left" w:pos="640"/>
          <w:tab w:val="clear" w:pos="420"/>
        </w:tabs>
        <w:snapToGrid w:val="0"/>
        <w:spacing w:line="360" w:lineRule="auto"/>
        <w:ind w:left="611" w:leftChars="0" w:hanging="401" w:firstLineChars="0"/>
        <w:rPr>
          <w:rFonts w:hint="eastAsia" w:ascii="宋体" w:hAnsi="宋体"/>
          <w:color w:val="auto"/>
          <w:szCs w:val="21"/>
        </w:rPr>
      </w:pPr>
      <w:r>
        <w:rPr>
          <w:rFonts w:hint="eastAsia" w:ascii="宋体" w:hAnsi="宋体"/>
          <w:color w:val="auto"/>
          <w:szCs w:val="21"/>
          <w:lang w:val="en-US" w:eastAsia="zh-CN"/>
        </w:rPr>
        <w:t>阴道镜</w:t>
      </w:r>
      <w:r>
        <w:rPr>
          <w:rFonts w:hint="eastAsia" w:ascii="宋体" w:hAnsi="宋体"/>
          <w:color w:val="auto"/>
          <w:szCs w:val="21"/>
        </w:rPr>
        <w:t>网络数</w:t>
      </w:r>
      <w:r>
        <w:rPr>
          <w:rFonts w:hint="eastAsia" w:ascii="宋体" w:hAnsi="宋体"/>
          <w:color w:val="auto"/>
          <w:szCs w:val="21"/>
          <w:lang w:val="en-US" w:eastAsia="zh-CN"/>
        </w:rPr>
        <w:t>据管理软件具有与阴道镜工作站病理结果信息同步功能；</w:t>
      </w:r>
    </w:p>
    <w:p>
      <w:pPr>
        <w:pStyle w:val="6"/>
        <w:numPr>
          <w:ilvl w:val="0"/>
          <w:numId w:val="5"/>
        </w:numPr>
        <w:tabs>
          <w:tab w:val="left" w:pos="640"/>
          <w:tab w:val="clear" w:pos="420"/>
        </w:tabs>
        <w:snapToGrid w:val="0"/>
        <w:spacing w:line="360" w:lineRule="auto"/>
        <w:ind w:left="611" w:leftChars="0" w:hanging="401" w:firstLineChars="0"/>
        <w:rPr>
          <w:rFonts w:hint="eastAsia" w:ascii="宋体" w:hAnsi="宋体"/>
          <w:color w:val="auto"/>
          <w:szCs w:val="21"/>
        </w:rPr>
      </w:pPr>
      <w:r>
        <w:rPr>
          <w:rFonts w:hint="eastAsia" w:ascii="宋体" w:hAnsi="宋体"/>
          <w:color w:val="auto"/>
          <w:szCs w:val="21"/>
        </w:rPr>
        <w:t>支持局域网应用模式，广域网云服务应用模式；</w:t>
      </w:r>
      <w:r>
        <w:rPr>
          <w:rFonts w:hint="eastAsia" w:ascii="宋体" w:hAnsi="宋体"/>
          <w:color w:val="auto"/>
          <w:szCs w:val="21"/>
          <w:lang w:val="en-US" w:eastAsia="zh-CN"/>
        </w:rPr>
        <w:t>满足阴道镜诊断报告上传、专家复核管理、质控管理、统计分析和随访管理功能；</w:t>
      </w:r>
    </w:p>
    <w:p>
      <w:pPr>
        <w:pStyle w:val="6"/>
        <w:numPr>
          <w:ilvl w:val="0"/>
          <w:numId w:val="5"/>
        </w:numPr>
        <w:tabs>
          <w:tab w:val="left" w:pos="640"/>
          <w:tab w:val="clear" w:pos="420"/>
        </w:tabs>
        <w:snapToGrid w:val="0"/>
        <w:spacing w:line="360" w:lineRule="auto"/>
        <w:ind w:left="611" w:leftChars="0" w:hanging="401" w:firstLineChars="0"/>
        <w:rPr>
          <w:rFonts w:hint="eastAsia" w:ascii="宋体" w:hAnsi="宋体"/>
          <w:color w:val="auto"/>
          <w:szCs w:val="21"/>
        </w:rPr>
      </w:pPr>
      <w:r>
        <w:rPr>
          <w:rFonts w:hint="eastAsia" w:ascii="宋体" w:hAnsi="宋体"/>
          <w:color w:val="auto"/>
          <w:szCs w:val="21"/>
          <w:lang w:val="en-US" w:eastAsia="zh-CN"/>
        </w:rPr>
        <w:t>支持三个品牌以上阴道镜设备联网，兼容光电一体阴道镜、电子阴道镜；</w:t>
      </w:r>
    </w:p>
    <w:p>
      <w:pPr>
        <w:pStyle w:val="6"/>
        <w:numPr>
          <w:ilvl w:val="0"/>
          <w:numId w:val="5"/>
        </w:numPr>
        <w:tabs>
          <w:tab w:val="left" w:pos="640"/>
          <w:tab w:val="clear" w:pos="420"/>
        </w:tabs>
        <w:snapToGrid w:val="0"/>
        <w:spacing w:line="360" w:lineRule="auto"/>
        <w:ind w:left="611" w:leftChars="0" w:hanging="401" w:firstLineChars="0"/>
        <w:rPr>
          <w:color w:val="auto"/>
        </w:rPr>
      </w:pPr>
      <w:r>
        <w:rPr>
          <w:rFonts w:hint="eastAsia" w:ascii="宋体" w:hAnsi="宋体"/>
          <w:color w:val="auto"/>
          <w:szCs w:val="21"/>
          <w:lang w:val="en-US" w:eastAsia="zh-CN"/>
        </w:rPr>
        <w:t>可</w:t>
      </w:r>
      <w:r>
        <w:rPr>
          <w:rFonts w:hint="eastAsia" w:ascii="宋体" w:hAnsi="宋体"/>
          <w:color w:val="auto"/>
          <w:szCs w:val="21"/>
          <w:lang w:val="en-US" w:eastAsia="zh-Hans"/>
        </w:rPr>
        <w:t>选配</w:t>
      </w:r>
      <w:r>
        <w:rPr>
          <w:rFonts w:hint="eastAsia" w:ascii="宋体" w:hAnsi="宋体"/>
          <w:color w:val="auto"/>
          <w:szCs w:val="21"/>
        </w:rPr>
        <w:t>示教系统</w:t>
      </w:r>
      <w:r>
        <w:rPr>
          <w:rFonts w:hint="default" w:ascii="宋体" w:hAnsi="宋体"/>
          <w:color w:val="auto"/>
          <w:szCs w:val="21"/>
        </w:rPr>
        <w:t>、</w:t>
      </w:r>
      <w:r>
        <w:rPr>
          <w:rFonts w:hint="eastAsia" w:ascii="宋体" w:hAnsi="宋体"/>
          <w:color w:val="auto"/>
          <w:szCs w:val="21"/>
        </w:rPr>
        <w:t>叫号系统和远程实时会诊系统</w:t>
      </w:r>
      <w:r>
        <w:rPr>
          <w:rFonts w:hint="eastAsia" w:ascii="宋体" w:hAnsi="宋体"/>
          <w:color w:val="auto"/>
          <w:szCs w:val="21"/>
          <w:lang w:val="en-US" w:eastAsia="zh-CN"/>
        </w:rPr>
        <w:t>功能</w:t>
      </w:r>
      <w:r>
        <w:rPr>
          <w:rFonts w:hint="eastAsia" w:ascii="宋体" w:hAnsi="宋体"/>
          <w:color w:val="auto"/>
          <w:szCs w:val="21"/>
        </w:rPr>
        <w:t>，便于宫颈门诊</w:t>
      </w:r>
      <w:r>
        <w:rPr>
          <w:rFonts w:hint="eastAsia" w:ascii="宋体" w:hAnsi="宋体"/>
          <w:color w:val="auto"/>
          <w:szCs w:val="21"/>
          <w:lang w:val="en-US" w:eastAsia="zh-CN"/>
        </w:rPr>
        <w:t>综合管理</w:t>
      </w:r>
      <w:r>
        <w:rPr>
          <w:rFonts w:hint="eastAsia" w:ascii="宋体" w:hAnsi="宋体"/>
          <w:color w:val="auto"/>
          <w:szCs w:val="21"/>
        </w:rPr>
        <w:t>和视教应用</w:t>
      </w:r>
      <w:r>
        <w:rPr>
          <w:rFonts w:hint="eastAsia" w:ascii="宋体" w:hAnsi="宋体"/>
          <w:color w:val="auto"/>
          <w:szCs w:val="21"/>
          <w:lang w:eastAsia="zh-CN"/>
        </w:rPr>
        <w:t>；</w:t>
      </w:r>
    </w:p>
    <w:p>
      <w:pPr>
        <w:pStyle w:val="6"/>
        <w:numPr>
          <w:ilvl w:val="0"/>
          <w:numId w:val="5"/>
        </w:numPr>
        <w:tabs>
          <w:tab w:val="left" w:pos="640"/>
          <w:tab w:val="clear" w:pos="420"/>
        </w:tabs>
        <w:snapToGrid w:val="0"/>
        <w:spacing w:line="360" w:lineRule="auto"/>
        <w:ind w:left="611" w:leftChars="0" w:hanging="401" w:firstLineChars="0"/>
        <w:rPr>
          <w:color w:val="auto"/>
        </w:rPr>
      </w:pPr>
      <w:r>
        <w:rPr>
          <w:rFonts w:hint="eastAsia" w:ascii="宋体" w:hAnsi="宋体"/>
          <w:color w:val="auto"/>
          <w:szCs w:val="21"/>
          <w:lang w:val="en-US" w:eastAsia="zh-CN"/>
        </w:rPr>
        <w:t>可选</w:t>
      </w:r>
      <w:r>
        <w:rPr>
          <w:rFonts w:hint="eastAsia" w:ascii="宋体" w:hAnsi="宋体"/>
          <w:color w:val="auto"/>
          <w:szCs w:val="21"/>
        </w:rPr>
        <w:t>阴道镜检查/LEEP手术</w:t>
      </w:r>
      <w:r>
        <w:rPr>
          <w:rFonts w:hint="eastAsia" w:ascii="宋体" w:hAnsi="宋体"/>
          <w:color w:val="auto"/>
          <w:szCs w:val="21"/>
          <w:lang w:val="en-US" w:eastAsia="zh-CN"/>
        </w:rPr>
        <w:t>视教直播功能，支持局域网和广域网应用</w:t>
      </w:r>
      <w:r>
        <w:rPr>
          <w:rFonts w:hint="default" w:ascii="宋体" w:hAnsi="宋体"/>
          <w:color w:val="auto"/>
          <w:szCs w:val="21"/>
        </w:rPr>
        <w:t>。</w:t>
      </w:r>
    </w:p>
    <w:p>
      <w:pPr>
        <w:pStyle w:val="6"/>
        <w:numPr>
          <w:ilvl w:val="0"/>
          <w:numId w:val="0"/>
        </w:numPr>
        <w:tabs>
          <w:tab w:val="left" w:pos="640"/>
        </w:tabs>
        <w:snapToGrid w:val="0"/>
        <w:spacing w:line="360" w:lineRule="auto"/>
        <w:ind w:left="210" w:leftChars="0"/>
      </w:pPr>
    </w:p>
    <w:p>
      <w:pPr>
        <w:pStyle w:val="6"/>
        <w:snapToGrid w:val="0"/>
        <w:spacing w:line="360" w:lineRule="auto"/>
        <w:ind w:left="640" w:leftChars="106" w:hanging="417" w:hangingChars="173"/>
        <w:rPr>
          <w:rFonts w:hint="eastAsia" w:ascii="宋体" w:hAnsi="宋体" w:cs="宋体"/>
          <w:b/>
          <w:kern w:val="0"/>
          <w:sz w:val="24"/>
        </w:rPr>
      </w:pPr>
      <w:r>
        <w:rPr>
          <w:rFonts w:hint="eastAsia" w:ascii="宋体" w:hAnsi="宋体" w:cs="宋体"/>
          <w:b/>
          <w:kern w:val="0"/>
          <w:sz w:val="24"/>
          <w:lang w:val="en-US" w:eastAsia="zh-CN"/>
        </w:rPr>
        <w:t>4、配置要求</w:t>
      </w:r>
      <w:r>
        <w:rPr>
          <w:rFonts w:hint="eastAsia" w:ascii="宋体" w:hAnsi="宋体" w:cs="宋体"/>
          <w:b/>
          <w:kern w:val="0"/>
          <w:sz w:val="24"/>
        </w:rPr>
        <w:t>：</w:t>
      </w:r>
    </w:p>
    <w:p>
      <w:pPr>
        <w:pStyle w:val="6"/>
        <w:numPr>
          <w:ilvl w:val="0"/>
          <w:numId w:val="0"/>
        </w:numPr>
        <w:tabs>
          <w:tab w:val="left" w:pos="640"/>
        </w:tabs>
        <w:snapToGrid w:val="0"/>
        <w:spacing w:line="360" w:lineRule="auto"/>
        <w:ind w:left="210" w:leftChars="0"/>
        <w:rPr>
          <w:rFonts w:hint="default" w:ascii="宋体" w:hAnsi="宋体"/>
          <w:szCs w:val="21"/>
          <w:highlight w:val="none"/>
          <w:lang w:val="en-US" w:eastAsia="zh-CN"/>
        </w:rPr>
      </w:pPr>
      <w:r>
        <w:rPr>
          <w:rFonts w:hint="eastAsia" w:ascii="宋体" w:hAnsi="宋体"/>
          <w:szCs w:val="21"/>
          <w:highlight w:val="none"/>
          <w:lang w:val="en-US" w:eastAsia="zh-CN"/>
        </w:rPr>
        <w:t>4.1具有T形前后微距调节功能底座的直立式镜头支架</w:t>
      </w:r>
    </w:p>
    <w:p>
      <w:pPr>
        <w:pStyle w:val="6"/>
        <w:numPr>
          <w:ilvl w:val="0"/>
          <w:numId w:val="0"/>
        </w:numPr>
        <w:tabs>
          <w:tab w:val="left" w:pos="640"/>
        </w:tabs>
        <w:snapToGrid w:val="0"/>
        <w:spacing w:line="360" w:lineRule="auto"/>
        <w:ind w:left="210" w:leftChars="0"/>
        <w:rPr>
          <w:rFonts w:hint="eastAsia" w:ascii="宋体" w:hAnsi="宋体"/>
          <w:szCs w:val="21"/>
          <w:highlight w:val="none"/>
          <w:lang w:val="en-US" w:eastAsia="zh-CN"/>
        </w:rPr>
      </w:pPr>
      <w:r>
        <w:rPr>
          <w:rFonts w:hint="eastAsia" w:ascii="宋体" w:hAnsi="宋体"/>
          <w:szCs w:val="21"/>
          <w:highlight w:val="none"/>
          <w:lang w:val="en-US" w:eastAsia="zh-CN"/>
        </w:rPr>
        <w:t>4.2</w:t>
      </w:r>
      <w:r>
        <w:rPr>
          <w:rFonts w:hint="eastAsia" w:ascii="宋体" w:hAnsi="宋体"/>
          <w:color w:val="auto"/>
          <w:szCs w:val="21"/>
        </w:rPr>
        <w:t>★</w:t>
      </w:r>
      <w:r>
        <w:rPr>
          <w:rFonts w:hint="eastAsia" w:ascii="宋体" w:hAnsi="宋体"/>
          <w:szCs w:val="21"/>
          <w:highlight w:val="none"/>
          <w:lang w:val="en-US" w:eastAsia="zh-CN"/>
        </w:rPr>
        <w:t>标配同品牌宫颈刮匙1把（提供同品牌备案证）</w:t>
      </w:r>
    </w:p>
    <w:p>
      <w:pPr>
        <w:pStyle w:val="6"/>
        <w:numPr>
          <w:ilvl w:val="0"/>
          <w:numId w:val="0"/>
        </w:numPr>
        <w:tabs>
          <w:tab w:val="left" w:pos="640"/>
        </w:tabs>
        <w:snapToGrid w:val="0"/>
        <w:spacing w:line="360" w:lineRule="auto"/>
        <w:ind w:left="210" w:leftChars="0"/>
        <w:rPr>
          <w:rFonts w:hint="eastAsia" w:ascii="宋体" w:hAnsi="宋体"/>
          <w:szCs w:val="21"/>
          <w:highlight w:val="none"/>
          <w:lang w:val="en-US" w:eastAsia="zh-CN"/>
        </w:rPr>
      </w:pPr>
      <w:r>
        <w:rPr>
          <w:rFonts w:hint="eastAsia" w:ascii="宋体" w:hAnsi="宋体"/>
          <w:szCs w:val="21"/>
          <w:highlight w:val="none"/>
          <w:lang w:val="en-US" w:eastAsia="zh-CN"/>
        </w:rPr>
        <w:t>4.3可选配同品牌子宫颈活体取样钳（提供同品牌备案证）</w:t>
      </w:r>
    </w:p>
    <w:p>
      <w:pPr>
        <w:pStyle w:val="6"/>
        <w:numPr>
          <w:ilvl w:val="0"/>
          <w:numId w:val="0"/>
        </w:numPr>
        <w:tabs>
          <w:tab w:val="left" w:pos="640"/>
        </w:tabs>
        <w:snapToGrid w:val="0"/>
        <w:spacing w:line="360" w:lineRule="auto"/>
        <w:ind w:left="210" w:leftChars="0"/>
        <w:rPr>
          <w:rFonts w:hint="eastAsia" w:ascii="宋体" w:hAnsi="宋体"/>
          <w:szCs w:val="21"/>
          <w:highlight w:val="none"/>
          <w:lang w:val="en-US" w:eastAsia="zh-CN"/>
        </w:rPr>
      </w:pPr>
    </w:p>
    <w:p>
      <w:pPr>
        <w:pStyle w:val="6"/>
        <w:numPr>
          <w:ilvl w:val="0"/>
          <w:numId w:val="0"/>
        </w:numPr>
        <w:tabs>
          <w:tab w:val="left" w:pos="640"/>
        </w:tabs>
        <w:snapToGrid w:val="0"/>
        <w:spacing w:line="360" w:lineRule="auto"/>
        <w:ind w:left="210" w:leftChars="0"/>
      </w:pPr>
    </w:p>
    <w:bookmarkEnd w:id="6"/>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AC9677"/>
    <w:multiLevelType w:val="singleLevel"/>
    <w:tmpl w:val="CFAC9677"/>
    <w:lvl w:ilvl="0" w:tentative="0">
      <w:start w:val="1"/>
      <w:numFmt w:val="decimal"/>
      <w:lvlText w:val="1.%1"/>
      <w:lvlJc w:val="left"/>
      <w:pPr>
        <w:tabs>
          <w:tab w:val="left" w:pos="420"/>
        </w:tabs>
        <w:ind w:left="211" w:hanging="425"/>
      </w:pPr>
      <w:rPr>
        <w:rFonts w:hint="default"/>
        <w:color w:val="000000" w:themeColor="text1"/>
        <w14:textFill>
          <w14:solidFill>
            <w14:schemeClr w14:val="tx1"/>
          </w14:solidFill>
        </w14:textFill>
      </w:rPr>
    </w:lvl>
  </w:abstractNum>
  <w:abstractNum w:abstractNumId="1">
    <w:nsid w:val="D2110B65"/>
    <w:multiLevelType w:val="singleLevel"/>
    <w:tmpl w:val="D2110B65"/>
    <w:lvl w:ilvl="0" w:tentative="0">
      <w:start w:val="1"/>
      <w:numFmt w:val="decimal"/>
      <w:lvlText w:val="2.%1"/>
      <w:lvlJc w:val="left"/>
      <w:pPr>
        <w:tabs>
          <w:tab w:val="left" w:pos="420"/>
        </w:tabs>
        <w:ind w:left="211" w:hanging="425"/>
      </w:pPr>
      <w:rPr>
        <w:rFonts w:hint="default"/>
        <w:color w:val="000000" w:themeColor="text1"/>
        <w14:textFill>
          <w14:solidFill>
            <w14:schemeClr w14:val="tx1"/>
          </w14:solidFill>
        </w14:textFill>
      </w:rPr>
    </w:lvl>
  </w:abstractNum>
  <w:abstractNum w:abstractNumId="2">
    <w:nsid w:val="E045923E"/>
    <w:multiLevelType w:val="singleLevel"/>
    <w:tmpl w:val="E045923E"/>
    <w:lvl w:ilvl="0" w:tentative="0">
      <w:start w:val="1"/>
      <w:numFmt w:val="decimal"/>
      <w:lvlText w:val="3.%1"/>
      <w:lvlJc w:val="left"/>
      <w:pPr>
        <w:tabs>
          <w:tab w:val="left" w:pos="420"/>
        </w:tabs>
        <w:ind w:left="419" w:leftChars="0" w:hanging="425" w:firstLineChars="0"/>
      </w:pPr>
      <w:rPr>
        <w:rFonts w:hint="default" w:ascii="宋体" w:hAnsi="宋体" w:eastAsia="宋体" w:cs="宋体"/>
      </w:rPr>
    </w:lvl>
  </w:abstractNum>
  <w:abstractNum w:abstractNumId="3">
    <w:nsid w:val="F5F74D6F"/>
    <w:multiLevelType w:val="singleLevel"/>
    <w:tmpl w:val="F5F74D6F"/>
    <w:lvl w:ilvl="0" w:tentative="0">
      <w:start w:val="1"/>
      <w:numFmt w:val="decimal"/>
      <w:lvlText w:val="%1."/>
      <w:lvlJc w:val="left"/>
      <w:pPr>
        <w:tabs>
          <w:tab w:val="left" w:pos="312"/>
        </w:tabs>
      </w:pPr>
    </w:lvl>
  </w:abstractNum>
  <w:abstractNum w:abstractNumId="4">
    <w:nsid w:val="6E9BBD25"/>
    <w:multiLevelType w:val="singleLevel"/>
    <w:tmpl w:val="6E9BBD25"/>
    <w:lvl w:ilvl="0" w:tentative="0">
      <w:start w:val="2"/>
      <w:numFmt w:val="chineseCounting"/>
      <w:suff w:val="nothing"/>
      <w:lvlText w:val="%1、"/>
      <w:lvlJc w:val="left"/>
      <w:rPr>
        <w:rFonts w:hint="eastAsia"/>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yMDA5NjI1MWJiNGNhZmU2MTU2ZGMwZjNlYWJiNzgifQ=="/>
  </w:docVars>
  <w:rsids>
    <w:rsidRoot w:val="777E9082"/>
    <w:rsid w:val="0B4E7F2D"/>
    <w:rsid w:val="18547F8B"/>
    <w:rsid w:val="186D58F7"/>
    <w:rsid w:val="1C9D5592"/>
    <w:rsid w:val="26B33407"/>
    <w:rsid w:val="26C446A4"/>
    <w:rsid w:val="32180206"/>
    <w:rsid w:val="37D7215A"/>
    <w:rsid w:val="386C32CA"/>
    <w:rsid w:val="429F4585"/>
    <w:rsid w:val="51E44912"/>
    <w:rsid w:val="69091246"/>
    <w:rsid w:val="69A02F29"/>
    <w:rsid w:val="777E9082"/>
    <w:rsid w:val="77D90304"/>
    <w:rsid w:val="78844E3D"/>
    <w:rsid w:val="CFB5DE35"/>
    <w:rsid w:val="F27F58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adjustRightInd w:val="0"/>
      <w:spacing w:line="440" w:lineRule="exact"/>
    </w:pPr>
    <w:rPr>
      <w:rFonts w:ascii="宋体" w:hAnsi="宋体"/>
      <w:bCs/>
      <w:color w:val="000000"/>
      <w:kern w:val="0"/>
      <w:sz w:val="24"/>
    </w:rPr>
  </w:style>
  <w:style w:type="paragraph" w:styleId="3">
    <w:name w:val="Date"/>
    <w:basedOn w:val="1"/>
    <w:next w:val="1"/>
    <w:qFormat/>
    <w:uiPriority w:val="0"/>
    <w:pPr>
      <w:ind w:left="100" w:leftChars="2500"/>
    </w:p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2419</Words>
  <Characters>2660</Characters>
  <Lines>0</Lines>
  <Paragraphs>0</Paragraphs>
  <TotalTime>2</TotalTime>
  <ScaleCrop>false</ScaleCrop>
  <LinksUpToDate>false</LinksUpToDate>
  <CharactersWithSpaces>2677</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2024-02-28T15:07:00Z</dcterms:created>
  <dc:creator>中尚医疗</dc:creator>
  <cp:lastModifiedBy>Administrator</cp:lastModifiedBy>
  <dcterms:modified xsi:type="dcterms:W3CDTF">2025-03-27T04:05:33Z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CBDEAFE08678E6FAC9DBDE651B1980E1_41</vt:lpwstr>
  </property>
</Properties>
</file>