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asciiTheme="minorEastAsia" w:hAnsiTheme="minorEastAsia" w:eastAsiaTheme="minorEastAsia"/>
          <w:b w:val="0"/>
          <w:sz w:val="24"/>
          <w:szCs w:val="24"/>
        </w:rPr>
      </w:pPr>
      <w:r>
        <w:rPr>
          <w:rFonts w:hint="eastAsia" w:asciiTheme="minorEastAsia" w:hAnsiTheme="minorEastAsia" w:eastAsiaTheme="minorEastAsia"/>
          <w:b w:val="0"/>
          <w:bCs w:val="0"/>
          <w:szCs w:val="28"/>
        </w:rPr>
        <w:tab/>
      </w:r>
      <w:r>
        <w:rPr>
          <w:rFonts w:hint="eastAsia" w:asciiTheme="minorEastAsia" w:hAnsiTheme="minorEastAsia" w:eastAsiaTheme="minorEastAsia"/>
          <w:b w:val="0"/>
          <w:sz w:val="24"/>
          <w:szCs w:val="24"/>
        </w:rPr>
        <w:t>一、项目概述</w:t>
      </w:r>
    </w:p>
    <w:p>
      <w:pPr>
        <w:shd w:val="clear" w:color="auto" w:fill="FFFFFF"/>
        <w:spacing w:line="360" w:lineRule="auto"/>
        <w:ind w:left="284" w:firstLine="480"/>
        <w:rPr>
          <w:rFonts w:cs="宋体" w:asciiTheme="minorEastAsia" w:hAnsiTheme="minorEastAsia" w:eastAsiaTheme="minorEastAsia"/>
          <w:b/>
          <w:sz w:val="24"/>
          <w:szCs w:val="24"/>
        </w:rPr>
      </w:pPr>
      <w:r>
        <w:rPr>
          <w:rFonts w:hint="eastAsia" w:asciiTheme="minorEastAsia" w:hAnsiTheme="minorEastAsia" w:eastAsiaTheme="minorEastAsia"/>
          <w:sz w:val="24"/>
          <w:szCs w:val="24"/>
        </w:rPr>
        <w:t>1、项目名称：</w:t>
      </w:r>
      <w:r>
        <w:rPr>
          <w:rFonts w:hint="eastAsia" w:cs="宋体" w:asciiTheme="minorEastAsia" w:hAnsiTheme="minorEastAsia" w:eastAsiaTheme="minorEastAsia"/>
          <w:sz w:val="24"/>
          <w:szCs w:val="24"/>
        </w:rPr>
        <w:t>轮台县人民医院大型医疗设备移机采购项目</w:t>
      </w:r>
    </w:p>
    <w:p>
      <w:pPr>
        <w:shd w:val="clear" w:color="auto" w:fill="FFFFFF"/>
        <w:spacing w:line="360" w:lineRule="auto"/>
        <w:ind w:left="284" w:firstLine="480"/>
        <w:rPr>
          <w:rFonts w:asciiTheme="minorEastAsia" w:hAnsiTheme="minorEastAsia" w:eastAsiaTheme="minorEastAsia"/>
          <w:b/>
          <w:sz w:val="24"/>
          <w:szCs w:val="24"/>
        </w:rPr>
      </w:pPr>
      <w:r>
        <w:rPr>
          <w:rFonts w:hint="eastAsia" w:asciiTheme="minorEastAsia" w:hAnsiTheme="minorEastAsia" w:eastAsiaTheme="minorEastAsia"/>
          <w:sz w:val="24"/>
          <w:szCs w:val="24"/>
        </w:rPr>
        <w:t>2、实施地点：轮台县人民医院</w:t>
      </w:r>
    </w:p>
    <w:p>
      <w:pPr>
        <w:shd w:val="clear" w:color="auto" w:fill="FFFFFF"/>
        <w:spacing w:line="360" w:lineRule="auto"/>
        <w:ind w:left="284" w:firstLine="480"/>
        <w:rPr>
          <w:rFonts w:asciiTheme="minorEastAsia" w:hAnsiTheme="minorEastAsia" w:eastAsiaTheme="minorEastAsia"/>
          <w:b/>
          <w:sz w:val="24"/>
          <w:szCs w:val="24"/>
        </w:rPr>
      </w:pPr>
      <w:r>
        <w:rPr>
          <w:rFonts w:hint="eastAsia" w:asciiTheme="minorEastAsia" w:hAnsiTheme="minorEastAsia" w:eastAsiaTheme="minorEastAsia"/>
          <w:sz w:val="24"/>
          <w:szCs w:val="24"/>
        </w:rPr>
        <w:t>3、预算价：</w:t>
      </w:r>
      <w:r>
        <w:rPr>
          <w:rFonts w:hint="eastAsia" w:asciiTheme="minorEastAsia" w:hAnsiTheme="minorEastAsia" w:eastAsiaTheme="minorEastAsia"/>
          <w:sz w:val="24"/>
          <w:szCs w:val="24"/>
          <w:lang w:val="en-US" w:eastAsia="zh-CN"/>
        </w:rPr>
        <w:t>43</w:t>
      </w:r>
      <w:r>
        <w:rPr>
          <w:rFonts w:hint="eastAsia" w:asciiTheme="minorEastAsia" w:hAnsiTheme="minorEastAsia" w:eastAsiaTheme="minorEastAsia"/>
          <w:sz w:val="24"/>
          <w:szCs w:val="24"/>
        </w:rPr>
        <w:t>万</w:t>
      </w:r>
    </w:p>
    <w:p>
      <w:pPr>
        <w:shd w:val="clear" w:color="auto" w:fill="FFFFFF"/>
        <w:spacing w:line="360" w:lineRule="auto"/>
        <w:ind w:left="284" w:firstLine="480"/>
        <w:rPr>
          <w:rFonts w:hint="eastAsia" w:asciiTheme="minorEastAsia" w:hAnsiTheme="minorEastAsia" w:eastAsiaTheme="minorEastAsia"/>
          <w:b/>
          <w:sz w:val="24"/>
          <w:szCs w:val="24"/>
        </w:rPr>
      </w:pPr>
      <w:r>
        <w:rPr>
          <w:rFonts w:hint="eastAsia" w:asciiTheme="minorEastAsia" w:hAnsiTheme="minorEastAsia" w:eastAsiaTheme="minorEastAsia"/>
          <w:sz w:val="24"/>
          <w:szCs w:val="24"/>
        </w:rPr>
        <w:t>4、招标内容：</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715"/>
        <w:gridCol w:w="682"/>
        <w:gridCol w:w="1563"/>
        <w:gridCol w:w="319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pStyle w:val="6"/>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序号</w:t>
            </w:r>
          </w:p>
        </w:tc>
        <w:tc>
          <w:tcPr>
            <w:tcW w:w="1715" w:type="dxa"/>
            <w:vAlign w:val="center"/>
          </w:tcPr>
          <w:p>
            <w:pPr>
              <w:pStyle w:val="6"/>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采购名称</w:t>
            </w:r>
          </w:p>
        </w:tc>
        <w:tc>
          <w:tcPr>
            <w:tcW w:w="682" w:type="dxa"/>
            <w:vAlign w:val="center"/>
          </w:tcPr>
          <w:p>
            <w:pPr>
              <w:pStyle w:val="6"/>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数量</w:t>
            </w:r>
          </w:p>
        </w:tc>
        <w:tc>
          <w:tcPr>
            <w:tcW w:w="1563" w:type="dxa"/>
            <w:vAlign w:val="center"/>
          </w:tcPr>
          <w:p>
            <w:pPr>
              <w:pStyle w:val="6"/>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采购预算（万元）</w:t>
            </w:r>
          </w:p>
        </w:tc>
        <w:tc>
          <w:tcPr>
            <w:tcW w:w="3199" w:type="dxa"/>
            <w:vAlign w:val="center"/>
          </w:tcPr>
          <w:p>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项目基本情况</w:t>
            </w:r>
          </w:p>
        </w:tc>
        <w:tc>
          <w:tcPr>
            <w:tcW w:w="1338" w:type="dxa"/>
            <w:vAlign w:val="center"/>
          </w:tcPr>
          <w:p>
            <w:pPr>
              <w:pStyle w:val="6"/>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1" w:hRule="atLeast"/>
        </w:trPr>
        <w:tc>
          <w:tcPr>
            <w:tcW w:w="570" w:type="dxa"/>
            <w:vAlign w:val="center"/>
          </w:tcPr>
          <w:p>
            <w:pPr>
              <w:pStyle w:val="6"/>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 </w:t>
            </w:r>
          </w:p>
        </w:tc>
        <w:tc>
          <w:tcPr>
            <w:tcW w:w="1715" w:type="dxa"/>
            <w:vAlign w:val="center"/>
          </w:tcPr>
          <w:p>
            <w:pPr>
              <w:pStyle w:val="6"/>
              <w:spacing w:line="360" w:lineRule="auto"/>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GE 1.5T设备壹套移机服务</w:t>
            </w:r>
          </w:p>
          <w:p>
            <w:pPr>
              <w:pStyle w:val="6"/>
              <w:spacing w:line="360" w:lineRule="auto"/>
              <w:jc w:val="center"/>
              <w:rPr>
                <w:rFonts w:cs="宋体" w:asciiTheme="minorEastAsia" w:hAnsiTheme="minorEastAsia" w:eastAsiaTheme="minorEastAsia"/>
                <w:sz w:val="24"/>
                <w:szCs w:val="24"/>
              </w:rPr>
            </w:pPr>
          </w:p>
        </w:tc>
        <w:tc>
          <w:tcPr>
            <w:tcW w:w="682" w:type="dxa"/>
            <w:vAlign w:val="center"/>
          </w:tcPr>
          <w:p>
            <w:pPr>
              <w:pStyle w:val="6"/>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1台</w:t>
            </w:r>
          </w:p>
        </w:tc>
        <w:tc>
          <w:tcPr>
            <w:tcW w:w="1563" w:type="dxa"/>
            <w:vAlign w:val="center"/>
          </w:tcPr>
          <w:p>
            <w:pPr>
              <w:pStyle w:val="6"/>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43</w:t>
            </w:r>
            <w:r>
              <w:rPr>
                <w:rFonts w:hint="eastAsia" w:cs="宋体" w:asciiTheme="minorEastAsia" w:hAnsiTheme="minorEastAsia" w:eastAsiaTheme="minorEastAsia"/>
                <w:sz w:val="24"/>
                <w:szCs w:val="24"/>
              </w:rPr>
              <w:t>万元</w:t>
            </w:r>
          </w:p>
        </w:tc>
        <w:tc>
          <w:tcPr>
            <w:tcW w:w="3199" w:type="dxa"/>
            <w:vAlign w:val="center"/>
          </w:tcPr>
          <w:p>
            <w:pPr>
              <w:widowControl/>
              <w:spacing w:line="360" w:lineRule="auto"/>
              <w:ind w:firstLine="480"/>
              <w:jc w:val="left"/>
              <w:rPr>
                <w:rFonts w:asciiTheme="minorEastAsia" w:hAnsiTheme="minorEastAsia" w:eastAsiaTheme="minorEastAsia"/>
                <w:b/>
                <w:sz w:val="24"/>
                <w:szCs w:val="24"/>
              </w:rPr>
            </w:pPr>
            <w:bookmarkStart w:id="0" w:name="OLE_LINK1"/>
            <w:r>
              <w:rPr>
                <w:rFonts w:hint="eastAsia" w:asciiTheme="minorEastAsia" w:hAnsiTheme="minorEastAsia" w:eastAsiaTheme="minorEastAsia"/>
                <w:sz w:val="24"/>
                <w:szCs w:val="24"/>
              </w:rPr>
              <w:t>对</w:t>
            </w:r>
            <w:r>
              <w:rPr>
                <w:rFonts w:asciiTheme="minorEastAsia" w:hAnsiTheme="minorEastAsia" w:eastAsiaTheme="minorEastAsia"/>
                <w:sz w:val="24"/>
                <w:szCs w:val="24"/>
              </w:rPr>
              <w:t>GE 1.5T设备壹套提供一次移机服务，</w:t>
            </w:r>
            <w:r>
              <w:rPr>
                <w:rFonts w:hint="eastAsia" w:asciiTheme="minorEastAsia" w:hAnsiTheme="minorEastAsia" w:eastAsiaTheme="minorEastAsia"/>
                <w:sz w:val="24"/>
                <w:szCs w:val="24"/>
              </w:rPr>
              <w:t>项目包含移机过程中的正常消耗液氦及水冷机组、空调等附属设备及易耗品。</w:t>
            </w:r>
            <w:bookmarkEnd w:id="0"/>
          </w:p>
        </w:tc>
        <w:tc>
          <w:tcPr>
            <w:tcW w:w="1338" w:type="dxa"/>
            <w:vAlign w:val="center"/>
          </w:tcPr>
          <w:p>
            <w:pPr>
              <w:widowControl/>
              <w:spacing w:line="36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签订合同之日起</w:t>
            </w:r>
            <w:r>
              <w:rPr>
                <w:rFonts w:cs="宋体" w:asciiTheme="minorEastAsia" w:hAnsiTheme="minorEastAsia" w:eastAsiaTheme="minorEastAsia"/>
                <w:sz w:val="24"/>
                <w:szCs w:val="24"/>
              </w:rPr>
              <w:t>15</w:t>
            </w:r>
            <w:r>
              <w:rPr>
                <w:rFonts w:hint="eastAsia" w:cs="宋体" w:asciiTheme="minorEastAsia" w:hAnsiTheme="minorEastAsia" w:eastAsiaTheme="minorEastAsia"/>
                <w:sz w:val="24"/>
                <w:szCs w:val="24"/>
              </w:rPr>
              <w:t>个日历日内完成项目验收</w:t>
            </w:r>
          </w:p>
        </w:tc>
      </w:tr>
    </w:tbl>
    <w:p>
      <w:pPr>
        <w:pStyle w:val="9"/>
        <w:shd w:val="clear" w:color="auto" w:fill="FFFFFF"/>
        <w:snapToGrid w:val="0"/>
        <w:spacing w:before="0" w:beforeAutospacing="0" w:after="0" w:afterAutospacing="0" w:line="360" w:lineRule="auto"/>
        <w:ind w:firstLine="640"/>
        <w:rPr>
          <w:rFonts w:asciiTheme="minorEastAsia" w:hAnsiTheme="minorEastAsia" w:eastAsiaTheme="minorEastAsia"/>
          <w:bCs/>
          <w:color w:val="auto"/>
        </w:rPr>
      </w:pPr>
    </w:p>
    <w:p>
      <w:pPr>
        <w:jc w:val="center"/>
        <w:rPr>
          <w:b/>
          <w:bCs/>
          <w:sz w:val="32"/>
          <w:szCs w:val="28"/>
        </w:rPr>
      </w:pPr>
      <w:r>
        <w:rPr>
          <w:rFonts w:hint="eastAsia"/>
          <w:b/>
          <w:bCs/>
          <w:sz w:val="32"/>
          <w:szCs w:val="28"/>
        </w:rPr>
        <w:t>大型医疗设备移机</w:t>
      </w:r>
    </w:p>
    <w:p>
      <w:pPr>
        <w:pStyle w:val="2"/>
        <w:spacing w:line="360" w:lineRule="auto"/>
        <w:rPr>
          <w:rFonts w:ascii="宋体" w:hAnsi="宋体"/>
          <w:sz w:val="24"/>
          <w:szCs w:val="24"/>
        </w:rPr>
      </w:pPr>
      <w:r>
        <w:rPr>
          <w:rFonts w:hint="eastAsia" w:ascii="宋体" w:hAnsi="宋体"/>
          <w:sz w:val="24"/>
          <w:szCs w:val="24"/>
        </w:rPr>
        <w:t>一、服务的具体要求</w:t>
      </w:r>
    </w:p>
    <w:p>
      <w:pPr>
        <w:pStyle w:val="2"/>
        <w:spacing w:line="360" w:lineRule="auto"/>
        <w:rPr>
          <w:rFonts w:ascii="宋体" w:hAnsi="宋体"/>
          <w:sz w:val="24"/>
          <w:szCs w:val="24"/>
        </w:rPr>
      </w:pPr>
      <w:r>
        <w:rPr>
          <w:rFonts w:hint="eastAsia" w:ascii="宋体" w:hAnsi="宋体"/>
          <w:sz w:val="24"/>
          <w:szCs w:val="24"/>
        </w:rPr>
        <w:t>1、为G</w:t>
      </w:r>
      <w:r>
        <w:rPr>
          <w:rFonts w:ascii="宋体" w:hAnsi="宋体"/>
          <w:sz w:val="24"/>
          <w:szCs w:val="24"/>
        </w:rPr>
        <w:t xml:space="preserve">E </w:t>
      </w:r>
      <w:r>
        <w:rPr>
          <w:rFonts w:hint="eastAsia" w:ascii="宋体" w:hAnsi="宋体"/>
          <w:sz w:val="24"/>
          <w:szCs w:val="24"/>
        </w:rPr>
        <w:t>1.5T 核磁各提供一次移机服务：具体包括：新旧场地勘测，包括新场地的设备摆放位置设计。整机及附属设备的系统分离、拆机、打包、搬运、吊装；设备搬迁至采购方指定新场地并负责安装、整机细调至交付用户使用等全部工作。拆装和运输过程中所有的工具、配件、运输设备及其他可能产生的费用均包含在项目费用内。</w:t>
      </w:r>
    </w:p>
    <w:p>
      <w:pPr>
        <w:pStyle w:val="2"/>
        <w:spacing w:line="360" w:lineRule="auto"/>
        <w:rPr>
          <w:rFonts w:ascii="宋体" w:hAnsi="宋体"/>
          <w:sz w:val="24"/>
          <w:szCs w:val="24"/>
        </w:rPr>
      </w:pPr>
      <w:r>
        <w:rPr>
          <w:rFonts w:hint="eastAsia" w:ascii="宋体" w:hAnsi="宋体"/>
          <w:sz w:val="24"/>
          <w:szCs w:val="24"/>
        </w:rPr>
        <w:t>2、风险附加险：中标方承担搬运过程中的备件损坏。中标方需保证整机及附属设备的完好，如有损坏需由中标方照价赔偿并更换新备件。本项目包含移机过程中的正常消耗液氦及水冷机组、空调等附属设备及易耗品。移机服务范围不包括：屏蔽房、防护机房防护建设。</w:t>
      </w:r>
    </w:p>
    <w:p>
      <w:pPr>
        <w:pStyle w:val="2"/>
        <w:spacing w:line="360" w:lineRule="auto"/>
        <w:rPr>
          <w:rFonts w:ascii="宋体" w:hAnsi="宋体"/>
          <w:sz w:val="24"/>
          <w:szCs w:val="24"/>
        </w:rPr>
      </w:pPr>
      <w:r>
        <w:rPr>
          <w:rFonts w:hint="eastAsia" w:ascii="宋体" w:hAnsi="宋体"/>
          <w:sz w:val="24"/>
          <w:szCs w:val="24"/>
        </w:rPr>
        <w:t>3、供应商必须具备G</w:t>
      </w:r>
      <w:r>
        <w:rPr>
          <w:rFonts w:ascii="宋体" w:hAnsi="宋体"/>
          <w:sz w:val="24"/>
          <w:szCs w:val="24"/>
        </w:rPr>
        <w:t xml:space="preserve">E </w:t>
      </w:r>
      <w:r>
        <w:rPr>
          <w:rFonts w:hint="eastAsia" w:ascii="宋体" w:hAnsi="宋体"/>
          <w:sz w:val="24"/>
          <w:szCs w:val="24"/>
        </w:rPr>
        <w:t>MRI核磁共振的全套维修工具，并提供适用于本设备型号的：射频功率校准仪、匀场仪、涡流工具、退磁工具、励磁电源工具。</w:t>
      </w:r>
    </w:p>
    <w:p>
      <w:pPr>
        <w:pStyle w:val="2"/>
        <w:spacing w:line="360" w:lineRule="auto"/>
        <w:rPr>
          <w:rFonts w:ascii="宋体" w:hAnsi="宋体"/>
          <w:sz w:val="24"/>
          <w:szCs w:val="24"/>
        </w:rPr>
      </w:pPr>
      <w:r>
        <w:rPr>
          <w:rFonts w:hint="eastAsia" w:ascii="宋体" w:hAnsi="宋体"/>
          <w:sz w:val="24"/>
          <w:szCs w:val="24"/>
        </w:rPr>
        <w:t>4、移机中标方需与维保方负责拆机前清查现有设备配置的情况，备份用户数据，确保移机后与移机前的完好性一致。确保移机后图像质量达到移机前图像质量水平。负责调试及采集设备的有关指标，确保应达到原厂手册的工作指标；移机开始前与结束后需与现有设备维保服务商签订移机交接责任书，由移机方、维保方在院方的监督下共同检查设备的各类工作指标，并签订交接责任书，划分清移机及维保责任，不得相互推诿扯皮。签订移机前移机交接责任书后，设备的完好性由移机方负责，如有损坏由移机方负责，签订移机后交接责任书后，设备如有故障及损坏由维保方依据维保合同执行。</w:t>
      </w:r>
    </w:p>
    <w:p>
      <w:pPr>
        <w:pStyle w:val="2"/>
        <w:spacing w:line="360" w:lineRule="auto"/>
        <w:rPr>
          <w:rFonts w:ascii="宋体" w:hAnsi="宋体"/>
          <w:sz w:val="24"/>
          <w:szCs w:val="24"/>
        </w:rPr>
      </w:pPr>
      <w:r>
        <w:rPr>
          <w:rFonts w:hint="eastAsia" w:ascii="宋体" w:hAnsi="宋体"/>
          <w:sz w:val="24"/>
          <w:szCs w:val="24"/>
        </w:rPr>
        <w:t>5、供应商需提供设备调试安装的全套图纸，并与机房防护建设中标公司进行对接及配合，一同保障设备顺利完好的运输及安装。</w:t>
      </w:r>
    </w:p>
    <w:p>
      <w:pPr>
        <w:pStyle w:val="2"/>
        <w:spacing w:line="360" w:lineRule="auto"/>
        <w:rPr>
          <w:rFonts w:ascii="宋体" w:hAnsi="宋体"/>
          <w:sz w:val="24"/>
          <w:szCs w:val="24"/>
        </w:rPr>
      </w:pPr>
      <w:r>
        <w:rPr>
          <w:rFonts w:hint="eastAsia" w:ascii="宋体" w:hAnsi="宋体"/>
          <w:sz w:val="24"/>
          <w:szCs w:val="24"/>
        </w:rPr>
        <w:t>6、供应商具备专业服务团队，为本项目配备的G</w:t>
      </w:r>
      <w:r>
        <w:rPr>
          <w:rFonts w:ascii="宋体" w:hAnsi="宋体"/>
          <w:sz w:val="24"/>
          <w:szCs w:val="24"/>
        </w:rPr>
        <w:t xml:space="preserve">E </w:t>
      </w:r>
      <w:r>
        <w:rPr>
          <w:rFonts w:hint="eastAsia" w:ascii="宋体" w:hAnsi="宋体"/>
          <w:sz w:val="24"/>
          <w:szCs w:val="24"/>
        </w:rPr>
        <w:t>原厂工程师不少于</w:t>
      </w:r>
      <w:r>
        <w:rPr>
          <w:rFonts w:ascii="宋体" w:hAnsi="宋体"/>
          <w:sz w:val="24"/>
          <w:szCs w:val="24"/>
        </w:rPr>
        <w:t>2</w:t>
      </w:r>
      <w:r>
        <w:rPr>
          <w:rFonts w:hint="eastAsia" w:ascii="宋体" w:hAnsi="宋体"/>
          <w:sz w:val="24"/>
          <w:szCs w:val="24"/>
        </w:rPr>
        <w:t>名, 其中人员具有上述规格型号设备的原厂培训资质证明。(工程师资质提供加盖公章的彩色扫描件)</w:t>
      </w:r>
    </w:p>
    <w:p>
      <w:pPr>
        <w:pStyle w:val="2"/>
        <w:widowControl/>
        <w:numPr>
          <w:ilvl w:val="0"/>
          <w:numId w:val="1"/>
        </w:numPr>
        <w:suppressAutoHyphens w:val="0"/>
        <w:spacing w:after="0" w:line="360" w:lineRule="auto"/>
        <w:jc w:val="left"/>
        <w:rPr>
          <w:rFonts w:ascii="宋体" w:hAnsi="宋体"/>
          <w:sz w:val="24"/>
          <w:szCs w:val="24"/>
        </w:rPr>
      </w:pPr>
      <w:r>
        <w:rPr>
          <w:rFonts w:hint="eastAsia" w:ascii="宋体" w:hAnsi="宋体"/>
          <w:sz w:val="24"/>
          <w:szCs w:val="24"/>
        </w:rPr>
        <w:t>供应商在设备所在地新疆有3个以上稳定的常驻服务机构（人员），供应商须提供其相关详细地址与联系电话以供采购方核实。</w:t>
      </w:r>
    </w:p>
    <w:p>
      <w:pPr>
        <w:pStyle w:val="2"/>
        <w:widowControl/>
        <w:numPr>
          <w:ilvl w:val="0"/>
          <w:numId w:val="1"/>
        </w:numPr>
        <w:suppressAutoHyphens w:val="0"/>
        <w:spacing w:after="0" w:line="360" w:lineRule="auto"/>
        <w:jc w:val="left"/>
        <w:rPr>
          <w:rFonts w:ascii="宋体" w:hAnsi="宋体"/>
          <w:sz w:val="24"/>
          <w:szCs w:val="24"/>
        </w:rPr>
      </w:pPr>
      <w:r>
        <w:rPr>
          <w:rFonts w:hint="eastAsia" w:ascii="宋体" w:hAnsi="宋体"/>
          <w:sz w:val="24"/>
          <w:szCs w:val="24"/>
        </w:rPr>
        <w:t>供应商必须具有处理磁体失超的能力。</w:t>
      </w:r>
    </w:p>
    <w:p>
      <w:pPr>
        <w:pStyle w:val="2"/>
        <w:numPr>
          <w:ilvl w:val="0"/>
          <w:numId w:val="1"/>
        </w:numPr>
        <w:spacing w:line="360" w:lineRule="auto"/>
        <w:rPr>
          <w:rFonts w:ascii="宋体" w:hAnsi="宋体"/>
          <w:sz w:val="24"/>
          <w:szCs w:val="24"/>
        </w:rPr>
      </w:pPr>
      <w:r>
        <w:rPr>
          <w:rFonts w:hint="eastAsia" w:ascii="宋体" w:hAnsi="宋体"/>
          <w:sz w:val="24"/>
          <w:szCs w:val="24"/>
        </w:rPr>
        <w:t>设备资产为国有资产，供应商不得随意破坏及替换设备及附属配件，否则院方将追究相关法律责任。</w:t>
      </w:r>
    </w:p>
    <w:p>
      <w:pPr>
        <w:pStyle w:val="2"/>
        <w:spacing w:line="360" w:lineRule="auto"/>
        <w:rPr>
          <w:rFonts w:ascii="宋体" w:hAnsi="宋体"/>
          <w:sz w:val="24"/>
          <w:szCs w:val="24"/>
        </w:rPr>
      </w:pPr>
      <w:r>
        <w:rPr>
          <w:rFonts w:hint="eastAsia" w:ascii="宋体" w:hAnsi="宋体"/>
          <w:sz w:val="24"/>
          <w:szCs w:val="24"/>
        </w:rPr>
        <w:t>10、供应商需保证设备的正常使用及运行，如因中标方在移机过程中导致的设备故障而产生无法修复的损失，院方有权依据本条款约定按照设备原值及造成的经济损失向中标方索赔。</w:t>
      </w:r>
    </w:p>
    <w:p>
      <w:pPr>
        <w:pStyle w:val="2"/>
        <w:spacing w:line="360" w:lineRule="auto"/>
        <w:rPr>
          <w:rFonts w:ascii="宋体" w:hAnsi="宋体"/>
          <w:sz w:val="24"/>
          <w:szCs w:val="24"/>
        </w:rPr>
      </w:pPr>
      <w:r>
        <w:rPr>
          <w:rFonts w:hint="eastAsia" w:ascii="宋体" w:hAnsi="宋体"/>
          <w:sz w:val="24"/>
          <w:szCs w:val="24"/>
        </w:rPr>
        <w:t>11、中标方承担拆机及移机过程中的所有安全责任，并在服务履行前向采购方提交安全承诺书，包含具体实施方案，含人员配置、拆解技术方案、安全保障措施等。</w:t>
      </w:r>
    </w:p>
    <w:p>
      <w:pPr>
        <w:pStyle w:val="2"/>
        <w:spacing w:line="360" w:lineRule="auto"/>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、对于与整机配套使用的其他产品，我方可以协助贵院进行搬迁，但我方不承担该产品的技术保障、相关责任和费用，例如：贵院负责提供完整的设备随机资料、软件和工具；</w:t>
      </w:r>
    </w:p>
    <w:p>
      <w:pPr>
        <w:pStyle w:val="2"/>
        <w:spacing w:line="360" w:lineRule="auto"/>
        <w:rPr>
          <w:rFonts w:ascii="宋体" w:hAnsi="宋体"/>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移机前贵院负责做好全部场地准备工作，其中包括符合设备安置要求的电源、地线等电路、温度、湿度环境、射线屏蔽等的达标建造，设备搬运出入的通道改造等，各种标准参照随机手册要求，我方提供合理化建议和督导并按照贵院指定的位置安放；</w:t>
      </w:r>
    </w:p>
    <w:p>
      <w:pPr>
        <w:pStyle w:val="2"/>
        <w:spacing w:line="360" w:lineRule="auto"/>
        <w:rPr>
          <w:rFonts w:ascii="宋体" w:hAnsi="宋体"/>
          <w:sz w:val="24"/>
          <w:szCs w:val="24"/>
        </w:rPr>
      </w:pPr>
    </w:p>
    <w:p>
      <w:pPr>
        <w:pStyle w:val="2"/>
        <w:spacing w:line="360" w:lineRule="auto"/>
        <w:rPr>
          <w:rFonts w:ascii="宋体" w:hAnsi="宋体"/>
          <w:sz w:val="24"/>
          <w:szCs w:val="24"/>
        </w:rPr>
      </w:pPr>
    </w:p>
    <w:p>
      <w:pPr>
        <w:spacing w:line="240" w:lineRule="atLeast"/>
        <w:rPr>
          <w:rFonts w:ascii="宋体" w:hAnsi="宋体" w:cs="宋体"/>
          <w:sz w:val="28"/>
          <w:szCs w:val="28"/>
        </w:rPr>
      </w:pPr>
      <w:r>
        <w:rPr>
          <w:rFonts w:hint="eastAsia" w:ascii="宋体" w:hAnsi="宋体" w:cs="宋体"/>
          <w:sz w:val="28"/>
          <w:szCs w:val="28"/>
        </w:rPr>
        <w:t>三、商务条款：</w:t>
      </w:r>
    </w:p>
    <w:p>
      <w:pPr>
        <w:spacing w:line="240" w:lineRule="atLeast"/>
        <w:rPr>
          <w:rFonts w:ascii="宋体" w:hAnsi="宋体" w:cs="宋体"/>
          <w:sz w:val="28"/>
          <w:szCs w:val="28"/>
        </w:rPr>
      </w:pPr>
      <w:r>
        <w:rPr>
          <w:rFonts w:hint="eastAsia" w:ascii="宋体" w:hAnsi="宋体" w:cs="宋体"/>
          <w:sz w:val="28"/>
          <w:szCs w:val="28"/>
        </w:rPr>
        <w:t>1、本服务项目为小微企业专项预留，须提供合格的中小企业声明函；      2、本项目组织设备运行情况实地踏勘，供应商须进行实地探勘，否则将视为投标无效；</w:t>
      </w:r>
    </w:p>
    <w:p>
      <w:pPr>
        <w:spacing w:line="240" w:lineRule="atLeast"/>
        <w:rPr>
          <w:rFonts w:ascii="宋体" w:hAnsi="宋体" w:cs="宋体"/>
          <w:sz w:val="28"/>
          <w:szCs w:val="28"/>
        </w:rPr>
      </w:pPr>
      <w:r>
        <w:rPr>
          <w:rFonts w:hint="eastAsia" w:ascii="宋体" w:hAnsi="宋体" w:cs="宋体"/>
          <w:sz w:val="28"/>
          <w:szCs w:val="28"/>
        </w:rPr>
        <w:t>3、本项目要求投标企业提供2023年财务审计报告或银行资信证明、近三年无重大违法犯罪承诺及相关证明（无失信执行、无重大税收违法、无严重违法失信执行等）、服务承诺、法缴纳税收和社会保障资金的良好记录（近三个月）</w:t>
      </w:r>
      <w:bookmarkStart w:id="1" w:name="_GoBack"/>
      <w:bookmarkEnd w:id="1"/>
      <w:r>
        <w:rPr>
          <w:rFonts w:hint="eastAsia" w:ascii="宋体" w:hAnsi="宋体" w:cs="宋体"/>
          <w:sz w:val="28"/>
          <w:szCs w:val="28"/>
        </w:rPr>
        <w:t>等；</w:t>
      </w:r>
    </w:p>
    <w:p>
      <w:pPr>
        <w:spacing w:line="240" w:lineRule="atLeast"/>
        <w:rPr>
          <w:rFonts w:ascii="宋体" w:hAnsi="宋体" w:cs="宋体"/>
          <w:sz w:val="28"/>
          <w:szCs w:val="28"/>
        </w:rPr>
      </w:pPr>
      <w:r>
        <w:rPr>
          <w:rFonts w:hint="eastAsia" w:ascii="宋体" w:hAnsi="宋体" w:cs="宋体"/>
          <w:sz w:val="28"/>
          <w:szCs w:val="28"/>
        </w:rPr>
        <w:t>4、本项目服务要求中提到的需要提供材料印证的，须全部提供相关印证材料。</w:t>
      </w:r>
    </w:p>
    <w:p>
      <w:pPr>
        <w:spacing w:line="240" w:lineRule="atLeast"/>
        <w:rPr>
          <w:rFonts w:ascii="宋体" w:hAnsi="宋体" w:cs="宋体"/>
          <w:b/>
          <w:bCs/>
          <w:sz w:val="28"/>
          <w:szCs w:val="28"/>
        </w:rPr>
      </w:pPr>
      <w:r>
        <w:rPr>
          <w:rFonts w:hint="eastAsia" w:ascii="宋体" w:hAnsi="宋体" w:cs="宋体"/>
          <w:b/>
          <w:bCs/>
          <w:sz w:val="28"/>
          <w:szCs w:val="28"/>
        </w:rPr>
        <w:t>特别提醒：如投标商没有按照要求提供相关文件、资料、证明、声明、承诺等相关资料，我院有权视其投标无效。</w:t>
      </w:r>
    </w:p>
    <w:p>
      <w:pPr>
        <w:pStyle w:val="2"/>
        <w:spacing w:line="360" w:lineRule="auto"/>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SimSun">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7559F"/>
    <w:multiLevelType w:val="singleLevel"/>
    <w:tmpl w:val="B8F7559F"/>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71"/>
    <w:rsid w:val="00022004"/>
    <w:rsid w:val="00035980"/>
    <w:rsid w:val="001F107D"/>
    <w:rsid w:val="00220318"/>
    <w:rsid w:val="003066BD"/>
    <w:rsid w:val="00431C94"/>
    <w:rsid w:val="004C0CBD"/>
    <w:rsid w:val="00635113"/>
    <w:rsid w:val="00650F6B"/>
    <w:rsid w:val="007124D0"/>
    <w:rsid w:val="00713971"/>
    <w:rsid w:val="00763234"/>
    <w:rsid w:val="008B47A6"/>
    <w:rsid w:val="00B276FC"/>
    <w:rsid w:val="00D7727A"/>
    <w:rsid w:val="00EA6090"/>
    <w:rsid w:val="00F11E30"/>
    <w:rsid w:val="31772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styleId="3">
    <w:name w:val="heading 3"/>
    <w:basedOn w:val="1"/>
    <w:next w:val="1"/>
    <w:link w:val="13"/>
    <w:semiHidden/>
    <w:unhideWhenUsed/>
    <w:qFormat/>
    <w:uiPriority w:val="0"/>
    <w:pPr>
      <w:keepNext/>
      <w:keepLines/>
      <w:suppressAutoHyphens w:val="0"/>
      <w:spacing w:before="260" w:after="260" w:line="415" w:lineRule="auto"/>
      <w:outlineLvl w:val="2"/>
    </w:pPr>
    <w:rPr>
      <w:rFonts w:ascii="Calibri" w:hAnsi="Calibri" w:eastAsia="宋体" w:cs="宋体"/>
      <w:b/>
      <w:bCs/>
      <w:kern w:val="0"/>
      <w:sz w:val="32"/>
      <w:szCs w:val="32"/>
    </w:rPr>
  </w:style>
  <w:style w:type="character" w:default="1" w:styleId="10">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2"/>
    <w:semiHidden/>
    <w:unhideWhenUsed/>
    <w:uiPriority w:val="99"/>
    <w:pPr>
      <w:spacing w:after="120"/>
    </w:pPr>
  </w:style>
  <w:style w:type="paragraph" w:styleId="4">
    <w:name w:val="Normal Indent"/>
    <w:basedOn w:val="1"/>
    <w:unhideWhenUsed/>
    <w:uiPriority w:val="99"/>
    <w:pPr>
      <w:suppressAutoHyphens w:val="0"/>
      <w:ind w:firstLine="420" w:firstLineChars="200"/>
    </w:pPr>
    <w:rPr>
      <w:rFonts w:eastAsia="宋体"/>
      <w:szCs w:val="20"/>
    </w:rPr>
  </w:style>
  <w:style w:type="paragraph" w:styleId="5">
    <w:name w:val="toa heading"/>
    <w:basedOn w:val="1"/>
    <w:next w:val="1"/>
    <w:uiPriority w:val="0"/>
    <w:pPr>
      <w:suppressAutoHyphens w:val="0"/>
      <w:spacing w:before="120"/>
    </w:pPr>
    <w:rPr>
      <w:rFonts w:ascii="Arial" w:hAnsi="Arial" w:eastAsia="宋体"/>
      <w:sz w:val="24"/>
    </w:rPr>
  </w:style>
  <w:style w:type="paragraph" w:styleId="6">
    <w:name w:val="Plain Text"/>
    <w:basedOn w:val="1"/>
    <w:link w:val="14"/>
    <w:unhideWhenUsed/>
    <w:qFormat/>
    <w:uiPriority w:val="0"/>
    <w:pPr>
      <w:suppressAutoHyphens w:val="0"/>
    </w:pPr>
    <w:rPr>
      <w:rFonts w:ascii="宋体" w:hAnsi="Courier New" w:eastAsia="宋体" w:cs="Courier New"/>
    </w:r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0"/>
    <w:pPr>
      <w:widowControl/>
      <w:suppressAutoHyphens w:val="0"/>
      <w:spacing w:before="100" w:beforeAutospacing="1" w:after="100" w:afterAutospacing="1"/>
      <w:jc w:val="left"/>
    </w:pPr>
    <w:rPr>
      <w:rFonts w:ascii="宋体" w:hAnsi="宋体" w:eastAsia="宋体" w:cs="宋体"/>
      <w:color w:val="000000"/>
      <w:kern w:val="0"/>
      <w:sz w:val="24"/>
      <w:szCs w:val="24"/>
    </w:rPr>
  </w:style>
  <w:style w:type="character" w:customStyle="1" w:styleId="12">
    <w:name w:val="正文文本 Char"/>
    <w:basedOn w:val="10"/>
    <w:link w:val="2"/>
    <w:semiHidden/>
    <w:uiPriority w:val="99"/>
    <w:rPr>
      <w:rFonts w:ascii="Times New Roman" w:hAnsi="Times New Roman" w:eastAsia="宋体;SimSun" w:cs="Times New Roman"/>
      <w:szCs w:val="21"/>
    </w:rPr>
  </w:style>
  <w:style w:type="character" w:customStyle="1" w:styleId="13">
    <w:name w:val="标题 3 Char"/>
    <w:basedOn w:val="10"/>
    <w:link w:val="3"/>
    <w:semiHidden/>
    <w:uiPriority w:val="0"/>
    <w:rPr>
      <w:rFonts w:ascii="Calibri" w:hAnsi="Calibri" w:eastAsia="宋体" w:cs="宋体"/>
      <w:b/>
      <w:bCs/>
      <w:kern w:val="0"/>
      <w:sz w:val="32"/>
      <w:szCs w:val="32"/>
    </w:rPr>
  </w:style>
  <w:style w:type="character" w:customStyle="1" w:styleId="14">
    <w:name w:val="纯文本 Char"/>
    <w:basedOn w:val="10"/>
    <w:link w:val="6"/>
    <w:qFormat/>
    <w:uiPriority w:val="0"/>
    <w:rPr>
      <w:rFonts w:ascii="宋体" w:hAnsi="Courier New" w:eastAsia="宋体" w:cs="Courier New"/>
      <w:szCs w:val="21"/>
    </w:rPr>
  </w:style>
  <w:style w:type="character" w:customStyle="1" w:styleId="15">
    <w:name w:val="页眉 Char"/>
    <w:basedOn w:val="10"/>
    <w:link w:val="8"/>
    <w:uiPriority w:val="99"/>
    <w:rPr>
      <w:rFonts w:ascii="Times New Roman" w:hAnsi="Times New Roman" w:eastAsia="宋体;SimSun" w:cs="Times New Roman"/>
      <w:sz w:val="18"/>
      <w:szCs w:val="18"/>
    </w:rPr>
  </w:style>
  <w:style w:type="character" w:customStyle="1" w:styleId="16">
    <w:name w:val="页脚 Char"/>
    <w:basedOn w:val="10"/>
    <w:link w:val="7"/>
    <w:qFormat/>
    <w:uiPriority w:val="99"/>
    <w:rPr>
      <w:rFonts w:ascii="Times New Roman" w:hAnsi="Times New Roman" w:eastAsia="宋体;SimSu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ksabc</Company>
  <Pages>3</Pages>
  <Words>257</Words>
  <Characters>1471</Characters>
  <Lines>12</Lines>
  <Paragraphs>3</Paragraphs>
  <TotalTime>40</TotalTime>
  <ScaleCrop>false</ScaleCrop>
  <LinksUpToDate>false</LinksUpToDate>
  <CharactersWithSpaces>1725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2024-08-25T03:52:00Z</dcterms:created>
  <dc:creator>微软用户</dc:creator>
  <cp:lastModifiedBy>Administrator</cp:lastModifiedBy>
  <cp:lastPrinted>2023-10-13T11:52:00Z</cp:lastPrinted>
  <dcterms:modified xsi:type="dcterms:W3CDTF">2024-10-14T08:29:40Z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