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3358B">
      <w:pPr>
        <w:tabs>
          <w:tab w:val="left" w:pos="2775"/>
        </w:tabs>
        <w:autoSpaceDE w:val="0"/>
        <w:spacing w:line="500" w:lineRule="exact"/>
        <w:ind w:firstLine="3092" w:firstLineChars="700"/>
        <w:rPr>
          <w:rFonts w:hint="eastAsia" w:ascii="仿宋" w:hAnsi="仿宋" w:eastAsia="仿宋"/>
          <w:b/>
          <w:bCs/>
          <w:kern w:val="0"/>
          <w:sz w:val="44"/>
          <w:szCs w:val="44"/>
        </w:rPr>
      </w:pPr>
      <w:bookmarkStart w:id="0" w:name="_Toc10532"/>
      <w:r>
        <w:rPr>
          <w:rFonts w:hint="eastAsia" w:ascii="仿宋" w:hAnsi="仿宋" w:eastAsia="仿宋"/>
          <w:b/>
          <w:bCs/>
          <w:kern w:val="0"/>
          <w:sz w:val="44"/>
          <w:szCs w:val="44"/>
        </w:rPr>
        <w:t>采 购 需 求</w:t>
      </w:r>
    </w:p>
    <w:p w14:paraId="05E2D960">
      <w:pPr>
        <w:autoSpaceDE w:val="0"/>
        <w:spacing w:line="560" w:lineRule="exact"/>
        <w:ind w:firstLine="643" w:firstLineChars="200"/>
        <w:jc w:val="left"/>
        <w:rPr>
          <w:rFonts w:ascii="仿宋" w:hAnsi="仿宋" w:eastAsia="仿宋"/>
          <w:b/>
          <w:bCs/>
          <w:kern w:val="0"/>
          <w:sz w:val="32"/>
          <w:szCs w:val="32"/>
        </w:rPr>
      </w:pPr>
      <w:r>
        <w:rPr>
          <w:rFonts w:ascii="仿宋" w:hAnsi="仿宋" w:eastAsia="仿宋"/>
          <w:b/>
          <w:bCs/>
          <w:kern w:val="0"/>
          <w:sz w:val="32"/>
          <w:szCs w:val="32"/>
        </w:rPr>
        <w:t>一、</w:t>
      </w:r>
      <w:r>
        <w:rPr>
          <w:rFonts w:hint="eastAsia" w:ascii="仿宋" w:hAnsi="仿宋" w:eastAsia="仿宋"/>
          <w:b/>
          <w:bCs/>
          <w:kern w:val="0"/>
          <w:sz w:val="32"/>
          <w:szCs w:val="32"/>
        </w:rPr>
        <w:t>项目基本情况:</w:t>
      </w:r>
    </w:p>
    <w:p w14:paraId="5D5F4F75">
      <w:pPr>
        <w:autoSpaceDE w:val="0"/>
        <w:spacing w:line="560" w:lineRule="exact"/>
        <w:ind w:firstLine="640" w:firstLineChars="200"/>
        <w:jc w:val="left"/>
        <w:rPr>
          <w:rFonts w:hint="eastAsia" w:ascii="仿宋" w:hAnsi="仿宋" w:eastAsia="仿宋"/>
          <w:kern w:val="0"/>
          <w:sz w:val="32"/>
          <w:szCs w:val="32"/>
        </w:rPr>
      </w:pPr>
      <w:r>
        <w:rPr>
          <w:rFonts w:hint="eastAsia" w:ascii="仿宋" w:hAnsi="仿宋" w:eastAsia="仿宋"/>
          <w:kern w:val="0"/>
          <w:sz w:val="32"/>
          <w:szCs w:val="32"/>
        </w:rPr>
        <w:t>1.项目</w:t>
      </w:r>
      <w:r>
        <w:rPr>
          <w:rFonts w:ascii="仿宋" w:hAnsi="仿宋" w:eastAsia="仿宋"/>
          <w:kern w:val="0"/>
          <w:sz w:val="32"/>
          <w:szCs w:val="32"/>
        </w:rPr>
        <w:t>名称：</w:t>
      </w:r>
      <w:r>
        <w:rPr>
          <w:rFonts w:ascii="Times New Roman" w:hAnsi="Times New Roman" w:eastAsia="仿宋" w:cs="Times New Roman"/>
          <w:i w:val="0"/>
          <w:iCs w:val="0"/>
          <w:color w:val="000000" w:themeColor="text1"/>
          <w:kern w:val="2"/>
          <w:sz w:val="30"/>
          <w:szCs w:val="32"/>
          <w:highlight w:val="none"/>
          <w:u w:val="none"/>
          <w:lang w:val="en-US" w:eastAsia="zh-CN"/>
          <w14:textFill>
            <w14:solidFill>
              <w14:schemeClr w14:val="tx1"/>
            </w14:solidFill>
          </w14:textFill>
        </w:rPr>
        <w:t>博州精河国有林管理局智慧林草信息化建设项目</w:t>
      </w:r>
    </w:p>
    <w:p w14:paraId="10841EF9">
      <w:pPr>
        <w:spacing w:line="560" w:lineRule="exact"/>
        <w:ind w:firstLine="640" w:firstLineChars="200"/>
        <w:jc w:val="left"/>
        <w:rPr>
          <w:rFonts w:ascii="仿宋" w:hAnsi="仿宋" w:eastAsia="仿宋"/>
          <w:b/>
          <w:color w:val="0000FF"/>
          <w:sz w:val="32"/>
          <w:szCs w:val="32"/>
        </w:rPr>
      </w:pPr>
      <w:r>
        <w:rPr>
          <w:rFonts w:hint="eastAsia" w:ascii="仿宋" w:hAnsi="仿宋" w:eastAsia="仿宋"/>
          <w:kern w:val="0"/>
          <w:sz w:val="32"/>
          <w:szCs w:val="32"/>
        </w:rPr>
        <w:t>2.</w:t>
      </w:r>
      <w:r>
        <w:rPr>
          <w:rFonts w:ascii="仿宋" w:hAnsi="仿宋" w:eastAsia="仿宋"/>
          <w:kern w:val="0"/>
          <w:sz w:val="32"/>
          <w:szCs w:val="32"/>
        </w:rPr>
        <w:t>合同履约服务期限：计划工期：202</w:t>
      </w:r>
      <w:r>
        <w:rPr>
          <w:rFonts w:hint="eastAsia" w:ascii="仿宋" w:hAnsi="仿宋" w:eastAsia="仿宋"/>
          <w:kern w:val="0"/>
          <w:sz w:val="32"/>
          <w:szCs w:val="32"/>
        </w:rPr>
        <w:t>5</w:t>
      </w:r>
      <w:r>
        <w:rPr>
          <w:rFonts w:ascii="仿宋" w:hAnsi="仿宋" w:eastAsia="仿宋"/>
          <w:kern w:val="0"/>
          <w:sz w:val="32"/>
          <w:szCs w:val="32"/>
        </w:rPr>
        <w:t>年</w:t>
      </w:r>
      <w:r>
        <w:rPr>
          <w:rFonts w:hint="eastAsia" w:ascii="仿宋" w:hAnsi="仿宋"/>
          <w:kern w:val="0"/>
          <w:sz w:val="32"/>
          <w:szCs w:val="32"/>
          <w:lang w:val="en-US" w:eastAsia="zh-CN"/>
        </w:rPr>
        <w:t>7</w:t>
      </w:r>
      <w:r>
        <w:rPr>
          <w:rFonts w:ascii="仿宋" w:hAnsi="仿宋" w:eastAsia="仿宋"/>
          <w:kern w:val="0"/>
          <w:sz w:val="32"/>
          <w:szCs w:val="32"/>
        </w:rPr>
        <w:t>月-</w:t>
      </w:r>
      <w:r>
        <w:rPr>
          <w:rFonts w:hint="eastAsia" w:ascii="仿宋" w:hAnsi="仿宋"/>
          <w:kern w:val="0"/>
          <w:sz w:val="32"/>
          <w:szCs w:val="32"/>
          <w:lang w:val="en-US" w:eastAsia="zh-CN"/>
        </w:rPr>
        <w:t>9</w:t>
      </w:r>
      <w:r>
        <w:rPr>
          <w:rFonts w:ascii="仿宋" w:hAnsi="仿宋" w:eastAsia="仿宋"/>
          <w:kern w:val="0"/>
          <w:sz w:val="32"/>
          <w:szCs w:val="32"/>
        </w:rPr>
        <w:t>月</w:t>
      </w:r>
      <w:r>
        <w:rPr>
          <w:rFonts w:ascii="仿宋" w:hAnsi="仿宋" w:eastAsia="仿宋"/>
          <w:sz w:val="32"/>
          <w:szCs w:val="32"/>
        </w:rPr>
        <w:t>（实际按照</w:t>
      </w:r>
      <w:r>
        <w:rPr>
          <w:rFonts w:hint="eastAsia" w:ascii="仿宋" w:hAnsi="仿宋" w:eastAsia="仿宋"/>
          <w:sz w:val="32"/>
          <w:szCs w:val="32"/>
        </w:rPr>
        <w:t>中标后</w:t>
      </w:r>
      <w:r>
        <w:rPr>
          <w:rFonts w:ascii="仿宋" w:hAnsi="仿宋" w:eastAsia="仿宋"/>
          <w:sz w:val="32"/>
          <w:szCs w:val="32"/>
        </w:rPr>
        <w:t>甲、乙双方约定并签订合同日期执行）</w:t>
      </w:r>
    </w:p>
    <w:p w14:paraId="077F5DC6">
      <w:pPr>
        <w:spacing w:line="560" w:lineRule="exact"/>
        <w:ind w:firstLine="640" w:firstLineChars="200"/>
        <w:jc w:val="left"/>
        <w:rPr>
          <w:rFonts w:hint="eastAsia" w:ascii="仿宋" w:hAnsi="仿宋" w:eastAsia="仿宋"/>
          <w:kern w:val="0"/>
          <w:sz w:val="32"/>
          <w:szCs w:val="32"/>
          <w:lang w:val="en-US" w:eastAsia="zh-CN"/>
        </w:rPr>
      </w:pPr>
      <w:r>
        <w:rPr>
          <w:rFonts w:hint="eastAsia" w:ascii="仿宋" w:hAnsi="仿宋" w:eastAsia="仿宋"/>
          <w:kern w:val="0"/>
          <w:sz w:val="32"/>
          <w:szCs w:val="32"/>
        </w:rPr>
        <w:t>3.采购预算：</w:t>
      </w:r>
      <w:r>
        <w:rPr>
          <w:rFonts w:hint="eastAsia" w:ascii="仿宋" w:hAnsi="仿宋"/>
          <w:kern w:val="0"/>
          <w:sz w:val="32"/>
          <w:szCs w:val="32"/>
          <w:lang w:val="en-US" w:eastAsia="zh-CN"/>
        </w:rPr>
        <w:t>85.003869</w:t>
      </w:r>
      <w:r>
        <w:rPr>
          <w:rFonts w:hint="eastAsia" w:ascii="仿宋" w:hAnsi="仿宋" w:eastAsia="仿宋"/>
          <w:kern w:val="0"/>
          <w:sz w:val="32"/>
          <w:szCs w:val="32"/>
        </w:rPr>
        <w:t>万元。最高限价：</w:t>
      </w:r>
      <w:r>
        <w:rPr>
          <w:rFonts w:hint="eastAsia" w:ascii="仿宋" w:hAnsi="仿宋"/>
          <w:kern w:val="0"/>
          <w:sz w:val="32"/>
          <w:szCs w:val="32"/>
          <w:lang w:val="en-US" w:eastAsia="zh-CN"/>
        </w:rPr>
        <w:t>85.003869</w:t>
      </w:r>
      <w:r>
        <w:rPr>
          <w:rFonts w:hint="eastAsia" w:ascii="仿宋" w:hAnsi="仿宋" w:eastAsia="仿宋"/>
          <w:kern w:val="0"/>
          <w:sz w:val="32"/>
          <w:szCs w:val="32"/>
        </w:rPr>
        <w:t>万元</w:t>
      </w:r>
      <w:r>
        <w:rPr>
          <w:rFonts w:hint="eastAsia" w:ascii="仿宋" w:hAnsi="仿宋"/>
          <w:kern w:val="0"/>
          <w:sz w:val="32"/>
          <w:szCs w:val="32"/>
          <w:lang w:eastAsia="zh-CN"/>
        </w:rPr>
        <w:t>。</w:t>
      </w:r>
    </w:p>
    <w:p w14:paraId="42FCEB52">
      <w:pPr>
        <w:spacing w:line="560" w:lineRule="exact"/>
        <w:ind w:firstLine="643" w:firstLineChars="200"/>
        <w:jc w:val="left"/>
        <w:rPr>
          <w:rFonts w:ascii="Times New Roman" w:hAnsi="Times New Roman" w:eastAsia="仿宋" w:cs="Times New Roman"/>
          <w:i w:val="0"/>
          <w:iCs w:val="0"/>
          <w:color w:val="000000" w:themeColor="text1"/>
          <w:kern w:val="2"/>
          <w:sz w:val="30"/>
          <w:szCs w:val="32"/>
          <w:highlight w:val="none"/>
          <w:u w:val="none"/>
          <w:lang w:val="en-US" w:eastAsia="zh-CN"/>
          <w14:textFill>
            <w14:solidFill>
              <w14:schemeClr w14:val="tx1"/>
            </w14:solidFill>
          </w14:textFill>
        </w:rPr>
      </w:pPr>
      <w:r>
        <w:rPr>
          <w:rFonts w:ascii="仿宋" w:hAnsi="仿宋" w:eastAsia="仿宋"/>
          <w:b/>
          <w:bCs/>
          <w:kern w:val="0"/>
          <w:sz w:val="32"/>
          <w:szCs w:val="32"/>
        </w:rPr>
        <w:t>二、</w:t>
      </w:r>
      <w:r>
        <w:rPr>
          <w:rFonts w:hint="eastAsia" w:ascii="仿宋" w:hAnsi="仿宋" w:eastAsia="仿宋"/>
          <w:b/>
          <w:bCs/>
          <w:kern w:val="0"/>
          <w:sz w:val="32"/>
          <w:szCs w:val="32"/>
        </w:rPr>
        <w:t>服务要求：</w:t>
      </w:r>
    </w:p>
    <w:p w14:paraId="6BC2F29A">
      <w:pPr>
        <w:pStyle w:val="3"/>
        <w:numPr>
          <w:ilvl w:val="0"/>
          <w:numId w:val="0"/>
        </w:numPr>
        <w:ind w:left="300" w:firstLine="0"/>
        <w:rPr>
          <w:rFonts w:ascii="Times New Roman" w:hAnsi="Times New Roman" w:eastAsia="仿宋" w:cs="Times New Roman"/>
          <w:i w:val="0"/>
          <w:iCs w:val="0"/>
          <w:color w:val="000000" w:themeColor="text1"/>
          <w:kern w:val="2"/>
          <w:sz w:val="30"/>
          <w:szCs w:val="32"/>
          <w:highlight w:val="none"/>
          <w:u w:val="none"/>
          <w:lang w:val="en-US" w:eastAsia="zh-CN"/>
          <w14:textFill>
            <w14:solidFill>
              <w14:schemeClr w14:val="tx1"/>
            </w14:solidFill>
          </w14:textFill>
        </w:rPr>
      </w:pPr>
      <w:r>
        <w:rPr>
          <w:rFonts w:ascii="Times New Roman" w:hAnsi="Times New Roman" w:eastAsia="仿宋" w:cs="Times New Roman"/>
          <w:i w:val="0"/>
          <w:iCs w:val="0"/>
          <w:color w:val="000000" w:themeColor="text1"/>
          <w:kern w:val="2"/>
          <w:sz w:val="30"/>
          <w:szCs w:val="32"/>
          <w:highlight w:val="none"/>
          <w:u w:val="none"/>
          <w:lang w:val="en-US" w:eastAsia="zh-CN"/>
          <w14:textFill>
            <w14:solidFill>
              <w14:schemeClr w14:val="tx1"/>
            </w14:solidFill>
          </w14:textFill>
        </w:rPr>
        <w:t xml:space="preserve"> 博州精河国有林管理局智慧林草信息化建设项目</w:t>
      </w:r>
      <w:r>
        <w:rPr>
          <w:rFonts w:hint="default" w:ascii="Times New Roman" w:hAnsi="Times New Roman" w:eastAsia="仿宋" w:cs="Times New Roman"/>
          <w:i w:val="0"/>
          <w:iCs w:val="0"/>
          <w:color w:val="000000" w:themeColor="text1"/>
          <w:kern w:val="2"/>
          <w:sz w:val="30"/>
          <w:szCs w:val="32"/>
          <w:highlight w:val="none"/>
          <w:u w:val="none"/>
          <w:lang w:val="en-US" w:eastAsia="zh-CN"/>
          <w14:textFill>
            <w14:solidFill>
              <w14:schemeClr w14:val="tx1"/>
            </w14:solidFill>
          </w14:textFill>
        </w:rPr>
        <w:t>明细</w:t>
      </w:r>
      <w:r>
        <w:rPr>
          <w:rFonts w:ascii="Times New Roman" w:hAnsi="Times New Roman" w:eastAsia="仿宋" w:cs="Times New Roman"/>
          <w:i w:val="0"/>
          <w:iCs w:val="0"/>
          <w:color w:val="000000" w:themeColor="text1"/>
          <w:kern w:val="2"/>
          <w:sz w:val="30"/>
          <w:szCs w:val="32"/>
          <w:highlight w:val="none"/>
          <w:u w:val="none"/>
          <w:lang w:val="en-US" w:eastAsia="zh-CN"/>
          <w14:textFill>
            <w14:solidFill>
              <w14:schemeClr w14:val="tx1"/>
            </w14:solidFill>
          </w14:textFill>
        </w:rPr>
        <w:t>表</w:t>
      </w:r>
      <w:bookmarkEnd w:id="0"/>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4"/>
        <w:gridCol w:w="1961"/>
        <w:gridCol w:w="5574"/>
        <w:gridCol w:w="369"/>
        <w:gridCol w:w="369"/>
        <w:gridCol w:w="485"/>
      </w:tblGrid>
      <w:tr w14:paraId="0D15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7A9D5">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序号</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C6200">
            <w:pPr>
              <w:keepNext w:val="0"/>
              <w:keepLines w:val="0"/>
              <w:widowControl/>
              <w:suppressLineNumbers w:val="0"/>
              <w:spacing w:line="240" w:lineRule="auto"/>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建设内容</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6EA46">
            <w:pPr>
              <w:keepNext w:val="0"/>
              <w:keepLines w:val="0"/>
              <w:widowControl/>
              <w:suppressLineNumbers w:val="0"/>
              <w:spacing w:line="240" w:lineRule="auto"/>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规格参数</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9D0B9">
            <w:pPr>
              <w:keepNext w:val="0"/>
              <w:keepLines w:val="0"/>
              <w:widowControl/>
              <w:suppressLineNumbers w:val="0"/>
              <w:spacing w:line="240" w:lineRule="auto"/>
              <w:ind w:firstLine="0" w:firstLineChars="0"/>
              <w:jc w:val="center"/>
              <w:textAlignment w:val="center"/>
              <w:rPr>
                <w:rFonts w:hint="default" w:ascii="Times New Roman" w:hAnsi="Times New Roman" w:eastAsia="仿宋" w:cs="Times New Roman"/>
                <w:b w:val="0"/>
                <w:bCs w:val="0"/>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b w:val="0"/>
                <w:bCs w:val="0"/>
                <w:i w:val="0"/>
                <w:iCs w:val="0"/>
                <w:color w:val="000000" w:themeColor="text1"/>
                <w:kern w:val="0"/>
                <w:sz w:val="22"/>
                <w:szCs w:val="22"/>
                <w:highlight w:val="none"/>
                <w:u w:val="none"/>
                <w:lang w:val="en-US" w:eastAsia="zh-CN" w:bidi="ar"/>
                <w14:textFill>
                  <w14:solidFill>
                    <w14:schemeClr w14:val="tx1"/>
                  </w14:solidFill>
                </w14:textFill>
              </w:rPr>
              <w:t>单位</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1AD5A">
            <w:pPr>
              <w:keepNext w:val="0"/>
              <w:keepLines w:val="0"/>
              <w:widowControl/>
              <w:suppressLineNumbers w:val="0"/>
              <w:spacing w:line="240" w:lineRule="auto"/>
              <w:ind w:firstLine="0" w:firstLineChars="0"/>
              <w:jc w:val="center"/>
              <w:textAlignment w:val="center"/>
              <w:rPr>
                <w:rFonts w:hint="default" w:ascii="Times New Roman" w:hAnsi="Times New Roman" w:eastAsia="仿宋" w:cs="Times New Roman"/>
                <w:b w:val="0"/>
                <w:bCs w:val="0"/>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b w:val="0"/>
                <w:bCs w:val="0"/>
                <w:i w:val="0"/>
                <w:iCs w:val="0"/>
                <w:color w:val="000000" w:themeColor="text1"/>
                <w:kern w:val="0"/>
                <w:sz w:val="22"/>
                <w:szCs w:val="22"/>
                <w:highlight w:val="none"/>
                <w:u w:val="none"/>
                <w:lang w:val="en-US" w:eastAsia="zh-CN" w:bidi="ar"/>
                <w14:textFill>
                  <w14:solidFill>
                    <w14:schemeClr w14:val="tx1"/>
                  </w14:solidFill>
                </w14:textFill>
              </w:rPr>
              <w:t>数量</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E8421">
            <w:pPr>
              <w:keepNext w:val="0"/>
              <w:keepLines w:val="0"/>
              <w:widowControl/>
              <w:suppressLineNumbers w:val="0"/>
              <w:spacing w:line="240" w:lineRule="auto"/>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备注</w:t>
            </w:r>
          </w:p>
        </w:tc>
      </w:tr>
      <w:tr w14:paraId="3E244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0032">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12DC">
            <w:pPr>
              <w:keepNext w:val="0"/>
              <w:keepLines w:val="0"/>
              <w:widowControl/>
              <w:suppressLineNumbers w:val="0"/>
              <w:spacing w:line="240" w:lineRule="auto"/>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云台</w:t>
            </w:r>
          </w:p>
        </w:tc>
        <w:tc>
          <w:tcPr>
            <w:tcW w:w="3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5647">
            <w:pPr>
              <w:spacing w:line="240" w:lineRule="auto"/>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78DC">
            <w:pPr>
              <w:spacing w:line="240" w:lineRule="auto"/>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F38D">
            <w:pPr>
              <w:spacing w:line="240" w:lineRule="auto"/>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850E">
            <w:pPr>
              <w:keepNext w:val="0"/>
              <w:keepLines w:val="0"/>
              <w:widowControl/>
              <w:suppressLineNumbers w:val="0"/>
              <w:spacing w:line="240" w:lineRule="auto"/>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r>
      <w:tr w14:paraId="17B67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12724">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1.1</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B0DF9">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热成像双光谱重载云台</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A2910">
            <w:pPr>
              <w:keepNext w:val="0"/>
              <w:keepLines w:val="0"/>
              <w:widowControl/>
              <w:suppressLineNumbers w:val="0"/>
              <w:spacing w:line="240" w:lineRule="auto"/>
              <w:ind w:firstLine="0" w:firstLineChars="0"/>
              <w:jc w:val="left"/>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热成像像元尺寸：17 μm</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热成像焦距：100 mm</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热成像分辨率：384 × 288</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热成像视场角：6.2°</w:t>
            </w:r>
            <w:r>
              <w:rPr>
                <w:rFonts w:hint="eastAsia"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H</w:t>
            </w:r>
            <w:r>
              <w:rPr>
                <w:rFonts w:hint="eastAsia"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5°</w:t>
            </w:r>
            <w:r>
              <w:rPr>
                <w:rFonts w:hint="eastAsia"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V</w:t>
            </w:r>
            <w:r>
              <w:rPr>
                <w:rFonts w:hint="eastAsia"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人员最远报警距离（以1.8米*0.5米为准）：0.7km</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车辆最远报警距离（以4米*1.4米为准）：2.1km</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船只最远报警距离（以10米*5米为准）：3.0km</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 xml:space="preserve">火点最远报警距离（以2米*2米为准）：5.9km </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可见光焦距：6.7-360mm，光学变倍54倍</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可见光视场角：59°</w:t>
            </w:r>
            <w:r>
              <w:rPr>
                <w:rFonts w:hint="eastAsia"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H</w:t>
            </w:r>
            <w:r>
              <w:rPr>
                <w:rFonts w:hint="eastAsia"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x34.1°</w:t>
            </w:r>
            <w:r>
              <w:rPr>
                <w:rFonts w:hint="eastAsia"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V</w:t>
            </w:r>
            <w:r>
              <w:rPr>
                <w:rFonts w:hint="eastAsia"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~1.36°</w:t>
            </w:r>
            <w:r>
              <w:rPr>
                <w:rFonts w:hint="eastAsia"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H</w:t>
            </w:r>
            <w:r>
              <w:rPr>
                <w:rFonts w:hint="eastAsia"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x0.77°</w:t>
            </w:r>
            <w:r>
              <w:rPr>
                <w:rFonts w:hint="eastAsia"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V</w:t>
            </w:r>
            <w:r>
              <w:rPr>
                <w:rFonts w:hint="eastAsia"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可见光透雾：支持光学透雾和算法透雾</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可见光防抖功能：支持EIS陀螺仪防抖</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烟雾最远报警距离（以5米*5米为准）：6.0 km</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 xml:space="preserve">可见光分辨率：2688 × 1520, 400万实时高清 </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水平范围：360°连续旋转</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 xml:space="preserve">垂直范围：-45°~+45°  </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电源输入：电源盒支持宽压输入AC200V~AC240V, 50/60 Hz；设备端DC48V±20%</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功率：整机运动功耗≤130 W；整机最大峰值功耗≤240 W（开启激光补光、加热）</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工作温度和湿度：-40°C～70°C，＜90% RH</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防护等级：IP67，电磁兼容符合GB/T17626.5 四级标准</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 xml:space="preserve">重量：约50 Kg（不同焦距配置会有些许差异） </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【功能特性】</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支持热成像和可见光联动，对未授权目标智能跟随</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单主控单IP系统，便于各通道联动和整体协调控制</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可见光、热成像均支持自动聚焦</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支持系统双备份功能，确保数据断电不丢失</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支持断电状态记忆功能，上电后自动回到断电前的云台和镜头状态</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支持精密电机驱动，反应灵敏，运转平稳，精度偏差少于0.01度，在任何速度下图像无抖动</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支持3D定位功能，通过客户端/IE可实现点击放大</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支持智能雨刷，光学透雾功能</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支持热成像探测器防灼伤智能躲避</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支持欠压和过压报警</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高灵敏度探测器，支持对比度调节</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支持3D降噪功能，15种伪彩色可调节，图像细节增强功能</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支持镜像、数字变倍和本地视频输出</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支持镜头除冰，电子罗盘功能</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【应用场景】</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适用于森林防火、秸秆禁烧、乡村/城市制高点、水利防挖沙、渔政禁捕、国土资源保护、废气检测等应用场景。</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7AF66">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台</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04E7">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B4E9C">
            <w:pPr>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r>
      <w:tr w14:paraId="4074F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F8DCA">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1.2</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E921D">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存储卡</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39AA2">
            <w:pPr>
              <w:keepNext w:val="0"/>
              <w:keepLines w:val="0"/>
              <w:widowControl/>
              <w:suppressLineNumbers w:val="0"/>
              <w:spacing w:line="240" w:lineRule="auto"/>
              <w:ind w:firstLine="0" w:firstLineChars="0"/>
              <w:jc w:val="left"/>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TLC晶元，擦写次数3000次</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标称容量256GB</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Class10，UHS-I（读90MB/s，写45MB/s）;</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尺寸14.99mm*10.92mm*1.02mm;</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工作温度：-25 ℃～85 ℃</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存储温度：-40 ℃～85 ℃</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7AE07">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片</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D5D38">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821B9">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r>
      <w:tr w14:paraId="2E242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AE067">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1.3</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EB22F">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室外防水网络音柱</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88126">
            <w:pPr>
              <w:keepNext w:val="0"/>
              <w:keepLines w:val="0"/>
              <w:widowControl/>
              <w:suppressLineNumbers w:val="0"/>
              <w:spacing w:line="240" w:lineRule="auto"/>
              <w:ind w:firstLine="0" w:firstLineChars="0"/>
              <w:jc w:val="left"/>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额定功率：70W，灵敏度：93DB±3DB</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输入电压：70-100V</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频率响应：90-180khz</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喇叭单元：8"+2"号角</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75DC6">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台</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0A32D">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2</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FA5E7">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r>
      <w:tr w14:paraId="5822C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5946C">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1.4</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9DB">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设备箱</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A9739">
            <w:pPr>
              <w:keepNext w:val="0"/>
              <w:keepLines w:val="0"/>
              <w:widowControl/>
              <w:suppressLineNumbers w:val="0"/>
              <w:spacing w:line="240" w:lineRule="auto"/>
              <w:ind w:firstLine="0" w:firstLineChars="0"/>
              <w:jc w:val="left"/>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确保设备低功耗、低故障率，确保系统长时间稳定可靠运行；防雷：具备良好的防雷功能保护设备；结构与材料：内胆为不锈钢结构，外壳为不锈钢表面采用聚氨酯静电喷涂，中间为保温材料结构设计，具有良好防</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腐性能、密闭性能和散热性能；防护性能：具有防火、防雨、防风、防潮、防腐性能；工作温度：-40°C-+60°C；防护等级：IP66；总重量轻；功耗低；</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6D0A">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个</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C0D6F">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6200A">
            <w:pPr>
              <w:jc w:val="center"/>
              <w:textAlignment w:val="center"/>
              <w:rPr>
                <w:rFonts w:hint="default" w:ascii="Times New Roman" w:hAnsi="Times New Roman" w:eastAsia="仿宋" w:cs="Times New Roman"/>
                <w:b w:val="0"/>
                <w:bCs w:val="0"/>
                <w:i w:val="0"/>
                <w:iCs w:val="0"/>
                <w:color w:val="000000" w:themeColor="text1"/>
                <w:kern w:val="0"/>
                <w:sz w:val="22"/>
                <w:szCs w:val="22"/>
                <w:highlight w:val="none"/>
                <w:u w:val="none"/>
                <w14:textFill>
                  <w14:solidFill>
                    <w14:schemeClr w14:val="tx1"/>
                  </w14:solidFill>
                </w14:textFill>
              </w:rPr>
            </w:pPr>
          </w:p>
        </w:tc>
      </w:tr>
      <w:tr w14:paraId="1582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5"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B26C0">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1.5</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97D97">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网络电源防雷器</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9CFC4">
            <w:pPr>
              <w:keepNext w:val="0"/>
              <w:keepLines w:val="0"/>
              <w:widowControl/>
              <w:suppressLineNumbers w:val="0"/>
              <w:spacing w:line="240" w:lineRule="auto"/>
              <w:ind w:firstLine="0" w:firstLineChars="0"/>
              <w:jc w:val="left"/>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1、网络部分：标称工作电压：5V，标称放电电流：3kA，最大通流容量：5kA，保护水平：芯线-芯线≤25V，芯线-地≤500，响应时间：1ns，传输速率：100Mbps，插入损耗：≤0.5dB，接头形式</w:t>
            </w:r>
            <w:r>
              <w:rPr>
                <w:rFonts w:hint="eastAsia"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IN/OUT</w:t>
            </w:r>
            <w:r>
              <w:rPr>
                <w:rFonts w:hint="eastAsia"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 xml:space="preserve"> ：RJ45</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2、电源部分，标称工作电压：220V，最大持续工作电压：385V，标称放电电流：5kA，最大通流容量：10kA，保护水平：（20kA，8/20μs）900V，外形尺寸：112×60×25mm</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D7E04">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套</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464B2">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347CB">
            <w:pPr>
              <w:jc w:val="center"/>
              <w:textAlignment w:val="center"/>
              <w:rPr>
                <w:rFonts w:hint="default" w:ascii="Times New Roman" w:hAnsi="Times New Roman" w:eastAsia="仿宋" w:cs="Times New Roman"/>
                <w:b w:val="0"/>
                <w:bCs w:val="0"/>
                <w:i w:val="0"/>
                <w:iCs w:val="0"/>
                <w:color w:val="000000" w:themeColor="text1"/>
                <w:kern w:val="0"/>
                <w:sz w:val="22"/>
                <w:szCs w:val="22"/>
                <w:highlight w:val="none"/>
                <w:u w:val="none"/>
                <w14:textFill>
                  <w14:solidFill>
                    <w14:schemeClr w14:val="tx1"/>
                  </w14:solidFill>
                </w14:textFill>
              </w:rPr>
            </w:pPr>
          </w:p>
        </w:tc>
      </w:tr>
      <w:tr w14:paraId="3B073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57389">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1.6</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5D9E9">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水平轴风力发电机</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2AE3D">
            <w:pPr>
              <w:keepNext w:val="0"/>
              <w:keepLines w:val="0"/>
              <w:widowControl/>
              <w:suppressLineNumbers w:val="0"/>
              <w:spacing w:line="240" w:lineRule="auto"/>
              <w:ind w:firstLine="0" w:firstLineChars="0"/>
              <w:jc w:val="left"/>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额定功率：600W</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输出电压:24V/48V</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叶片直径：1.6米</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启动风速：2.5米/秒</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切入风速：3米/秒</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最大安全风速：25米/秒</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叶片材质：玻璃尼龙纤维复合材料</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轮毂结构：采用镶嵌式结构，防止高风环境下叶片飞脱</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机身全铝合金，SKF耐低温进口轴承，60mm钢管连接</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F82C2">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台</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CF4E0">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DBF1E">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r>
      <w:tr w14:paraId="68CFE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6B4A2">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1.7</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4D325">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单晶太阳能板</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90E92">
            <w:pPr>
              <w:keepNext w:val="0"/>
              <w:keepLines w:val="0"/>
              <w:widowControl/>
              <w:suppressLineNumbers w:val="0"/>
              <w:spacing w:line="240" w:lineRule="auto"/>
              <w:ind w:firstLine="0" w:firstLineChars="0"/>
              <w:jc w:val="left"/>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转换率：16%以上</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最大电压：36V</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最大电流：6.94A</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最大功率：250W/块</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功能特性：利用太阳能转化成电能,前端设备供电</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08AAA">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片</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0EED8">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8</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4E1AC">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r>
      <w:tr w14:paraId="32245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5"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A7E08">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1.8</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F178F">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风光互补控制器</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FF23E">
            <w:pPr>
              <w:keepNext w:val="0"/>
              <w:keepLines w:val="0"/>
              <w:widowControl/>
              <w:suppressLineNumbers w:val="0"/>
              <w:spacing w:line="240" w:lineRule="auto"/>
              <w:ind w:firstLine="0" w:firstLineChars="0"/>
              <w:jc w:val="left"/>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蓄电池额定电压：48V</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风机输入功率：300W-600W</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太阳能输入功率：3000W</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通讯方式：RS485</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产品尺寸：150×220×82mm</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工作温度：-20℃~+55℃</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功能特性：LCD液晶显示系统工作数据，限压、限流充电方式，各完善的系统保护功能</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445F0">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台</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322F">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63AF8">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r>
      <w:tr w14:paraId="5255A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F72BB">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1.9</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C9E34">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太阳能控制器</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3D0C7">
            <w:pPr>
              <w:keepNext w:val="0"/>
              <w:keepLines w:val="0"/>
              <w:widowControl/>
              <w:suppressLineNumbers w:val="0"/>
              <w:spacing w:line="240" w:lineRule="auto"/>
              <w:ind w:firstLine="0" w:firstLineChars="0"/>
              <w:jc w:val="left"/>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系统电压：12V/24V/36V/48V自动切换</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额定充电电流：60A</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MPPT太阳能控制器追踪效率：最高可达99.9%</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功能特性：自带LCD屏显示功能，可查看设备运行数据和状态，支持控制器参数更改，支持标准modebus协议，满足不同场合通讯需求</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工作温度：-35℃-+45℃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A146F">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台</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C0624">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BDCA4">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r>
      <w:tr w14:paraId="4580F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0B3E">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 xml:space="preserve">1.10 </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DC5A3">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工频逆变器</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127E7">
            <w:pPr>
              <w:keepNext w:val="0"/>
              <w:keepLines w:val="0"/>
              <w:widowControl/>
              <w:suppressLineNumbers w:val="0"/>
              <w:spacing w:line="240" w:lineRule="auto"/>
              <w:ind w:firstLine="0" w:firstLineChars="0"/>
              <w:jc w:val="left"/>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输入额定电压：48V</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输入电压范围：42-64V</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额定负载持续功率：1000VA</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尺寸：373*232*123mm</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重量：11.8KG</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工作温度：-20℃~+50℃</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防护等级：IP30</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功能特性：完全隔离型逆变技术，采用先进的SPWM技术，纯正弦波输出，频率50Hz±0.2%,自损耗≤12W，最大效率≥94%，电子反接保护</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1AC6">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台</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7B988">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51B7">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r>
      <w:tr w14:paraId="41990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226FD">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 xml:space="preserve">1.11 </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FBCC4">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胶体蓄电池</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E383D">
            <w:pPr>
              <w:keepNext w:val="0"/>
              <w:keepLines w:val="0"/>
              <w:widowControl/>
              <w:suppressLineNumbers w:val="0"/>
              <w:spacing w:line="240" w:lineRule="auto"/>
              <w:ind w:firstLine="0" w:firstLineChars="0"/>
              <w:jc w:val="left"/>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高性能免维护风光互补专用胶体电池，12V，200AH/块</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-20℃-60℃温度范围内使用，使用寿命5-7年</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7AEB9">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节</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E98D9">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16</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C0CE2">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r>
      <w:tr w14:paraId="2E340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0298C">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 xml:space="preserve">1.12 </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49FE1">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防水地埋箱</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FB70A">
            <w:pPr>
              <w:keepNext w:val="0"/>
              <w:keepLines w:val="0"/>
              <w:widowControl/>
              <w:suppressLineNumbers w:val="0"/>
              <w:spacing w:line="240" w:lineRule="auto"/>
              <w:ind w:firstLine="0" w:firstLineChars="0"/>
              <w:jc w:val="both"/>
              <w:textAlignment w:val="cente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400AH蓄电池地埋箱,防水,防腐蚀,电池恒温</w:t>
            </w:r>
          </w:p>
          <w:p w14:paraId="0591683F">
            <w:pPr>
              <w:keepNext w:val="0"/>
              <w:keepLines w:val="0"/>
              <w:widowControl/>
              <w:suppressLineNumbers w:val="0"/>
              <w:spacing w:line="240" w:lineRule="auto"/>
              <w:ind w:firstLine="0" w:firstLineChars="0"/>
              <w:jc w:val="both"/>
              <w:textAlignment w:val="center"/>
              <w:rPr>
                <w:rFonts w:hint="default" w:ascii="Times New Roman" w:hAnsi="Times New Roman" w:eastAsia="仿宋" w:cs="Times New Roman"/>
                <w:i w:val="0"/>
                <w:iCs w:val="0"/>
                <w:color w:val="000000" w:themeColor="text1"/>
                <w:kern w:val="0"/>
                <w:sz w:val="22"/>
                <w:szCs w:val="22"/>
                <w:highlight w:val="none"/>
                <w:u w:val="none"/>
                <w:lang w:bidi="ar"/>
                <w14:textFill>
                  <w14:solidFill>
                    <w14:schemeClr w14:val="tx1"/>
                  </w14:solidFill>
                </w14:textFill>
              </w:rPr>
            </w:pP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地埋深度不小于1.41m</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AAED5">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套</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91CA1">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8</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7A148">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r>
      <w:tr w14:paraId="009C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1"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7BA4E">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 xml:space="preserve">1.13 </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8F3A2">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集成配电箱</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B72DD">
            <w:pPr>
              <w:keepNext w:val="0"/>
              <w:keepLines w:val="0"/>
              <w:widowControl/>
              <w:suppressLineNumbers w:val="0"/>
              <w:spacing w:line="240" w:lineRule="auto"/>
              <w:ind w:firstLine="0" w:firstLineChars="0"/>
              <w:jc w:val="left"/>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包含防雷保护系统，过压保护系统，断路保护系统，过流保护系统</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含输出端稳压电源，系统电压输出：DC12V及DC24V</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含整套系统电缆连接线，RVV及BVR电缆</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箱体规格：550*900*200mm/1.2mm</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功能特性：冷扎板户外挂杆箱，箱体内置风扇，自带散热功能</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15122">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套</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44394">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DA21A">
            <w:pPr>
              <w:keepNext w:val="0"/>
              <w:keepLines w:val="0"/>
              <w:widowControl/>
              <w:suppressLineNumbers w:val="0"/>
              <w:spacing w:line="240" w:lineRule="auto"/>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r>
      <w:tr w14:paraId="43090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D0CC8">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 xml:space="preserve">1.14 </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8028B">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网络信号防雷器</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AF0D4">
            <w:pPr>
              <w:keepNext w:val="0"/>
              <w:keepLines w:val="0"/>
              <w:widowControl/>
              <w:suppressLineNumbers w:val="0"/>
              <w:spacing w:line="240" w:lineRule="auto"/>
              <w:ind w:firstLine="0" w:firstLineChars="0"/>
              <w:jc w:val="left"/>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内置可恢复保险丝，两级防雷保护，阻燃特性（UL94）V0级，标称工作电压：220V AC，最大持续运行电压275V，最大通流容量：10kA，保护模式：L/N-PE，响应时间：≤25ns，额定功率≥2KW;插孔数：≥6 孔；防护等级：IP20，接线线径：10-25mm</w:t>
            </w:r>
            <w:r>
              <w:rPr>
                <w:rFonts w:hint="default" w:ascii="Times New Roman" w:hAnsi="Times New Roman" w:eastAsia="仿宋" w:cs="Times New Roman"/>
                <w:i w:val="0"/>
                <w:iCs w:val="0"/>
                <w:color w:val="000000" w:themeColor="text1"/>
                <w:kern w:val="0"/>
                <w:sz w:val="22"/>
                <w:szCs w:val="22"/>
                <w:highlight w:val="none"/>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，工作环境：－40～＋60℃，≤95％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55016">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套</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DB824">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5BFF0">
            <w:pPr>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r>
      <w:tr w14:paraId="71DD4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7130F">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 xml:space="preserve">1.15 </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914D6">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无线网桥</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94EB1">
            <w:pPr>
              <w:keepNext w:val="0"/>
              <w:keepLines w:val="0"/>
              <w:widowControl/>
              <w:suppressLineNumbers w:val="0"/>
              <w:spacing w:line="240" w:lineRule="auto"/>
              <w:ind w:firstLine="0" w:firstLineChars="0"/>
              <w:jc w:val="left"/>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户外不低于5.8G无线网桥；不小于远距离10km点对点传输；</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符合IEEE802.11a/n/ac标准</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支持高于 866Mbps 的无线数据传输速率和 1000M 的有线网络接口</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实际吞吐量大于300Mbps</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满足IP67/68的防护标准</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不低于27dBi的双极化定向天线。带中继模式。</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7ADE8">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批</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39D47">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2</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6ADC4">
            <w:pPr>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r>
      <w:tr w14:paraId="4B52B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6F0E4">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 xml:space="preserve">1.16 </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6E9FD">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配套设施</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76877">
            <w:pPr>
              <w:keepNext w:val="0"/>
              <w:keepLines w:val="0"/>
              <w:widowControl/>
              <w:suppressLineNumbers w:val="0"/>
              <w:spacing w:line="240" w:lineRule="auto"/>
              <w:ind w:firstLine="0" w:firstLineChars="0"/>
              <w:jc w:val="both"/>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含安装配线、电池柜等相关辅材、施工等费用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B08B7">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批</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91F9">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31A0A">
            <w:pPr>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r>
      <w:tr w14:paraId="11958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6CC7">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2</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68667">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智能球型摄像机</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10974">
            <w:pPr>
              <w:keepNext w:val="0"/>
              <w:keepLines w:val="0"/>
              <w:widowControl/>
              <w:suppressLineNumbers w:val="0"/>
              <w:spacing w:line="240" w:lineRule="auto"/>
              <w:ind w:firstLine="0" w:firstLineChars="0"/>
              <w:jc w:val="left"/>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800万40倍合智能VR激光球</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雨刷</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光纤</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北斗定位</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智能系列激光智能VR球机，内置40倍光学变焦镜头</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镜头采用1/1.2＂大靶面CMOS传感器，500米激光补光，有效提升整体监控效果</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支持人脸抓拍、非机动车识别、车牌识别等全结构化功能，更好助力平安城市人车管理适用于城市主干道、十字路口、景区、学校、企业园区、广场等</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支持五种智能资源切换： Smart事件</w:t>
            </w:r>
            <w:r>
              <w:rPr>
                <w:rFonts w:hint="eastAsia"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默认</w:t>
            </w:r>
            <w:r>
              <w:rPr>
                <w:rFonts w:hint="eastAsia"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、全结构化，混合比对、人员布控、车辆布控</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全结构化：支持细节路混合目标检测，对检测区域内的人、非机动车、车进行同时抓拍上传，人脸人体关联输出，并实现对人脸、人体、车辆结构化属性特征信息提取</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Smart事件：越界侦测,区域入侵侦测,进入/离开区域侦测等智能侦测功能，支持基于事件触发联动球机进行跟踪</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混合比对：支持人脸、人体混合检测和人脸比对功能，对检测区域内的人脸、人体进行同时抓拍上传，支持人脸、人体结构化属性特征信息提取；前端存储15万张人脸图片进行建模后，对场景中抓拍的人脸进行比对并输出结果</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人员布控：支持前端实时建模比对，对人脸和人体进行布控跟踪，跟踪过程中目标经纬度信息实时上传，构建时空域场景</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车辆布控：支持前端实时建模比对，对授权和非授权名单车辆进行布控跟踪，跟踪过程中目标经纬度信息实时上传，构建时空域场景</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AI-ISP：采用去噪卷积神经网络将深度结构、学习算法用于图像去噪，最终使画面成像更清晰，噪点更小图像更干净</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支持40倍光学变倍，16倍数字变倍</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支持最大3840x2160@30fps高清画面输出</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支持自动合成全景图功能，结合球机360°图片抓拍的能力，自动拼接成360°全景图，无需人工手动合成，高效省时，合成图有柱状和鱼眼两种可选</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搭配VR全景应用平台，把现实中的人、车、事、物叠加到在虚拟的场景中，通过场景漫游、标记标绘、视频投影及联动应用，以虚实结合的方式和沉浸式的交互体验，为用户了解区域内的感知数据情况、辅助决策提供新方式</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采用光学透雾技术，极大提升透雾效果</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采用定焦激光补光，补光距离500m</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支持GB35114A级安全加密</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传感器类型：1/1.2" Progressive Scan CMOS</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 xml:space="preserve">最低照度：彩色：0.0005 Lux @ （F1.6，AGC ON）；黑白：0.0001 Lux @（F1.6，AGC ON）；0 Lux with IR </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焦距：7.5~300 mm，40倍光学变倍</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视场角：60.4~1.7度</w:t>
            </w:r>
            <w:r>
              <w:rPr>
                <w:rFonts w:hint="eastAsia"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广角-望远</w:t>
            </w:r>
            <w:r>
              <w:rPr>
                <w:rFonts w:hint="eastAsia"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 xml:space="preserve"> </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补光灯类型：激光</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补光灯距离：激光照射距离：最远可达500 m</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 xml:space="preserve">防补光过曝：支持 </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水平范围：360°</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垂直范围：-20°-90°</w:t>
            </w:r>
            <w:r>
              <w:rPr>
                <w:rFonts w:hint="eastAsia"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自动翻转</w:t>
            </w:r>
            <w:r>
              <w:rPr>
                <w:rFonts w:hint="eastAsia"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水平速度：水平键控速度：0.1°-210°/s,速度可设;水平预置点速度：280°/s</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 xml:space="preserve">垂直速度：垂直键控速度：0.1°-150°/s,速度可设;垂直预置点速度：250°/s </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主码流帧率分辨率：50 Hz：25 fps（3840 × 2160,  2560 × 1440，1920 × 1080，1280 × 960，1280 × 720）60 Hz：30 fps（3840 × 2160,  2560 × 1440，1920 × 1080，1280 × 960，1280 × 720）</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 xml:space="preserve">视频压缩标准：H.265，H.264，MJPEG，Smart264，Smart265 </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 xml:space="preserve">宽动态：120 dB超宽动态 </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卫星定位：内置北斗卫星定位模块和电子罗盘，支持将视场角、镜头指向、安装位置经纬度等信息上传中心管理平台</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 xml:space="preserve">电子罗盘：支持 </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光纤接口：采用FC接口，内置光纤模块（100 M网络数据、波长TX1310/RX1550 nm、单纤单模、20 km传输距离）</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网络接口：RJ45网口;自适应10M/100M网络数据</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SD卡扩展：内置Micro SD卡插槽;支持Micro SD/Micro SDHC/Micro SDXC卡;最大支持256G</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报警：7路报警输入，2路报警输出</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音频：1路音频输入，音频峰值：2-2.4V[p-p]，输入阻抗：1 kΩ±10%</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1路音频输出，线性电平，阻抗：600 Ω</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 xml:space="preserve">RS-485：采用半双工模式，支持自适应HIKVISION，PELCO-P和PELCO-D（可添加）协议 </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电源：DC：36 V，1.67 A</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雨刷：支持</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工作温湿度：-40℃-70℃；湿度小于95%</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尺寸：Ø267 × 430 mm</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 xml:space="preserve">重量：9.6 kg </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 xml:space="preserve">防护：IP67; 6000V 防雷、防浪涌、防突波，符合GB/T17626.2/3/4/5/6四级标准 </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含适配器</w:t>
            </w: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0A24">
            <w:pPr>
              <w:ind w:left="0" w:leftChars="0" w:firstLine="0" w:firstLineChars="0"/>
              <w:jc w:val="left"/>
              <w:textAlignment w:val="center"/>
              <w:rPr>
                <w:rFonts w:hint="eastAsia" w:ascii="Times New Roman" w:hAnsi="Times New Roman" w:eastAsia="仿宋" w:cs="Times New Roman"/>
                <w:i w:val="0"/>
                <w:iCs w:val="0"/>
                <w:color w:val="000000" w:themeColor="text1"/>
                <w:kern w:val="0"/>
                <w:sz w:val="22"/>
                <w:szCs w:val="22"/>
                <w:highlight w:val="none"/>
                <w:u w:val="none"/>
                <w:lang w:val="en-US" w:eastAsia="zh-CN"/>
                <w14:textFill>
                  <w14:solidFill>
                    <w14:schemeClr w14:val="tx1"/>
                  </w14:solidFill>
                </w14:textFill>
              </w:rPr>
            </w:pPr>
            <w:r>
              <w:rPr>
                <w:rFonts w:hint="eastAsia" w:cs="Times New Roman"/>
                <w:i w:val="0"/>
                <w:iCs w:val="0"/>
                <w:color w:val="000000" w:themeColor="text1"/>
                <w:kern w:val="0"/>
                <w:sz w:val="22"/>
                <w:szCs w:val="22"/>
                <w:highlight w:val="none"/>
                <w:u w:val="none"/>
                <w:lang w:val="en-US" w:eastAsia="zh-CN"/>
                <w14:textFill>
                  <w14:solidFill>
                    <w14:schemeClr w14:val="tx1"/>
                  </w14:solidFill>
                </w14:textFill>
              </w:rPr>
              <w:t>台</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E362">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8</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20E9F">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r>
      <w:tr w14:paraId="04EA4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E3CF">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3</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1617">
            <w:pPr>
              <w:keepNext w:val="0"/>
              <w:keepLines w:val="0"/>
              <w:widowControl/>
              <w:suppressLineNumbers w:val="0"/>
              <w:spacing w:line="240" w:lineRule="auto"/>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u w:val="none"/>
                <w:lang w:bidi="ar"/>
                <w14:textFill>
                  <w14:solidFill>
                    <w14:schemeClr w14:val="tx1"/>
                  </w14:solidFill>
                </w14:textFill>
              </w:rPr>
              <w:t>部署Deepseek办公</w:t>
            </w:r>
            <w:r>
              <w:rPr>
                <w:rFonts w:hint="default" w:ascii="Times New Roman" w:hAnsi="Times New Roman" w:eastAsia="仿宋" w:cs="Times New Roman"/>
                <w:color w:val="000000" w:themeColor="text1"/>
                <w:kern w:val="0"/>
                <w:sz w:val="22"/>
                <w:szCs w:val="22"/>
                <w:highlight w:val="none"/>
                <w:u w:val="none"/>
                <w:lang w:val="en-US" w:eastAsia="zh-CN" w:bidi="ar"/>
                <w14:textFill>
                  <w14:solidFill>
                    <w14:schemeClr w14:val="tx1"/>
                  </w14:solidFill>
                </w14:textFill>
              </w:rPr>
              <w:t>一体机</w:t>
            </w:r>
          </w:p>
        </w:tc>
        <w:tc>
          <w:tcPr>
            <w:tcW w:w="3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55F7">
            <w:pPr>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7179">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套</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37F8">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4EF6">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1套</w:t>
            </w:r>
          </w:p>
        </w:tc>
      </w:tr>
      <w:tr w14:paraId="55CE1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1436">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3.1</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F6B8B">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Deepseek部署</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8E6C5">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部署DeepSeek-R1-32B版本，1台高性能国产化服务器，基于全州一朵云、一个数据底座进行建设，算力全州统一部署管理，数据要本地存储共享交换使用；采用的网络链路和终端应支持并打开ipv6通信协议，确保ipv6通信正常；采用的网络关键设备和网络安全专用设备应通过安全认证和安全检测；要进行等级保护测评及密评方案规划；设备参数需符合国产化测评要求。支持Agent工作流可视化编排，包括工作流节点编排、工作流自动检查、调试运行、运行日志查看、错误处理能力，工作流支持音视图文各类型文件的对接处理</w:t>
            </w:r>
            <w:r>
              <w:rPr>
                <w:rFonts w:hint="eastAsia" w:cs="Times New Roman"/>
                <w:i w:val="0"/>
                <w:iCs w:val="0"/>
                <w:color w:val="000000" w:themeColor="text1"/>
                <w:kern w:val="0"/>
                <w:sz w:val="22"/>
                <w:szCs w:val="22"/>
                <w:highlight w:val="none"/>
                <w:u w:val="none"/>
                <w:lang w:val="en-US" w:eastAsia="zh-CN" w:bidi="ar"/>
                <w14:textFill>
                  <w14:solidFill>
                    <w14:schemeClr w14:val="tx1"/>
                  </w14:solidFill>
                </w14:textFill>
              </w:rPr>
              <w:t>。支持大语言模型对私域数据存储服务器上的数据读取和使用。配置：2颗CPU，单颗处理器≥32物理核心，主频≥2.6GHz；配置≥256内存，最高速率≥2933MHz；配置≥2×1.92T SATA SSD硬盘，2×4T SATA HDD硬盘；配置≥1×双口万兆光口网卡（满配10GBSFP光模块）；配置≥2块48GB显存FP16算力≥119 TFLOPS GPU卡；配置≥2个900W冗余热插拔电源。提供智能体市场模块，支持用户浏览、搜索和使用已发布的智能体。支持多种智能体类型的使用申请及审批。多源数据整合：支持从结构化、半结构化和非结构化数据源（如文档、数据库、网页、API等）中自动抽取知识，构建统一的知识库。支持中文语言问答，响应时间≤2秒，问答准确率≥95%，集成语义检索引擎，支持模糊查询、同义词扩展及上下文关联分析等。支持私域知识库的创建、统一管理和文件上传。支持低代码可视化设计，提供拖拽式组件库（表单、图表、控件），支持自定义组件开发。页面配置工具支持在线配置多类型报表（PDF/Excel）及图表（柱状图、热力图、仪表盘）。支持基于自然语言描述AI生成代码、表单、页面等。</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DFC6">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项</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B86A">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12AD">
            <w:pPr>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r>
      <w:tr w14:paraId="39A0C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879C">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4</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A746">
            <w:pPr>
              <w:keepNext w:val="0"/>
              <w:keepLines w:val="0"/>
              <w:widowControl/>
              <w:suppressLineNumbers w:val="0"/>
              <w:spacing w:line="240" w:lineRule="auto"/>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信息化建设咨询费</w:t>
            </w:r>
          </w:p>
        </w:tc>
        <w:tc>
          <w:tcPr>
            <w:tcW w:w="3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7237">
            <w:pPr>
              <w:spacing w:line="240" w:lineRule="auto"/>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《林业和草原工程建设项目服务计费指导意见》（林建协〔2024〕54号）</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69CD">
            <w:pPr>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439E">
            <w:pPr>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B5260">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r>
      <w:tr w14:paraId="530C1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DDFC">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4.1</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EB04">
            <w:pPr>
              <w:keepNext w:val="0"/>
              <w:keepLines w:val="0"/>
              <w:widowControl/>
              <w:suppressLineNumbers w:val="0"/>
              <w:spacing w:line="240" w:lineRule="auto"/>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信息化建设咨询</w:t>
            </w:r>
          </w:p>
        </w:tc>
        <w:tc>
          <w:tcPr>
            <w:tcW w:w="3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C8E0">
            <w:pPr>
              <w:keepNext w:val="0"/>
              <w:keepLines w:val="0"/>
              <w:widowControl/>
              <w:suppressLineNumbers w:val="0"/>
              <w:spacing w:line="240" w:lineRule="auto"/>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高级工程师1人，2天</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322A">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eastAsia="仿宋" w:cs="Times New Roman"/>
                <w:i w:val="0"/>
                <w:iCs w:val="0"/>
                <w:color w:val="000000" w:themeColor="text1"/>
                <w:kern w:val="0"/>
                <w:sz w:val="22"/>
                <w:szCs w:val="22"/>
                <w:highlight w:val="none"/>
                <w:u w:val="none"/>
                <w:lang w:val="en-US" w:eastAsia="zh-CN" w:bidi="ar"/>
                <w14:textFill>
                  <w14:solidFill>
                    <w14:schemeClr w14:val="tx1"/>
                  </w14:solidFill>
                </w14:textFill>
              </w:rPr>
              <w:t>天</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0365">
            <w:pPr>
              <w:keepNext w:val="0"/>
              <w:keepLines w:val="0"/>
              <w:widowControl/>
              <w:suppressLineNumbers w:val="0"/>
              <w:ind w:firstLine="0" w:firstLineChars="0"/>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t>2</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6B514">
            <w:pPr>
              <w:jc w:val="center"/>
              <w:textAlignment w:val="center"/>
              <w:rPr>
                <w:rFonts w:hint="default" w:ascii="Times New Roman" w:hAnsi="Times New Roman" w:eastAsia="仿宋" w:cs="Times New Roman"/>
                <w:i w:val="0"/>
                <w:iCs w:val="0"/>
                <w:color w:val="000000" w:themeColor="text1"/>
                <w:kern w:val="0"/>
                <w:sz w:val="22"/>
                <w:szCs w:val="22"/>
                <w:highlight w:val="none"/>
                <w:u w:val="none"/>
                <w14:textFill>
                  <w14:solidFill>
                    <w14:schemeClr w14:val="tx1"/>
                  </w14:solidFill>
                </w14:textFill>
              </w:rPr>
            </w:pPr>
          </w:p>
        </w:tc>
      </w:tr>
    </w:tbl>
    <w:p w14:paraId="1A0A6C98">
      <w:pPr>
        <w:ind w:firstLine="0" w:firstLineChars="0"/>
        <w:rPr>
          <w:rFonts w:ascii="Times New Roman" w:hAnsi="Times New Roman" w:cs="Times New Roman"/>
          <w:color w:val="000000" w:themeColor="text1"/>
          <w14:textFill>
            <w14:solidFill>
              <w14:schemeClr w14:val="tx1"/>
            </w14:solidFill>
          </w14:textFill>
        </w:rPr>
      </w:pPr>
    </w:p>
    <w:p w14:paraId="4EDD231E">
      <w:pPr>
        <w:keepNext w:val="0"/>
        <w:keepLines w:val="0"/>
        <w:pageBreakBefore w:val="0"/>
        <w:widowControl/>
        <w:kinsoku w:val="0"/>
        <w:wordWrap/>
        <w:overflowPunct/>
        <w:topLinePunct w:val="0"/>
        <w:autoSpaceDE w:val="0"/>
        <w:autoSpaceDN w:val="0"/>
        <w:bidi w:val="0"/>
        <w:adjustRightInd w:val="0"/>
        <w:snapToGrid w:val="0"/>
        <w:spacing w:line="560" w:lineRule="exact"/>
        <w:ind w:firstLine="601" w:firstLineChars="200"/>
        <w:jc w:val="both"/>
        <w:textAlignment w:val="baseline"/>
        <w:rPr>
          <w:rFonts w:hint="eastAsia" w:ascii="方正仿宋_GB18030" w:hAnsi="方正仿宋_GB18030" w:eastAsia="方正仿宋_GB18030" w:cs="方正仿宋_GB18030"/>
          <w:b/>
          <w:bCs/>
          <w:snapToGrid w:val="0"/>
          <w:color w:val="000000"/>
          <w:kern w:val="0"/>
          <w:sz w:val="30"/>
          <w:szCs w:val="30"/>
        </w:rPr>
      </w:pPr>
      <w:r>
        <w:rPr>
          <w:rFonts w:hint="eastAsia" w:ascii="方正仿宋_GB18030" w:hAnsi="方正仿宋_GB18030" w:eastAsia="方正仿宋_GB18030" w:cs="方正仿宋_GB18030"/>
          <w:b/>
          <w:bCs/>
          <w:snapToGrid w:val="0"/>
          <w:color w:val="000000"/>
          <w:kern w:val="0"/>
          <w:sz w:val="30"/>
          <w:szCs w:val="30"/>
          <w:lang w:val="en-US" w:eastAsia="zh-CN"/>
        </w:rPr>
        <w:t>三、</w:t>
      </w:r>
      <w:r>
        <w:rPr>
          <w:rFonts w:hint="eastAsia" w:ascii="方正仿宋_GB18030" w:hAnsi="方正仿宋_GB18030" w:eastAsia="方正仿宋_GB18030" w:cs="方正仿宋_GB18030"/>
          <w:b/>
          <w:bCs/>
          <w:snapToGrid w:val="0"/>
          <w:color w:val="000000"/>
          <w:kern w:val="0"/>
          <w:sz w:val="30"/>
          <w:szCs w:val="30"/>
        </w:rPr>
        <w:t>质量要求：</w:t>
      </w:r>
    </w:p>
    <w:p w14:paraId="5E865A94">
      <w:pPr>
        <w:keepNext w:val="0"/>
        <w:keepLines w:val="0"/>
        <w:pageBreakBefore w:val="0"/>
        <w:wordWrap/>
        <w:overflowPunct/>
        <w:topLinePunct w:val="0"/>
        <w:bidi w:val="0"/>
        <w:spacing w:line="560" w:lineRule="exact"/>
        <w:ind w:firstLine="600"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质量 ：以现行的或承担具体施工任务期间国家和行业新颁布施行的规范、规程为准。按国家有个强制性标准和地方强制性标准执行。</w:t>
      </w:r>
    </w:p>
    <w:p w14:paraId="242A981A">
      <w:pPr>
        <w:keepNext w:val="0"/>
        <w:keepLines w:val="0"/>
        <w:pageBreakBefore w:val="0"/>
        <w:wordWrap/>
        <w:overflowPunct/>
        <w:topLinePunct w:val="0"/>
        <w:bidi w:val="0"/>
        <w:spacing w:line="560" w:lineRule="exact"/>
        <w:ind w:firstLine="600"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材料、设备、施工须达到现行中华人民共和国以及省、自治区、直辖市或行业的工程建设标准、规范的要求及验收标准及有关规范为质量评定验收标准。</w:t>
      </w:r>
    </w:p>
    <w:p w14:paraId="6AA79006">
      <w:pPr>
        <w:keepNext w:val="0"/>
        <w:keepLines w:val="0"/>
        <w:pageBreakBefore w:val="0"/>
        <w:wordWrap/>
        <w:overflowPunct/>
        <w:topLinePunct w:val="0"/>
        <w:bidi w:val="0"/>
        <w:spacing w:line="560" w:lineRule="exact"/>
        <w:ind w:firstLine="600"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本项目所需的云资源、网络、数据、安全、共性支撑平台及系统的运营运维，按照自治州相关要求依托博州一朵云统一建设。</w:t>
      </w:r>
    </w:p>
    <w:p w14:paraId="0D42F693">
      <w:pPr>
        <w:keepNext w:val="0"/>
        <w:keepLines w:val="0"/>
        <w:pageBreakBefore w:val="0"/>
        <w:wordWrap/>
        <w:overflowPunct/>
        <w:topLinePunct w:val="0"/>
        <w:bidi w:val="0"/>
        <w:spacing w:line="560" w:lineRule="exact"/>
        <w:ind w:firstLine="601" w:firstLineChars="200"/>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kern w:val="0"/>
          <w:sz w:val="30"/>
          <w:szCs w:val="30"/>
          <w:lang w:val="en-US" w:eastAsia="zh-CN"/>
        </w:rPr>
        <w:t>四、</w:t>
      </w:r>
      <w:r>
        <w:rPr>
          <w:rFonts w:hint="eastAsia" w:ascii="方正仿宋_GB18030" w:hAnsi="方正仿宋_GB18030" w:eastAsia="方正仿宋_GB18030" w:cs="方正仿宋_GB18030"/>
          <w:b/>
          <w:bCs/>
          <w:sz w:val="30"/>
          <w:szCs w:val="30"/>
        </w:rPr>
        <w:t>投标人的资格要求：</w:t>
      </w:r>
    </w:p>
    <w:p w14:paraId="55892573">
      <w:pPr>
        <w:keepNext w:val="0"/>
        <w:keepLines w:val="0"/>
        <w:pageBreakBefore w:val="0"/>
        <w:wordWrap/>
        <w:overflowPunct/>
        <w:topLinePunct w:val="0"/>
        <w:bidi w:val="0"/>
        <w:spacing w:line="560" w:lineRule="exact"/>
        <w:ind w:firstLine="600"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投标人必须提交能够证明其具有履行本采购项目合同能力的资质证明文件，作为投标文件的一部分，所有非中文资质证明文件必须提供译文证明文件。本项目不接收联合体投标。</w:t>
      </w:r>
    </w:p>
    <w:p w14:paraId="1CAD2BEC">
      <w:pPr>
        <w:keepNext w:val="0"/>
        <w:keepLines w:val="0"/>
        <w:pageBreakBefore w:val="0"/>
        <w:wordWrap/>
        <w:overflowPunct/>
        <w:topLinePunct w:val="0"/>
        <w:bidi w:val="0"/>
        <w:spacing w:line="560" w:lineRule="exact"/>
        <w:ind w:firstLine="600" w:firstLineChars="20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（1）法人代表授权委托书扫描件；</w:t>
      </w:r>
    </w:p>
    <w:p w14:paraId="0F8AEE05">
      <w:pPr>
        <w:keepNext w:val="0"/>
        <w:keepLines w:val="0"/>
        <w:pageBreakBefore w:val="0"/>
        <w:wordWrap/>
        <w:overflowPunct/>
        <w:topLinePunct w:val="0"/>
        <w:bidi w:val="0"/>
        <w:spacing w:line="560" w:lineRule="exact"/>
        <w:ind w:firstLine="600"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（2）被授权人《居民身份证》扫描件；</w:t>
      </w:r>
    </w:p>
    <w:p w14:paraId="58E35836">
      <w:pPr>
        <w:keepNext w:val="0"/>
        <w:keepLines w:val="0"/>
        <w:pageBreakBefore w:val="0"/>
        <w:wordWrap/>
        <w:overflowPunct/>
        <w:topLinePunct w:val="0"/>
        <w:bidi w:val="0"/>
        <w:spacing w:line="560" w:lineRule="exact"/>
        <w:ind w:firstLine="600"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（3）具有独立承担民事责任的能力【投标人提供有效期内营业执照副本原件（扫描件）】；</w:t>
      </w:r>
    </w:p>
    <w:p w14:paraId="5DDF88BE">
      <w:pPr>
        <w:keepNext w:val="0"/>
        <w:keepLines w:val="0"/>
        <w:pageBreakBefore w:val="0"/>
        <w:wordWrap/>
        <w:overflowPunct/>
        <w:topLinePunct w:val="0"/>
        <w:bidi w:val="0"/>
        <w:spacing w:line="560" w:lineRule="exact"/>
        <w:ind w:firstLine="600"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（4）具有良好的商业信誉和健全的财务会计制度【投标人提供近三个月财务报表原件（扫描件）】；</w:t>
      </w:r>
    </w:p>
    <w:p w14:paraId="42F592D5">
      <w:pPr>
        <w:keepNext w:val="0"/>
        <w:keepLines w:val="0"/>
        <w:pageBreakBefore w:val="0"/>
        <w:wordWrap/>
        <w:overflowPunct/>
        <w:topLinePunct w:val="0"/>
        <w:bidi w:val="0"/>
        <w:spacing w:line="560" w:lineRule="exact"/>
        <w:ind w:firstLine="600"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（5）具备履行合同所必需的设备和专业技术能力【投标人提供《履约声明函》扫描件（格式附后）】;</w:t>
      </w:r>
    </w:p>
    <w:p w14:paraId="299A5934">
      <w:pPr>
        <w:keepNext w:val="0"/>
        <w:keepLines w:val="0"/>
        <w:pageBreakBefore w:val="0"/>
        <w:wordWrap/>
        <w:overflowPunct/>
        <w:topLinePunct w:val="0"/>
        <w:bidi w:val="0"/>
        <w:spacing w:line="560" w:lineRule="exact"/>
        <w:ind w:firstLine="600"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（6）有依法缴纳税收和社会保障资金的良好纪录【投标人提供缴纳税金和社保的凭证原件（扫描件）】；</w:t>
      </w:r>
    </w:p>
    <w:p w14:paraId="32AAA939">
      <w:pPr>
        <w:keepNext w:val="0"/>
        <w:keepLines w:val="0"/>
        <w:pageBreakBefore w:val="0"/>
        <w:wordWrap/>
        <w:overflowPunct/>
        <w:topLinePunct w:val="0"/>
        <w:bidi w:val="0"/>
        <w:spacing w:line="560" w:lineRule="exact"/>
        <w:ind w:left="0" w:leftChars="0" w:firstLine="600" w:firstLineChars="20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（7）参加采购活动前三年内，在经营活动中没有重大违法记录【投标人提供《无重大违法记录声明函》原件（格式附后）和“信用中国”网站（ http://www.creditchina.gov.cn/ ）无违法违规行为的查询纪录（扫描件）】；</w:t>
      </w:r>
    </w:p>
    <w:p w14:paraId="05FA665C">
      <w:pPr>
        <w:keepNext w:val="0"/>
        <w:keepLines w:val="0"/>
        <w:pageBreakBefore w:val="0"/>
        <w:wordWrap/>
        <w:overflowPunct/>
        <w:topLinePunct w:val="0"/>
        <w:bidi w:val="0"/>
        <w:spacing w:line="560" w:lineRule="exact"/>
        <w:ind w:left="0" w:leftChars="0" w:firstLine="600"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（8）本项目专门面向中小微企业（含事业单位），需要提供《中小企业声明函》</w:t>
      </w:r>
    </w:p>
    <w:p w14:paraId="77B9B213">
      <w:pPr>
        <w:keepNext w:val="0"/>
        <w:keepLines w:val="0"/>
        <w:pageBreakBefore w:val="0"/>
        <w:wordWrap/>
        <w:overflowPunct/>
        <w:topLinePunct w:val="0"/>
        <w:bidi w:val="0"/>
        <w:spacing w:line="560" w:lineRule="exact"/>
        <w:ind w:firstLine="600"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说明：其中（1）-（8）为投标资格审查时的必备条件，如果提供不全则视为对招标文件资格审查内容的不响应，投标将被拒绝（不接受二次提供）。</w:t>
      </w:r>
    </w:p>
    <w:p w14:paraId="4D400477">
      <w:pPr>
        <w:keepNext w:val="0"/>
        <w:keepLines w:val="0"/>
        <w:pageBreakBefore w:val="0"/>
        <w:wordWrap/>
        <w:overflowPunct/>
        <w:topLinePunct w:val="0"/>
        <w:bidi w:val="0"/>
        <w:spacing w:line="560" w:lineRule="exact"/>
        <w:ind w:left="0" w:leftChars="0" w:firstLine="601" w:firstLineChars="200"/>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sz w:val="30"/>
          <w:szCs w:val="30"/>
        </w:rPr>
        <w:t>五</w:t>
      </w:r>
      <w:r>
        <w:rPr>
          <w:rFonts w:hint="eastAsia" w:ascii="方正仿宋_GB18030" w:hAnsi="方正仿宋_GB18030" w:eastAsia="方正仿宋_GB18030" w:cs="方正仿宋_GB18030"/>
          <w:b/>
          <w:bCs/>
          <w:color w:val="000000"/>
          <w:kern w:val="0"/>
          <w:sz w:val="30"/>
          <w:szCs w:val="30"/>
          <w:lang w:bidi="ar"/>
        </w:rPr>
        <w:t>、</w:t>
      </w:r>
      <w:r>
        <w:rPr>
          <w:rFonts w:hint="eastAsia" w:ascii="方正仿宋_GB18030" w:hAnsi="方正仿宋_GB18030" w:eastAsia="方正仿宋_GB18030" w:cs="方正仿宋_GB18030"/>
          <w:b/>
          <w:bCs/>
          <w:sz w:val="30"/>
          <w:szCs w:val="30"/>
        </w:rPr>
        <w:t>服务标准</w:t>
      </w:r>
    </w:p>
    <w:p w14:paraId="4718AE3D">
      <w:pPr>
        <w:keepNext w:val="0"/>
        <w:keepLines w:val="0"/>
        <w:pageBreakBefore w:val="0"/>
        <w:wordWrap/>
        <w:overflowPunct/>
        <w:topLinePunct w:val="0"/>
        <w:bidi w:val="0"/>
        <w:spacing w:line="560" w:lineRule="exact"/>
        <w:ind w:firstLine="600"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1、一次性通过系统验收并达到“合格”标准；</w:t>
      </w:r>
    </w:p>
    <w:p w14:paraId="1FFF6A69">
      <w:pPr>
        <w:keepNext w:val="0"/>
        <w:keepLines w:val="0"/>
        <w:pageBreakBefore w:val="0"/>
        <w:wordWrap/>
        <w:overflowPunct/>
        <w:topLinePunct w:val="0"/>
        <w:bidi w:val="0"/>
        <w:spacing w:line="560" w:lineRule="exact"/>
        <w:ind w:firstLine="600"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 xml:space="preserve">2、货物交付前，乙方应对货物的质量、数量等方面进行详细、全面的检验，并向甲方出具证明货物符合合同约定的文件； </w:t>
      </w:r>
    </w:p>
    <w:p w14:paraId="780DC820">
      <w:pPr>
        <w:keepNext w:val="0"/>
        <w:keepLines w:val="0"/>
        <w:pageBreakBefore w:val="0"/>
        <w:wordWrap/>
        <w:overflowPunct/>
        <w:topLinePunct w:val="0"/>
        <w:bidi w:val="0"/>
        <w:spacing w:line="560" w:lineRule="exact"/>
        <w:ind w:firstLine="600"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3、合同期满或者履行完毕后，甲方按照合同约定的技术、服务、安全标准，组织对每一项技术、服务、安全标准的履约情况的验收，并出具验收书。</w:t>
      </w:r>
    </w:p>
    <w:p w14:paraId="19447E20">
      <w:pPr>
        <w:keepNext w:val="0"/>
        <w:keepLines w:val="0"/>
        <w:pageBreakBefore w:val="0"/>
        <w:wordWrap/>
        <w:overflowPunct/>
        <w:topLinePunct w:val="0"/>
        <w:bidi w:val="0"/>
        <w:spacing w:line="560" w:lineRule="exact"/>
        <w:ind w:firstLine="600"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4、检验和验收标准、程序等具体内容以及前述验收书的效力按照国家标准及行业要求进行验收，并出具验收书面资料。</w:t>
      </w:r>
    </w:p>
    <w:p w14:paraId="19F810F9"/>
    <w:p w14:paraId="6D6FF407">
      <w:pPr>
        <w:keepNext w:val="0"/>
        <w:keepLines w:val="0"/>
        <w:pageBreakBefore w:val="0"/>
        <w:wordWrap/>
        <w:overflowPunct/>
        <w:topLinePunct w:val="0"/>
        <w:bidi w:val="0"/>
        <w:spacing w:line="560" w:lineRule="exact"/>
        <w:ind w:firstLine="600" w:firstLineChars="200"/>
        <w:rPr>
          <w:rFonts w:hint="eastAsia" w:ascii="方正仿宋_GB18030" w:hAnsi="方正仿宋_GB18030" w:eastAsia="方正仿宋_GB18030" w:cs="方正仿宋_GB18030"/>
          <w:sz w:val="30"/>
          <w:szCs w:val="30"/>
        </w:rPr>
      </w:pPr>
    </w:p>
    <w:p w14:paraId="6FF320B6">
      <w:pPr>
        <w:keepNext w:val="0"/>
        <w:keepLines w:val="0"/>
        <w:pageBreakBefore w:val="0"/>
        <w:wordWrap/>
        <w:overflowPunct/>
        <w:topLinePunct w:val="0"/>
        <w:bidi w:val="0"/>
        <w:spacing w:line="560" w:lineRule="exact"/>
        <w:rPr>
          <w:rFonts w:hint="eastAsia" w:ascii="方正仿宋_GB18030" w:hAnsi="方正仿宋_GB18030" w:eastAsia="方正仿宋_GB18030" w:cs="方正仿宋_GB18030"/>
          <w:sz w:val="30"/>
          <w:szCs w:val="30"/>
        </w:rPr>
      </w:pPr>
    </w:p>
    <w:sectPr>
      <w:pgSz w:w="11906" w:h="16838"/>
      <w:pgMar w:top="1800" w:right="1440" w:bottom="1800" w:left="144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F0A4D5F-C4AB-48D1-9181-C8B552DC9FC3}"/>
  </w:font>
  <w:font w:name="仿宋">
    <w:panose1 w:val="02010609060101010101"/>
    <w:charset w:val="86"/>
    <w:family w:val="modern"/>
    <w:pitch w:val="default"/>
    <w:sig w:usb0="8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embedRegular r:id="rId2" w:fontKey="{4B3B573E-EA29-47AF-8B90-677FDDBCBF6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0C727F"/>
    <w:multiLevelType w:val="multilevel"/>
    <w:tmpl w:val="E00C727F"/>
    <w:lvl w:ilvl="0" w:tentative="0">
      <w:start w:val="1"/>
      <w:numFmt w:val="chineseCounting"/>
      <w:pStyle w:val="2"/>
      <w:suff w:val="nothing"/>
      <w:lvlText w:val="第%1章 "/>
      <w:lvlJc w:val="left"/>
      <w:pPr>
        <w:ind w:left="0" w:firstLine="0"/>
      </w:pPr>
      <w:rPr>
        <w:rFonts w:hint="eastAsia"/>
      </w:rPr>
    </w:lvl>
    <w:lvl w:ilvl="1" w:tentative="0">
      <w:start w:val="1"/>
      <w:numFmt w:val="decimal"/>
      <w:pStyle w:val="3"/>
      <w:isLgl/>
      <w:suff w:val="nothing"/>
      <w:lvlText w:val="%1.%2"/>
      <w:legacy w:legacy="1" w:legacySpace="0" w:legacyIndent="420"/>
      <w:lvlJc w:val="left"/>
      <w:pPr>
        <w:ind w:left="720" w:hanging="420"/>
      </w:pPr>
      <w:rPr>
        <w:rFonts w:hint="eastAsia"/>
      </w:rPr>
    </w:lvl>
    <w:lvl w:ilvl="2" w:tentative="0">
      <w:start w:val="1"/>
      <w:numFmt w:val="decimal"/>
      <w:isLgl/>
      <w:suff w:val="nothing"/>
      <w:lvlText w:val="%1.%2.%3"/>
      <w:legacy w:legacy="1" w:legacySpace="0" w:legacyIndent="720"/>
      <w:lvlJc w:val="left"/>
      <w:pPr>
        <w:ind w:left="720" w:hanging="720"/>
      </w:pPr>
      <w:rPr>
        <w:rFonts w:hint="eastAsia"/>
        <w:color w:val="auto"/>
      </w:rPr>
    </w:lvl>
    <w:lvl w:ilvl="3" w:tentative="0">
      <w:start w:val="1"/>
      <w:numFmt w:val="decimal"/>
      <w:isLgl/>
      <w:suff w:val="nothing"/>
      <w:lvlText w:val="%1.%2.%3.%4"/>
      <w:legacy w:legacy="1" w:legacySpace="0" w:legacyIndent="864"/>
      <w:lvlJc w:val="left"/>
      <w:pPr>
        <w:ind w:left="864" w:hanging="864"/>
      </w:pPr>
      <w:rPr>
        <w:rFonts w:hint="eastAsia"/>
      </w:rPr>
    </w:lvl>
    <w:lvl w:ilvl="4" w:tentative="0">
      <w:start w:val="1"/>
      <w:numFmt w:val="decimal"/>
      <w:isLgl/>
      <w:suff w:val="nothing"/>
      <w:lvlText w:val="%1.%2.%3.%4.%5."/>
      <w:legacy w:legacy="1" w:legacySpace="0" w:legacyIndent="1008"/>
      <w:lvlJc w:val="left"/>
      <w:pPr>
        <w:ind w:left="1008" w:hanging="1008"/>
      </w:pPr>
      <w:rPr>
        <w:rFonts w:hint="eastAsia"/>
      </w:rPr>
    </w:lvl>
    <w:lvl w:ilvl="5" w:tentative="0">
      <w:start w:val="1"/>
      <w:numFmt w:val="decimal"/>
      <w:isLgl/>
      <w:suff w:val="nothing"/>
      <w:lvlText w:val="%1.%2.%3.%4.%5.%6."/>
      <w:legacy w:legacy="1" w:legacySpace="0" w:legacyIndent="420"/>
      <w:lvlJc w:val="left"/>
      <w:pPr>
        <w:ind w:left="420" w:hanging="420"/>
      </w:pPr>
      <w:rPr>
        <w:rFonts w:hint="eastAsia"/>
      </w:rPr>
    </w:lvl>
    <w:lvl w:ilvl="6" w:tentative="0">
      <w:start w:val="1"/>
      <w:numFmt w:val="decimal"/>
      <w:isLgl/>
      <w:lvlText w:val="%1.%2.%3.%4.%5.%6.%7."/>
      <w:legacy w:legacy="1" w:legacySpace="0" w:legacyIndent="1296"/>
      <w:lvlJc w:val="left"/>
      <w:pPr>
        <w:ind w:left="1296" w:hanging="1296"/>
      </w:pPr>
      <w:rPr>
        <w:rFonts w:hint="eastAsia"/>
      </w:rPr>
    </w:lvl>
    <w:lvl w:ilvl="7" w:tentative="0">
      <w:start w:val="1"/>
      <w:numFmt w:val="decimal"/>
      <w:isLgl/>
      <w:lvlText w:val="%1.%2.%3.%4.%5.%6.%7.%8."/>
      <w:legacy w:legacy="1" w:legacySpace="0" w:legacyIndent="1440"/>
      <w:lvlJc w:val="left"/>
      <w:pPr>
        <w:ind w:left="1440" w:hanging="1440"/>
      </w:pPr>
      <w:rPr>
        <w:rFonts w:hint="eastAsia"/>
      </w:rPr>
    </w:lvl>
    <w:lvl w:ilvl="8" w:tentative="0">
      <w:start w:val="1"/>
      <w:numFmt w:val="decimal"/>
      <w:isLgl/>
      <w:lvlText w:val="%1.%2.%3.%4.%5.%6.%7.%8.%9."/>
      <w:legacy w:legacy="1" w:legacySpace="0" w:legacyIndent="1583"/>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41170"/>
    <w:rsid w:val="06A40B9E"/>
    <w:rsid w:val="15CC05A5"/>
    <w:rsid w:val="1CA5159B"/>
    <w:rsid w:val="3C024514"/>
    <w:rsid w:val="3E041170"/>
    <w:rsid w:val="4E3D1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jc w:val="both"/>
    </w:pPr>
    <w:rPr>
      <w:rFonts w:ascii="Times New Roman" w:hAnsi="Times New Roman" w:eastAsia="仿宋" w:cs="Times New Roman"/>
      <w:kern w:val="2"/>
      <w:sz w:val="30"/>
      <w:szCs w:val="24"/>
      <w:lang w:val="en-US" w:eastAsia="zh-CN" w:bidi="ar-SA"/>
    </w:rPr>
  </w:style>
  <w:style w:type="paragraph" w:styleId="2">
    <w:name w:val="heading 1"/>
    <w:basedOn w:val="1"/>
    <w:next w:val="1"/>
    <w:qFormat/>
    <w:uiPriority w:val="0"/>
    <w:pPr>
      <w:keepNext/>
      <w:keepLines/>
      <w:widowControl w:val="0"/>
      <w:numPr>
        <w:ilvl w:val="0"/>
        <w:numId w:val="1"/>
      </w:numPr>
      <w:spacing w:after="240"/>
      <w:ind w:left="0" w:firstLine="0" w:firstLineChars="0"/>
      <w:jc w:val="center"/>
      <w:outlineLvl w:val="0"/>
    </w:pPr>
    <w:rPr>
      <w:rFonts w:eastAsia="黑体"/>
      <w:bCs/>
      <w:kern w:val="44"/>
      <w:sz w:val="32"/>
      <w:szCs w:val="44"/>
    </w:rPr>
  </w:style>
  <w:style w:type="paragraph" w:styleId="3">
    <w:name w:val="heading 2"/>
    <w:basedOn w:val="2"/>
    <w:next w:val="1"/>
    <w:qFormat/>
    <w:uiPriority w:val="0"/>
    <w:pPr>
      <w:keepNext/>
      <w:keepLines/>
      <w:widowControl w:val="0"/>
      <w:numPr>
        <w:ilvl w:val="1"/>
        <w:numId w:val="1"/>
      </w:numPr>
      <w:tabs>
        <w:tab w:val="left" w:pos="420"/>
      </w:tabs>
      <w:spacing w:before="50" w:beforeLines="50" w:after="50" w:afterLines="50"/>
      <w:outlineLvl w:val="1"/>
    </w:pPr>
    <w:rPr>
      <w:rFonts w:eastAsia="宋体"/>
      <w:b/>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_Style 1"/>
    <w:basedOn w:val="1"/>
    <w:qFormat/>
    <w:uiPriority w:val="0"/>
    <w:pPr>
      <w:ind w:firstLine="200" w:firstLineChars="200"/>
    </w:pPr>
  </w:style>
  <w:style w:type="paragraph" w:styleId="7">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5157</Words>
  <Characters>6416</Characters>
  <Lines>0</Lines>
  <Paragraphs>0</Paragraphs>
  <TotalTime>5</TotalTime>
  <ScaleCrop>false</ScaleCrop>
  <LinksUpToDate>false</LinksUpToDate>
  <CharactersWithSpaces>6540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2025-06-11T12:45:00Z</dcterms:created>
  <dc:creator>WPS_1477416729</dc:creator>
  <cp:lastModifiedBy>大师兄</cp:lastModifiedBy>
  <dcterms:modified xsi:type="dcterms:W3CDTF">2025-06-24T08:27:38Z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FCEE5CD8D1204C37BFA18F4F89424D29_13</vt:lpwstr>
  </property>
  <property fmtid="{D5CDD505-2E9C-101B-9397-08002B2CF9AE}" pid="4" name="KSOTemplateDocerSaveRecord">
    <vt:lpwstr>eyJoZGlkIjoiNzI5OTY3N2Q5Yzc1ZDI3MWZkZDAzZGM5MDI5NGQ4YjAiLCJ1c2VySWQiOiI1MjQ1MTQ4OTIifQ==</vt:lpwstr>
  </property>
</Properties>
</file>