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0B0B4">
      <w:pPr>
        <w:keepNext w:val="0"/>
        <w:keepLines w:val="0"/>
        <w:widowControl/>
        <w:numPr>
          <w:ilvl w:val="0"/>
          <w:numId w:val="0"/>
        </w:numPr>
        <w:suppressLineNumbers w:val="0"/>
        <w:jc w:val="center"/>
        <w:rPr>
          <w:rFonts w:hint="default"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昌吉州检验检测中心呼图壁棉花公检实验室生活区窗户更换 采购需求</w:t>
      </w:r>
    </w:p>
    <w:p w14:paraId="70082201">
      <w:pPr>
        <w:keepNext w:val="0"/>
        <w:keepLines w:val="0"/>
        <w:widowControl/>
        <w:numPr>
          <w:ilvl w:val="0"/>
          <w:numId w:val="0"/>
        </w:numPr>
        <w:suppressLineNumbers w:val="0"/>
        <w:jc w:val="center"/>
        <w:rPr>
          <w:rFonts w:hint="eastAsia" w:ascii="宋体" w:hAnsi="宋体" w:eastAsia="宋体" w:cs="宋体"/>
          <w:b/>
          <w:bCs/>
          <w:color w:val="auto"/>
          <w:kern w:val="0"/>
          <w:sz w:val="36"/>
          <w:szCs w:val="36"/>
          <w:lang w:val="en-US" w:eastAsia="zh-CN" w:bidi="ar"/>
        </w:rPr>
      </w:pPr>
    </w:p>
    <w:p w14:paraId="09EDB25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1、</w:t>
      </w:r>
      <w:r>
        <w:rPr>
          <w:rFonts w:hint="eastAsia" w:ascii="仿宋_GB2312" w:hAnsi="仿宋_GB2312" w:eastAsia="仿宋_GB2312" w:cs="仿宋_GB2312"/>
          <w:b w:val="0"/>
          <w:bCs w:val="0"/>
          <w:color w:val="auto"/>
          <w:kern w:val="0"/>
          <w:sz w:val="28"/>
          <w:szCs w:val="28"/>
          <w:lang w:val="en-US" w:eastAsia="zh-CN" w:bidi="ar"/>
        </w:rPr>
        <w:t>项目名称：昌吉州检验检测中心呼图壁棉花公检实验室生活区窗户更换</w:t>
      </w:r>
    </w:p>
    <w:p w14:paraId="554CC08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snapToGrid w:val="0"/>
          <w:color w:val="auto"/>
          <w:kern w:val="0"/>
          <w:sz w:val="28"/>
          <w:szCs w:val="28"/>
          <w:highlight w:val="none"/>
          <w:lang w:val="en-US" w:eastAsia="zh-CN" w:bidi="ar"/>
        </w:rPr>
      </w:pPr>
      <w:r>
        <w:rPr>
          <w:rFonts w:hint="eastAsia" w:ascii="仿宋_GB2312" w:hAnsi="仿宋_GB2312" w:eastAsia="仿宋_GB2312" w:cs="仿宋_GB2312"/>
          <w:b w:val="0"/>
          <w:bCs w:val="0"/>
          <w:snapToGrid w:val="0"/>
          <w:color w:val="auto"/>
          <w:kern w:val="0"/>
          <w:sz w:val="28"/>
          <w:szCs w:val="28"/>
          <w:highlight w:val="none"/>
          <w:lang w:val="en-US" w:eastAsia="zh-CN" w:bidi="ar"/>
        </w:rPr>
        <w:t>2、</w:t>
      </w:r>
      <w:r>
        <w:rPr>
          <w:rFonts w:hint="eastAsia" w:ascii="仿宋_GB2312" w:hAnsi="仿宋_GB2312" w:eastAsia="仿宋_GB2312" w:cs="仿宋_GB2312"/>
          <w:b w:val="0"/>
          <w:bCs w:val="0"/>
          <w:snapToGrid w:val="0"/>
          <w:color w:val="auto"/>
          <w:kern w:val="0"/>
          <w:sz w:val="28"/>
          <w:szCs w:val="28"/>
          <w:lang w:val="en-US" w:eastAsia="zh-CN" w:bidi="ar"/>
        </w:rPr>
        <w:t>项目</w:t>
      </w:r>
      <w:r>
        <w:rPr>
          <w:rFonts w:hint="eastAsia" w:ascii="仿宋_GB2312" w:hAnsi="仿宋_GB2312" w:eastAsia="仿宋_GB2312" w:cs="仿宋_GB2312"/>
          <w:b w:val="0"/>
          <w:bCs w:val="0"/>
          <w:color w:val="auto"/>
          <w:kern w:val="0"/>
          <w:sz w:val="28"/>
          <w:szCs w:val="28"/>
          <w:lang w:val="en-US" w:eastAsia="zh-CN" w:bidi="ar"/>
        </w:rPr>
        <w:t>地点：呼图壁棉花公检实验室（呼图壁县天山雪大道与312国道路口向东200米）</w:t>
      </w:r>
    </w:p>
    <w:p w14:paraId="48AEF08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3、项目规模：</w:t>
      </w:r>
      <w:r>
        <w:rPr>
          <w:rFonts w:hint="eastAsia" w:ascii="仿宋_GB2312" w:hAnsi="仿宋_GB2312" w:eastAsia="仿宋_GB2312" w:cs="仿宋_GB2312"/>
          <w:b w:val="0"/>
          <w:bCs w:val="0"/>
          <w:color w:val="auto"/>
          <w:kern w:val="0"/>
          <w:sz w:val="28"/>
          <w:szCs w:val="28"/>
          <w:lang w:val="en-US" w:eastAsia="zh-CN" w:bidi="ar"/>
        </w:rPr>
        <w:t>昌吉州检验检测中心呼图壁棉花公检实验室生活区窗户更换：生活区共有窗户33个，单个面积约为2.5㎡，共计82.5㎡需完成旧塑钢窗户拆除，更换为断桥铝材质窗户，双层保温玻璃，优质五金配件，做到保温、防风、抗水。恢复PVC窗套，石材窗台板，恢复部分利旧处理。包括项目原有窗户拆除、搬运、方案设计、铝型材、玻璃、五金配件、密封材料、密封胶等窗户安装一切所需物以及、生产、运输、保险、装卸、拆安、调试、税费等完成本项目所需的一切费用。</w:t>
      </w:r>
    </w:p>
    <w:p w14:paraId="22A3AFF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4、工期</w:t>
      </w:r>
      <w:r>
        <w:rPr>
          <w:rFonts w:hint="eastAsia" w:ascii="仿宋_GB2312" w:hAnsi="仿宋_GB2312" w:eastAsia="仿宋_GB2312" w:cs="仿宋_GB2312"/>
          <w:b w:val="0"/>
          <w:bCs w:val="0"/>
          <w:color w:val="auto"/>
          <w:kern w:val="0"/>
          <w:sz w:val="28"/>
          <w:szCs w:val="28"/>
          <w:lang w:val="en-US" w:eastAsia="zh-CN" w:bidi="ar"/>
        </w:rPr>
        <w:t>：合同签订后30日历日内完成</w:t>
      </w:r>
    </w:p>
    <w:p w14:paraId="6622173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5、</w:t>
      </w:r>
      <w:r>
        <w:rPr>
          <w:rFonts w:hint="eastAsia" w:ascii="仿宋_GB2312" w:hAnsi="仿宋_GB2312" w:eastAsia="仿宋_GB2312" w:cs="仿宋_GB2312"/>
          <w:b w:val="0"/>
          <w:bCs w:val="0"/>
          <w:color w:val="auto"/>
          <w:kern w:val="0"/>
          <w:sz w:val="28"/>
          <w:szCs w:val="28"/>
          <w:highlight w:val="none"/>
          <w:lang w:val="en-US" w:eastAsia="zh-CN" w:bidi="ar"/>
        </w:rPr>
        <w:t>项目总投资：7万元</w:t>
      </w:r>
    </w:p>
    <w:p w14:paraId="6DE664E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6、</w:t>
      </w:r>
      <w:r>
        <w:rPr>
          <w:rFonts w:hint="eastAsia" w:ascii="仿宋_GB2312" w:hAnsi="仿宋_GB2312" w:eastAsia="仿宋_GB2312" w:cs="仿宋_GB2312"/>
          <w:b w:val="0"/>
          <w:bCs w:val="0"/>
          <w:snapToGrid w:val="0"/>
          <w:color w:val="auto"/>
          <w:kern w:val="0"/>
          <w:sz w:val="28"/>
          <w:szCs w:val="28"/>
          <w:lang w:val="en-US" w:eastAsia="zh-CN" w:bidi="ar"/>
        </w:rPr>
        <w:t>本项目不分标段，不接受联合体投标。</w:t>
      </w:r>
    </w:p>
    <w:p w14:paraId="5B694AB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7、</w:t>
      </w:r>
      <w:r>
        <w:rPr>
          <w:rFonts w:hint="eastAsia" w:ascii="仿宋_GB2312" w:hAnsi="仿宋_GB2312" w:eastAsia="仿宋_GB2312" w:cs="仿宋_GB2312"/>
          <w:b w:val="0"/>
          <w:bCs w:val="0"/>
          <w:color w:val="auto"/>
          <w:kern w:val="0"/>
          <w:sz w:val="28"/>
          <w:szCs w:val="28"/>
          <w:lang w:val="en-US" w:eastAsia="zh-CN" w:bidi="ar"/>
        </w:rPr>
        <w:t>招标方式：线上竞价</w:t>
      </w:r>
    </w:p>
    <w:p w14:paraId="585BD09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8、</w:t>
      </w:r>
      <w:r>
        <w:rPr>
          <w:rFonts w:hint="eastAsia" w:ascii="仿宋_GB2312" w:hAnsi="仿宋_GB2312" w:eastAsia="仿宋_GB2312" w:cs="仿宋_GB2312"/>
          <w:b w:val="0"/>
          <w:bCs w:val="0"/>
          <w:color w:val="auto"/>
          <w:kern w:val="0"/>
          <w:sz w:val="28"/>
          <w:szCs w:val="28"/>
          <w:lang w:val="en-US" w:eastAsia="zh-CN" w:bidi="ar"/>
        </w:rPr>
        <w:t>质量标准：合格</w:t>
      </w:r>
    </w:p>
    <w:p w14:paraId="3D4582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9、</w:t>
      </w:r>
      <w:r>
        <w:rPr>
          <w:rFonts w:hint="eastAsia" w:ascii="仿宋_GB2312" w:hAnsi="仿宋_GB2312" w:eastAsia="仿宋_GB2312" w:cs="仿宋_GB2312"/>
          <w:b w:val="0"/>
          <w:bCs w:val="0"/>
          <w:color w:val="auto"/>
          <w:kern w:val="0"/>
          <w:sz w:val="28"/>
          <w:szCs w:val="28"/>
          <w:lang w:val="en-US" w:eastAsia="zh-CN" w:bidi="ar"/>
        </w:rPr>
        <w:t>保修期：五年</w:t>
      </w:r>
    </w:p>
    <w:p w14:paraId="5C2A4BB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snapToGrid w:val="0"/>
          <w:color w:val="auto"/>
          <w:kern w:val="0"/>
          <w:sz w:val="28"/>
          <w:szCs w:val="28"/>
          <w:lang w:val="en-US" w:eastAsia="zh-CN" w:bidi="ar"/>
        </w:rPr>
        <w:t>10、</w:t>
      </w:r>
      <w:r>
        <w:rPr>
          <w:rFonts w:hint="eastAsia" w:ascii="仿宋_GB2312" w:hAnsi="仿宋_GB2312" w:eastAsia="仿宋_GB2312" w:cs="仿宋_GB2312"/>
          <w:b w:val="0"/>
          <w:bCs w:val="0"/>
          <w:color w:val="auto"/>
          <w:kern w:val="0"/>
          <w:sz w:val="28"/>
          <w:szCs w:val="28"/>
          <w:lang w:val="en-US" w:eastAsia="zh-CN" w:bidi="ar"/>
        </w:rPr>
        <w:t>付款方式：项目施工完毕竣工验收合格，采购人一次性支付合同总价。</w:t>
      </w:r>
    </w:p>
    <w:p w14:paraId="1D41515A">
      <w:pPr>
        <w:pStyle w:val="13"/>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Fonts w:hint="default" w:ascii="仿宋_GB2312" w:hAnsi="仿宋_GB2312" w:eastAsia="仿宋_GB2312" w:cs="仿宋_GB2312"/>
          <w:b/>
          <w:bCs/>
          <w:snapToGrid w:val="0"/>
          <w:color w:val="auto"/>
          <w:kern w:val="0"/>
          <w:sz w:val="28"/>
          <w:szCs w:val="28"/>
          <w:lang w:val="en-US" w:eastAsia="zh-CN" w:bidi="ar"/>
        </w:rPr>
      </w:pPr>
      <w:r>
        <w:rPr>
          <w:rFonts w:hint="eastAsia" w:ascii="仿宋_GB2312" w:hAnsi="仿宋_GB2312" w:eastAsia="仿宋_GB2312" w:cs="仿宋_GB2312"/>
          <w:b/>
          <w:bCs/>
          <w:snapToGrid w:val="0"/>
          <w:color w:val="auto"/>
          <w:kern w:val="0"/>
          <w:sz w:val="28"/>
          <w:szCs w:val="28"/>
          <w:lang w:val="en-US" w:eastAsia="zh-CN" w:bidi="ar"/>
        </w:rPr>
        <w:t>投标人资格要求：</w:t>
      </w:r>
    </w:p>
    <w:p w14:paraId="71B33438">
      <w:pPr>
        <w:pStyle w:val="13"/>
        <w:keepNext w:val="0"/>
        <w:keepLines w:val="0"/>
        <w:pageBreakBefore w:val="0"/>
        <w:widowControl/>
        <w:kinsoku w:val="0"/>
        <w:wordWrap/>
        <w:overflowPunct/>
        <w:topLinePunct w:val="0"/>
        <w:autoSpaceDE w:val="0"/>
        <w:autoSpaceDN w:val="0"/>
        <w:bidi w:val="0"/>
        <w:adjustRightInd w:val="0"/>
        <w:snapToGrid w:val="0"/>
        <w:spacing w:beforeAutospacing="0" w:afterAutospacing="0" w:line="240" w:lineRule="auto"/>
        <w:textAlignment w:val="baseline"/>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1、应具备独立法人资格；（填写法定代表人身份证明书）</w:t>
      </w:r>
    </w:p>
    <w:p w14:paraId="3697EF38">
      <w:pPr>
        <w:numPr>
          <w:ilvl w:val="0"/>
          <w:numId w:val="2"/>
        </w:numPr>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具备行政主管部门核发的有效企业法人营业执照；（提供营业执照复印件并加盖报价人公章）</w:t>
      </w:r>
    </w:p>
    <w:p w14:paraId="2502042A">
      <w:pPr>
        <w:numPr>
          <w:ilvl w:val="0"/>
          <w:numId w:val="2"/>
        </w:numPr>
        <w:ind w:left="0" w:leftChars="0" w:firstLine="0" w:firstLineChars="0"/>
        <w:rPr>
          <w:rFonts w:hint="eastAsia"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具有近三年类似业绩二项以上（含二项）（提供合同复印件并加盖报价人公章）</w:t>
      </w:r>
    </w:p>
    <w:p w14:paraId="1D6C24CA">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default" w:ascii="仿宋_GB2312" w:hAnsi="仿宋_GB2312" w:eastAsia="仿宋_GB2312" w:cs="仿宋_GB2312"/>
          <w:b w:val="0"/>
          <w:bCs w:val="0"/>
          <w:snapToGrid w:val="0"/>
          <w:color w:val="auto"/>
          <w:kern w:val="0"/>
          <w:sz w:val="28"/>
          <w:szCs w:val="28"/>
          <w:highlight w:val="red"/>
          <w:lang w:val="en-US" w:eastAsia="zh-CN" w:bidi="ar"/>
        </w:rPr>
        <w:t>参加政府采购活动前3年内在经营活动中没有重大违法记录的书面声明；</w:t>
      </w:r>
    </w:p>
    <w:p w14:paraId="372016E6">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default" w:ascii="仿宋_GB2312" w:hAnsi="仿宋_GB2312" w:eastAsia="仿宋_GB2312" w:cs="仿宋_GB2312"/>
          <w:b w:val="0"/>
          <w:bCs w:val="0"/>
          <w:snapToGrid w:val="0"/>
          <w:color w:val="auto"/>
          <w:kern w:val="0"/>
          <w:sz w:val="28"/>
          <w:szCs w:val="28"/>
          <w:highlight w:val="red"/>
          <w:lang w:val="en-US" w:eastAsia="zh-CN" w:bidi="ar"/>
        </w:rPr>
        <w:t>未被“信用中国”网站（www.creditchina.gov.cn）、“中国政府采购网”(www.ccgp.gov.cn)列入失信被执行人、重大税收违法案件当事人名单、政府采购严重失信行为记录名单。（提供网页截图</w:t>
      </w:r>
      <w:r>
        <w:rPr>
          <w:rFonts w:hint="eastAsia" w:ascii="仿宋_GB2312" w:hAnsi="仿宋_GB2312" w:eastAsia="仿宋_GB2312" w:cs="仿宋_GB2312"/>
          <w:b w:val="0"/>
          <w:bCs w:val="0"/>
          <w:snapToGrid w:val="0"/>
          <w:color w:val="auto"/>
          <w:kern w:val="0"/>
          <w:sz w:val="28"/>
          <w:szCs w:val="28"/>
          <w:highlight w:val="red"/>
          <w:lang w:val="en-US" w:eastAsia="zh-CN" w:bidi="ar"/>
        </w:rPr>
        <w:t>并加盖公章</w:t>
      </w:r>
      <w:r>
        <w:rPr>
          <w:rFonts w:hint="default" w:ascii="仿宋_GB2312" w:hAnsi="仿宋_GB2312" w:eastAsia="仿宋_GB2312" w:cs="仿宋_GB2312"/>
          <w:b w:val="0"/>
          <w:bCs w:val="0"/>
          <w:snapToGrid w:val="0"/>
          <w:color w:val="auto"/>
          <w:kern w:val="0"/>
          <w:sz w:val="28"/>
          <w:szCs w:val="28"/>
          <w:highlight w:val="red"/>
          <w:lang w:val="en-US" w:eastAsia="zh-CN" w:bidi="ar"/>
        </w:rPr>
        <w:t>）；</w:t>
      </w:r>
    </w:p>
    <w:p w14:paraId="569DB195">
      <w:pPr>
        <w:numPr>
          <w:ilvl w:val="0"/>
          <w:numId w:val="2"/>
        </w:numPr>
        <w:ind w:left="0" w:leftChars="0" w:firstLine="0" w:firstLineChars="0"/>
        <w:rPr>
          <w:rFonts w:hint="default" w:ascii="仿宋_GB2312" w:hAnsi="仿宋_GB2312" w:eastAsia="仿宋_GB2312" w:cs="仿宋_GB2312"/>
          <w:b w:val="0"/>
          <w:bCs w:val="0"/>
          <w:snapToGrid w:val="0"/>
          <w:color w:val="auto"/>
          <w:kern w:val="0"/>
          <w:sz w:val="28"/>
          <w:szCs w:val="28"/>
          <w:highlight w:val="red"/>
          <w:lang w:val="en-US" w:eastAsia="zh-CN" w:bidi="ar"/>
        </w:rPr>
      </w:pPr>
      <w:r>
        <w:rPr>
          <w:rFonts w:hint="eastAsia" w:ascii="仿宋_GB2312" w:hAnsi="仿宋_GB2312" w:eastAsia="仿宋_GB2312" w:cs="仿宋_GB2312"/>
          <w:b w:val="0"/>
          <w:bCs w:val="0"/>
          <w:snapToGrid w:val="0"/>
          <w:color w:val="auto"/>
          <w:kern w:val="0"/>
          <w:sz w:val="28"/>
          <w:szCs w:val="28"/>
          <w:highlight w:val="red"/>
          <w:lang w:val="en-US" w:eastAsia="zh-CN" w:bidi="ar"/>
        </w:rPr>
        <w:t>严格按照报价表填写报价单，提供报价单并加盖报价人公章。</w:t>
      </w:r>
    </w:p>
    <w:p w14:paraId="3FEAC604">
      <w:pPr>
        <w:numPr>
          <w:ilvl w:val="0"/>
          <w:numId w:val="0"/>
        </w:numPr>
        <w:rPr>
          <w:rFonts w:hint="eastAsia" w:ascii="仿宋_GB2312" w:hAnsi="仿宋_GB2312" w:eastAsia="仿宋_GB2312" w:cs="仿宋_GB2312"/>
          <w:b/>
          <w:bCs/>
          <w:snapToGrid w:val="0"/>
          <w:color w:val="auto"/>
          <w:kern w:val="0"/>
          <w:sz w:val="28"/>
          <w:szCs w:val="28"/>
          <w:lang w:val="en-US" w:eastAsia="zh-CN" w:bidi="ar"/>
        </w:rPr>
      </w:pPr>
    </w:p>
    <w:p w14:paraId="73858969">
      <w:pPr>
        <w:numPr>
          <w:ilvl w:val="0"/>
          <w:numId w:val="0"/>
        </w:numPr>
        <w:rPr>
          <w:rFonts w:hint="eastAsia" w:ascii="仿宋_GB2312" w:hAnsi="仿宋_GB2312" w:eastAsia="仿宋_GB2312" w:cs="仿宋_GB2312"/>
          <w:b/>
          <w:bCs/>
          <w:snapToGrid w:val="0"/>
          <w:color w:val="auto"/>
          <w:kern w:val="0"/>
          <w:sz w:val="28"/>
          <w:szCs w:val="28"/>
          <w:lang w:val="en-US" w:eastAsia="zh-CN" w:bidi="ar"/>
        </w:rPr>
      </w:pPr>
    </w:p>
    <w:p w14:paraId="5EC61A21">
      <w:pPr>
        <w:numPr>
          <w:ilvl w:val="0"/>
          <w:numId w:val="0"/>
        </w:numPr>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snapToGrid w:val="0"/>
          <w:color w:val="auto"/>
          <w:kern w:val="0"/>
          <w:sz w:val="28"/>
          <w:szCs w:val="28"/>
          <w:lang w:val="en-US" w:eastAsia="zh-CN" w:bidi="ar"/>
        </w:rPr>
        <w:t>二、</w:t>
      </w:r>
      <w:r>
        <w:rPr>
          <w:rFonts w:hint="eastAsia" w:ascii="仿宋_GB2312" w:hAnsi="仿宋_GB2312" w:eastAsia="仿宋_GB2312" w:cs="仿宋_GB2312"/>
          <w:b/>
          <w:bCs/>
          <w:color w:val="auto"/>
          <w:kern w:val="0"/>
          <w:sz w:val="28"/>
          <w:szCs w:val="28"/>
          <w:lang w:val="en-US" w:eastAsia="zh-CN" w:bidi="ar"/>
        </w:rPr>
        <w:t>技术规范及要求</w:t>
      </w:r>
    </w:p>
    <w:p w14:paraId="116A19F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82.5㎡窗户更换</w:t>
      </w:r>
    </w:p>
    <w:p w14:paraId="1A0E50C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1．型材壁厚</w:t>
      </w:r>
    </w:p>
    <w:p w14:paraId="40ABE36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窗框厚度构造尺寸≥75mm，即75系列以上。壁厚≥</w:t>
      </w:r>
      <w:r>
        <w:rPr>
          <w:rFonts w:hint="eastAsia" w:ascii="仿宋_GB2312" w:hAnsi="仿宋_GB2312" w:eastAsia="仿宋_GB2312" w:cs="仿宋_GB2312"/>
          <w:b w:val="0"/>
          <w:bCs w:val="0"/>
          <w:color w:val="auto"/>
          <w:kern w:val="0"/>
          <w:sz w:val="28"/>
          <w:szCs w:val="28"/>
          <w:highlight w:val="none"/>
          <w:lang w:val="en-US" w:eastAsia="zh-CN" w:bidi="ar"/>
        </w:rPr>
        <w:t>1.4mm</w:t>
      </w:r>
      <w:r>
        <w:rPr>
          <w:rFonts w:hint="eastAsia" w:ascii="仿宋_GB2312" w:hAnsi="仿宋_GB2312" w:eastAsia="仿宋_GB2312" w:cs="仿宋_GB2312"/>
          <w:b w:val="0"/>
          <w:bCs w:val="0"/>
          <w:color w:val="auto"/>
          <w:kern w:val="0"/>
          <w:sz w:val="28"/>
          <w:szCs w:val="28"/>
          <w:lang w:val="en-US" w:eastAsia="zh-CN" w:bidi="ar"/>
        </w:rPr>
        <w:t>（符合GB／T8478-2020《铝合金门窗》5.1.2.1.2要求）。</w:t>
      </w:r>
    </w:p>
    <w:p w14:paraId="535D6E28">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2．玻璃配置</w:t>
      </w:r>
    </w:p>
    <w:p w14:paraId="1232065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双层中空玻璃，应采用符合 GB11614规定的平板玻璃及其制品。中空玻璃应符合GB/T11944的规定，且双层中空玻璃气体层厚度不应小于9.0mm。（符合GB／T8478-2020《铝合金门窗》5.1.3.2要求）可降低30-40分贝噪音。</w:t>
      </w:r>
    </w:p>
    <w:p w14:paraId="27E7CDD0">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3．五金配件</w:t>
      </w:r>
    </w:p>
    <w:p w14:paraId="613B871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铰链、锁点、执手等门窗框扇连接、锁固用功能性五金配件应满足整樘门窗承载能力的要求，其反复启闭性能应满足门窗反复启闭耐久性要求。（符合GB／T8478-2020《铝合金门窗》5.1.6要求）</w:t>
      </w:r>
    </w:p>
    <w:p w14:paraId="6E54B78D">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4．隔热保温</w:t>
      </w:r>
    </w:p>
    <w:p w14:paraId="5FFDC6D1">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中间嵌入PA66GF25尼龙隔热条（符合国家强制标准GB24266-2009《中空玻璃用硅酮结构密封胶》要求）</w:t>
      </w:r>
    </w:p>
    <w:p w14:paraId="3F6AFDB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5．防水抗风</w:t>
      </w:r>
    </w:p>
    <w:p w14:paraId="083D7D09">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多腔体结构＋胶条密封，排水系统优化，水密性和气密性优于普通窗，适合台风、多雨地区。</w:t>
      </w:r>
    </w:p>
    <w:p w14:paraId="42BB0738">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附带隐形纱窗。</w:t>
      </w:r>
    </w:p>
    <w:p w14:paraId="6EC1E84F">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金属纱窗，深色，密度不低于16目，形状见附图，隐形纱窗，有开关和把手，方便使用时简便安装，脏了可轻松拆下清洗。</w:t>
      </w:r>
    </w:p>
    <w:p w14:paraId="551999CF">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原有窗户见附图。更换后窗户平开窗，开窗布局与原有窗户形状一致。</w:t>
      </w:r>
    </w:p>
    <w:p w14:paraId="539DF058">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原有窗户拆下后按照甲方要求放在指定地点，搬运距离约为5千米。</w:t>
      </w:r>
    </w:p>
    <w:p w14:paraId="2B96F60B">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t>注：报价含安装，含拆旧；恢复木制窗套，大理石窗台板。</w:t>
      </w:r>
    </w:p>
    <w:p w14:paraId="022B873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footerReference r:id="rId5" w:type="default"/>
          <w:pgSz w:w="11906" w:h="16838"/>
          <w:pgMar w:top="1440" w:right="1800" w:bottom="1440" w:left="1800" w:header="851" w:footer="992" w:gutter="0"/>
          <w:cols w:space="425" w:num="1"/>
          <w:docGrid w:type="lines" w:linePitch="312" w:charSpace="0"/>
        </w:sectPr>
      </w:pPr>
    </w:p>
    <w:p w14:paraId="61785AEA">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drawing>
          <wp:anchor distT="0" distB="0" distL="114300" distR="114300" simplePos="0" relativeHeight="251659264" behindDoc="0" locked="0" layoutInCell="1" allowOverlap="1">
            <wp:simplePos x="0" y="0"/>
            <wp:positionH relativeFrom="column">
              <wp:posOffset>675005</wp:posOffset>
            </wp:positionH>
            <wp:positionV relativeFrom="page">
              <wp:posOffset>946150</wp:posOffset>
            </wp:positionV>
            <wp:extent cx="3776980" cy="5039995"/>
            <wp:effectExtent l="0" t="0" r="13970" b="8255"/>
            <wp:wrapTopAndBottom/>
            <wp:docPr id="3" name="图片 3" descr="7897677bcf326b5137daff6b946e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897677bcf326b5137daff6b946e313"/>
                    <pic:cNvPicPr>
                      <a:picLocks noChangeAspect="1"/>
                    </pic:cNvPicPr>
                  </pic:nvPicPr>
                  <pic:blipFill>
                    <a:blip r:embed="rId7"/>
                    <a:stretch>
                      <a:fillRect/>
                    </a:stretch>
                  </pic:blipFill>
                  <pic:spPr>
                    <a:xfrm>
                      <a:off x="0" y="0"/>
                      <a:ext cx="3776980" cy="5039995"/>
                    </a:xfrm>
                    <a:prstGeom prst="rect">
                      <a:avLst/>
                    </a:prstGeom>
                  </pic:spPr>
                </pic:pic>
              </a:graphicData>
            </a:graphic>
          </wp:anchor>
        </w:drawing>
      </w:r>
      <w:r>
        <w:rPr>
          <w:rFonts w:hint="eastAsia" w:ascii="仿宋_GB2312" w:hAnsi="仿宋_GB2312" w:eastAsia="仿宋_GB2312" w:cs="仿宋_GB2312"/>
          <w:b w:val="0"/>
          <w:bCs w:val="0"/>
          <w:color w:val="auto"/>
          <w:kern w:val="0"/>
          <w:sz w:val="28"/>
          <w:szCs w:val="28"/>
          <w:lang w:val="en-US" w:eastAsia="zh-CN" w:bidi="ar"/>
        </w:rPr>
        <w:t>原有窗户室内图片</w:t>
      </w:r>
    </w:p>
    <w:p w14:paraId="5E4346F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pPr>
    </w:p>
    <w:p w14:paraId="1189A9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default"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drawing>
          <wp:anchor distT="0" distB="0" distL="114300" distR="114300" simplePos="0" relativeHeight="251660288" behindDoc="0" locked="0" layoutInCell="1" allowOverlap="1">
            <wp:simplePos x="0" y="0"/>
            <wp:positionH relativeFrom="column">
              <wp:posOffset>398145</wp:posOffset>
            </wp:positionH>
            <wp:positionV relativeFrom="paragraph">
              <wp:posOffset>64770</wp:posOffset>
            </wp:positionV>
            <wp:extent cx="3778250" cy="5039995"/>
            <wp:effectExtent l="0" t="0" r="12700" b="8255"/>
            <wp:wrapTopAndBottom/>
            <wp:docPr id="2" name="图片 2" descr="40ba1762c83d6cd2973052593ccb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0ba1762c83d6cd2973052593ccbdbd"/>
                    <pic:cNvPicPr>
                      <a:picLocks noChangeAspect="1"/>
                    </pic:cNvPicPr>
                  </pic:nvPicPr>
                  <pic:blipFill>
                    <a:blip r:embed="rId8"/>
                    <a:stretch>
                      <a:fillRect/>
                    </a:stretch>
                  </pic:blipFill>
                  <pic:spPr>
                    <a:xfrm>
                      <a:off x="0" y="0"/>
                      <a:ext cx="3778250" cy="5039995"/>
                    </a:xfrm>
                    <a:prstGeom prst="rect">
                      <a:avLst/>
                    </a:prstGeom>
                  </pic:spPr>
                </pic:pic>
              </a:graphicData>
            </a:graphic>
          </wp:anchor>
        </w:drawing>
      </w:r>
    </w:p>
    <w:p w14:paraId="6A04DA0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t>原有窗户室外图片</w:t>
      </w:r>
    </w:p>
    <w:p w14:paraId="675516B4">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drawing>
          <wp:inline distT="0" distB="0" distL="114300" distR="114300">
            <wp:extent cx="5264785" cy="3947160"/>
            <wp:effectExtent l="0" t="0" r="12065" b="15240"/>
            <wp:docPr id="5" name="图片 5" descr="82cec31bb71035fd313b6b4ddc99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2cec31bb71035fd313b6b4ddc99a01"/>
                    <pic:cNvPicPr>
                      <a:picLocks noChangeAspect="1"/>
                    </pic:cNvPicPr>
                  </pic:nvPicPr>
                  <pic:blipFill>
                    <a:blip r:embed="rId9"/>
                    <a:stretch>
                      <a:fillRect/>
                    </a:stretch>
                  </pic:blipFill>
                  <pic:spPr>
                    <a:xfrm>
                      <a:off x="0" y="0"/>
                      <a:ext cx="5264785" cy="3947160"/>
                    </a:xfrm>
                    <a:prstGeom prst="rect">
                      <a:avLst/>
                    </a:prstGeom>
                  </pic:spPr>
                </pic:pic>
              </a:graphicData>
            </a:graphic>
          </wp:inline>
        </w:drawing>
      </w:r>
      <w:r>
        <w:rPr>
          <w:rFonts w:hint="eastAsia" w:ascii="仿宋_GB2312" w:hAnsi="仿宋_GB2312" w:eastAsia="仿宋_GB2312" w:cs="仿宋_GB2312"/>
          <w:b w:val="0"/>
          <w:bCs w:val="0"/>
          <w:color w:val="auto"/>
          <w:kern w:val="0"/>
          <w:sz w:val="28"/>
          <w:szCs w:val="28"/>
          <w:lang w:val="en-US" w:eastAsia="zh-CN" w:bidi="ar"/>
        </w:rPr>
        <w:t>原有窗户室外图片</w:t>
      </w:r>
    </w:p>
    <w:p w14:paraId="58EBDEF6">
      <w:pPr>
        <w:rPr>
          <w:rFonts w:hint="eastAsia" w:ascii="仿宋_GB2312" w:hAnsi="仿宋_GB2312" w:eastAsia="仿宋_GB2312" w:cs="仿宋_GB2312"/>
          <w:b w:val="0"/>
          <w:bCs w:val="0"/>
          <w:color w:val="auto"/>
          <w:kern w:val="0"/>
          <w:sz w:val="28"/>
          <w:szCs w:val="28"/>
          <w:lang w:val="en-US" w:eastAsia="zh-CN" w:bidi="ar"/>
        </w:rPr>
      </w:pPr>
      <w:r>
        <w:rPr>
          <w:rFonts w:hint="eastAsia" w:ascii="仿宋_GB2312" w:hAnsi="仿宋_GB2312" w:eastAsia="仿宋_GB2312" w:cs="仿宋_GB2312"/>
          <w:b w:val="0"/>
          <w:bCs w:val="0"/>
          <w:color w:val="auto"/>
          <w:kern w:val="0"/>
          <w:sz w:val="28"/>
          <w:szCs w:val="28"/>
          <w:lang w:val="en-US" w:eastAsia="zh-CN" w:bidi="ar"/>
        </w:rPr>
        <w:drawing>
          <wp:inline distT="0" distB="0" distL="114300" distR="114300">
            <wp:extent cx="5269230" cy="7028180"/>
            <wp:effectExtent l="0" t="0" r="7620" b="1270"/>
            <wp:docPr id="4" name="图片 4" descr="ac7ca9e34cee62ea3ab48b6ca24a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7ca9e34cee62ea3ab48b6ca24a330"/>
                    <pic:cNvPicPr>
                      <a:picLocks noChangeAspect="1"/>
                    </pic:cNvPicPr>
                  </pic:nvPicPr>
                  <pic:blipFill>
                    <a:blip r:embed="rId10"/>
                    <a:stretch>
                      <a:fillRect/>
                    </a:stretch>
                  </pic:blipFill>
                  <pic:spPr>
                    <a:xfrm>
                      <a:off x="0" y="0"/>
                      <a:ext cx="5269230" cy="7028180"/>
                    </a:xfrm>
                    <a:prstGeom prst="rect">
                      <a:avLst/>
                    </a:prstGeom>
                  </pic:spPr>
                </pic:pic>
              </a:graphicData>
            </a:graphic>
          </wp:inline>
        </w:drawing>
      </w:r>
    </w:p>
    <w:p w14:paraId="2E0F4F1F">
      <w:pPr>
        <w:rPr>
          <w:rFonts w:hint="eastAsia" w:ascii="仿宋_GB2312" w:hAnsi="仿宋_GB2312" w:eastAsia="仿宋_GB2312" w:cs="仿宋_GB2312"/>
          <w:b w:val="0"/>
          <w:bCs w:val="0"/>
          <w:color w:val="auto"/>
          <w:kern w:val="0"/>
          <w:sz w:val="28"/>
          <w:szCs w:val="28"/>
          <w:lang w:val="en-US" w:eastAsia="zh-CN" w:bidi="ar"/>
        </w:rPr>
      </w:pPr>
    </w:p>
    <w:p w14:paraId="0D7A023E">
      <w:pPr>
        <w:rPr>
          <w:rFonts w:hint="default" w:ascii="仿宋_GB2312" w:hAnsi="仿宋_GB2312" w:eastAsia="仿宋_GB2312" w:cs="仿宋_GB2312"/>
          <w:b w:val="0"/>
          <w:bCs w:val="0"/>
          <w:color w:val="auto"/>
          <w:kern w:val="0"/>
          <w:sz w:val="28"/>
          <w:szCs w:val="28"/>
          <w:lang w:val="en-US" w:eastAsia="zh-CN"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 w:val="0"/>
          <w:bCs w:val="0"/>
          <w:color w:val="auto"/>
          <w:kern w:val="0"/>
          <w:sz w:val="28"/>
          <w:szCs w:val="28"/>
          <w:lang w:val="en-US" w:eastAsia="zh-CN" w:bidi="ar"/>
        </w:rPr>
        <w:t>隐形窗纱样式</w:t>
      </w:r>
    </w:p>
    <w:p w14:paraId="0319454D">
      <w:pPr>
        <w:rPr>
          <w:rFonts w:hint="eastAsia" w:ascii="仿宋_GB2312" w:hAnsi="仿宋_GB2312" w:eastAsia="仿宋_GB2312" w:cs="仿宋_GB2312"/>
          <w:b w:val="0"/>
          <w:bCs w:val="0"/>
          <w:color w:val="auto"/>
          <w:kern w:val="0"/>
          <w:sz w:val="28"/>
          <w:szCs w:val="28"/>
          <w:lang w:val="en-US" w:eastAsia="zh-CN" w:bidi="ar"/>
        </w:rPr>
      </w:pPr>
    </w:p>
    <w:p w14:paraId="7652AB59">
      <w:pPr>
        <w:pStyle w:val="18"/>
        <w:ind w:left="0" w:leftChars="0" w:firstLine="0" w:firstLineChars="0"/>
        <w:jc w:val="center"/>
        <w:rPr>
          <w:rFonts w:hint="eastAsia" w:ascii="方正小标宋_GBK" w:hAnsi="方正小标宋_GBK" w:eastAsia="方正小标宋_GBK" w:cs="方正小标宋_GBK"/>
          <w:b w:val="0"/>
          <w:bCs w:val="0"/>
          <w:color w:val="000000"/>
          <w:sz w:val="36"/>
          <w:szCs w:val="36"/>
        </w:rPr>
      </w:pPr>
      <w:r>
        <w:rPr>
          <w:rFonts w:hint="eastAsia" w:ascii="方正小标宋_GBK" w:hAnsi="方正小标宋_GBK" w:eastAsia="方正小标宋_GBK" w:cs="方正小标宋_GBK"/>
          <w:b w:val="0"/>
          <w:bCs w:val="0"/>
          <w:color w:val="000000"/>
          <w:sz w:val="36"/>
          <w:szCs w:val="36"/>
        </w:rPr>
        <w:t>法定代表人身份证明书</w:t>
      </w:r>
    </w:p>
    <w:p w14:paraId="54FA7A60">
      <w:pPr>
        <w:pStyle w:val="18"/>
        <w:ind w:left="0" w:leftChars="0" w:firstLine="0" w:firstLineChars="0"/>
        <w:jc w:val="center"/>
        <w:rPr>
          <w:rFonts w:hint="eastAsia" w:ascii="方正小标宋_GBK" w:hAnsi="方正小标宋_GBK" w:eastAsia="方正小标宋_GBK" w:cs="方正小标宋_GBK"/>
          <w:b w:val="0"/>
          <w:bCs w:val="0"/>
          <w:color w:val="000000"/>
          <w:sz w:val="36"/>
          <w:szCs w:val="36"/>
        </w:rPr>
      </w:pPr>
    </w:p>
    <w:p w14:paraId="128896E5">
      <w:pPr>
        <w:pStyle w:val="18"/>
        <w:keepNext w:val="0"/>
        <w:keepLines w:val="0"/>
        <w:pageBreakBefore w:val="0"/>
        <w:widowControl/>
        <w:kinsoku w:val="0"/>
        <w:wordWrap/>
        <w:overflowPunct/>
        <w:topLinePunct w:val="0"/>
        <w:autoSpaceDE w:val="0"/>
        <w:autoSpaceDN w:val="0"/>
        <w:bidi w:val="0"/>
        <w:adjustRightInd w:val="0"/>
        <w:snapToGrid w:val="0"/>
        <w:ind w:left="0" w:leftChars="0" w:firstLine="840" w:firstLineChars="300"/>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w:t>
      </w:r>
      <w:r>
        <w:rPr>
          <w:rFonts w:hint="eastAsia" w:ascii="仿宋_GB2312" w:hAnsi="仿宋_GB2312" w:eastAsia="仿宋_GB2312" w:cs="仿宋_GB2312"/>
          <w:b w:val="0"/>
          <w:bCs w:val="0"/>
          <w:color w:val="000000"/>
          <w:sz w:val="28"/>
          <w:szCs w:val="28"/>
          <w:u w:val="single"/>
        </w:rPr>
        <w:t>姓</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名</w:t>
      </w:r>
      <w:r>
        <w:rPr>
          <w:rFonts w:hint="eastAsia" w:ascii="仿宋_GB2312" w:hAnsi="仿宋_GB2312" w:eastAsia="仿宋_GB2312" w:cs="仿宋_GB2312"/>
          <w:b w:val="0"/>
          <w:bCs w:val="0"/>
          <w:color w:val="000000"/>
          <w:sz w:val="28"/>
          <w:szCs w:val="28"/>
        </w:rPr>
        <w:t>）是（</w:t>
      </w:r>
      <w:r>
        <w:rPr>
          <w:rFonts w:hint="eastAsia" w:ascii="仿宋_GB2312" w:hAnsi="仿宋_GB2312" w:eastAsia="仿宋_GB2312" w:cs="仿宋_GB2312"/>
          <w:b w:val="0"/>
          <w:bCs w:val="0"/>
          <w:color w:val="000000"/>
          <w:sz w:val="28"/>
          <w:szCs w:val="28"/>
          <w:u w:val="single"/>
        </w:rPr>
        <w:t>单</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位</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名</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u w:val="single"/>
        </w:rPr>
        <w:t>称</w:t>
      </w:r>
      <w:r>
        <w:rPr>
          <w:rFonts w:hint="eastAsia" w:ascii="仿宋_GB2312" w:hAnsi="仿宋_GB2312" w:eastAsia="仿宋_GB2312" w:cs="仿宋_GB2312"/>
          <w:b w:val="0"/>
          <w:bCs w:val="0"/>
          <w:color w:val="000000"/>
          <w:sz w:val="28"/>
          <w:szCs w:val="28"/>
        </w:rPr>
        <w:t>）的法定代表人，身份证号码为</w:t>
      </w:r>
      <w:r>
        <w:rPr>
          <w:rFonts w:hint="eastAsia" w:ascii="仿宋_GB2312" w:hAnsi="仿宋_GB2312" w:eastAsia="仿宋_GB2312" w:cs="仿宋_GB2312"/>
          <w:b w:val="0"/>
          <w:bCs w:val="0"/>
          <w:color w:val="000000"/>
          <w:sz w:val="28"/>
          <w:szCs w:val="28"/>
          <w:u w:val="single"/>
          <w:lang w:val="en-US" w:eastAsia="zh-CN"/>
        </w:rPr>
        <w:t xml:space="preserve">                   </w:t>
      </w:r>
      <w:r>
        <w:rPr>
          <w:rFonts w:hint="eastAsia" w:ascii="仿宋_GB2312" w:hAnsi="仿宋_GB2312" w:eastAsia="仿宋_GB2312" w:cs="仿宋_GB2312"/>
          <w:b w:val="0"/>
          <w:bCs w:val="0"/>
          <w:color w:val="000000"/>
          <w:sz w:val="28"/>
          <w:szCs w:val="28"/>
        </w:rPr>
        <w:t xml:space="preserve">。 </w:t>
      </w:r>
    </w:p>
    <w:p w14:paraId="3F2E8531">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特此证明。 </w:t>
      </w:r>
    </w:p>
    <w:p w14:paraId="2250D64B">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textAlignment w:val="baseline"/>
        <w:rPr>
          <w:rFonts w:hint="eastAsia" w:ascii="仿宋_GB2312" w:hAnsi="仿宋_GB2312" w:eastAsia="仿宋_GB2312" w:cs="仿宋_GB2312"/>
          <w:b w:val="0"/>
          <w:bCs w:val="0"/>
          <w:color w:val="000000"/>
          <w:sz w:val="28"/>
          <w:szCs w:val="28"/>
        </w:rPr>
      </w:pPr>
    </w:p>
    <w:p w14:paraId="47A37AEA">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投标企业： （盖章） </w:t>
      </w:r>
    </w:p>
    <w:p w14:paraId="078161AD">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p>
    <w:p w14:paraId="59E710CA">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法定代表人： （签名、盖章）</w:t>
      </w:r>
    </w:p>
    <w:p w14:paraId="6DD51112">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 xml:space="preserve"> </w:t>
      </w:r>
    </w:p>
    <w:p w14:paraId="659598AE">
      <w:pPr>
        <w:pStyle w:val="18"/>
        <w:keepNext w:val="0"/>
        <w:keepLines w:val="0"/>
        <w:pageBreakBefore w:val="0"/>
        <w:widowControl/>
        <w:kinsoku w:val="0"/>
        <w:wordWrap/>
        <w:overflowPunct/>
        <w:topLinePunct w:val="0"/>
        <w:autoSpaceDE w:val="0"/>
        <w:autoSpaceDN w:val="0"/>
        <w:bidi w:val="0"/>
        <w:adjustRightInd w:val="0"/>
        <w:snapToGrid w:val="0"/>
        <w:ind w:left="0" w:leftChars="0" w:firstLine="0" w:firstLineChars="0"/>
        <w:jc w:val="right"/>
        <w:textAlignment w:val="baseline"/>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color w:val="000000"/>
          <w:sz w:val="28"/>
          <w:szCs w:val="28"/>
        </w:rPr>
        <w:t>日期： 年 月 日</w:t>
      </w:r>
    </w:p>
    <w:p w14:paraId="63BFE476">
      <w:pPr>
        <w:keepNext w:val="0"/>
        <w:keepLines w:val="0"/>
        <w:pageBreakBefore w:val="0"/>
        <w:widowControl/>
        <w:kinsoku w:val="0"/>
        <w:wordWrap/>
        <w:overflowPunct/>
        <w:topLinePunct w:val="0"/>
        <w:autoSpaceDE w:val="0"/>
        <w:autoSpaceDN w:val="0"/>
        <w:bidi w:val="0"/>
        <w:adjustRightInd w:val="0"/>
        <w:snapToGrid w:val="0"/>
        <w:ind w:left="0" w:firstLine="0" w:firstLineChars="0"/>
        <w:textAlignment w:val="baseline"/>
        <w:rPr>
          <w:rFonts w:ascii="仿宋" w:hAnsi="仿宋" w:eastAsia="仿宋" w:cs="仿宋"/>
          <w:b w:val="0"/>
          <w:bCs w:val="0"/>
          <w:color w:val="000000"/>
          <w:sz w:val="31"/>
          <w:szCs w:val="31"/>
        </w:rPr>
      </w:pPr>
      <w:r>
        <w:rPr>
          <w:rFonts w:ascii="仿宋" w:hAnsi="仿宋" w:eastAsia="仿宋" w:cs="仿宋"/>
          <w:b w:val="0"/>
          <w:bCs w:val="0"/>
          <w:color w:val="000000"/>
          <w:sz w:val="31"/>
          <w:szCs w:val="31"/>
        </w:rPr>
        <w:br w:type="page"/>
      </w:r>
    </w:p>
    <w:p w14:paraId="2CAEC696">
      <w:pPr>
        <w:spacing w:before="145" w:beforeLines="50" w:after="145" w:afterLines="50" w:line="30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参加政府采购活动前 3 年内在经营活动中没有</w:t>
      </w:r>
    </w:p>
    <w:p w14:paraId="57F5BE55">
      <w:pPr>
        <w:spacing w:before="145" w:beforeLines="50" w:after="145" w:afterLines="50" w:line="30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重大违法记录的书面声明</w:t>
      </w:r>
    </w:p>
    <w:p w14:paraId="49B58CD3">
      <w:pPr>
        <w:pStyle w:val="9"/>
        <w:rPr>
          <w:rFonts w:hint="eastAsia" w:ascii="仿宋_GB2312" w:hAnsi="仿宋_GB2312" w:eastAsia="仿宋_GB2312" w:cs="仿宋_GB2312"/>
          <w:sz w:val="32"/>
          <w:szCs w:val="32"/>
          <w:lang w:val="en-US" w:eastAsia="zh-CN"/>
        </w:rPr>
      </w:pPr>
    </w:p>
    <w:p w14:paraId="7DFDAD98">
      <w:pPr>
        <w:spacing w:before="145" w:beforeLines="50" w:after="145" w:afterLines="50" w:line="300" w:lineRule="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我单位郑重声明：参加本次政府采购活动前 3 年内，我单位在经营活动中没有因违法经营受到刑事处罚或者责令停产停业、吊销许可证或者执照、较大数额罚款等行政处罚。</w:t>
      </w:r>
    </w:p>
    <w:p w14:paraId="1230E372">
      <w:pPr>
        <w:spacing w:before="145" w:beforeLines="50" w:after="145" w:afterLines="50" w:line="300" w:lineRule="auto"/>
        <w:rPr>
          <w:rFonts w:hint="eastAsia" w:ascii="宋体" w:hAnsi="宋体" w:eastAsia="宋体" w:cs="宋体"/>
          <w:bCs/>
          <w:sz w:val="24"/>
        </w:rPr>
      </w:pPr>
    </w:p>
    <w:p w14:paraId="07F1A6AA">
      <w:pPr>
        <w:pStyle w:val="9"/>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投标人名称（盖章）：  </w:t>
      </w:r>
    </w:p>
    <w:p w14:paraId="6597797D">
      <w:pPr>
        <w:pStyle w:val="9"/>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______年____月____日</w:t>
      </w:r>
    </w:p>
    <w:p w14:paraId="283DB919">
      <w:pPr>
        <w:pStyle w:val="9"/>
        <w:rPr>
          <w:rFonts w:hint="eastAsia" w:ascii="仿宋" w:hAnsi="仿宋" w:eastAsia="仿宋" w:cs="仿宋"/>
          <w:b w:val="0"/>
          <w:bCs w:val="0"/>
          <w:color w:val="000000"/>
          <w:sz w:val="31"/>
          <w:szCs w:val="31"/>
          <w:lang w:val="en-US" w:eastAsia="zh-CN"/>
        </w:rPr>
        <w:sectPr>
          <w:pgSz w:w="11906" w:h="16838"/>
          <w:pgMar w:top="1440" w:right="1800" w:bottom="1440" w:left="1800" w:header="851" w:footer="992" w:gutter="0"/>
          <w:cols w:space="425" w:num="1"/>
          <w:docGrid w:type="lines" w:linePitch="312" w:charSpace="0"/>
        </w:sectPr>
      </w:pPr>
    </w:p>
    <w:p w14:paraId="3EE62039">
      <w:pPr>
        <w:jc w:val="center"/>
        <w:rPr>
          <w:rFonts w:hint="eastAsia" w:ascii="方正小标宋_GBK" w:hAnsi="方正小标宋_GBK" w:eastAsia="方正小标宋_GBK" w:cs="方正小标宋_GBK"/>
          <w:sz w:val="36"/>
          <w:lang w:val="en-US" w:eastAsia="zh-CN"/>
        </w:rPr>
      </w:pPr>
      <w:r>
        <w:rPr>
          <w:rFonts w:hint="eastAsia" w:ascii="方正小标宋_GBK" w:hAnsi="方正小标宋_GBK" w:eastAsia="方正小标宋_GBK" w:cs="方正小标宋_GBK"/>
          <w:sz w:val="36"/>
          <w:lang w:val="en-US" w:eastAsia="zh-CN"/>
        </w:rPr>
        <w:t>报价表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04A5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04" w:type="dxa"/>
            <w:vAlign w:val="center"/>
          </w:tcPr>
          <w:p w14:paraId="67B7D0A7">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报价单位</w:t>
            </w:r>
          </w:p>
        </w:tc>
        <w:tc>
          <w:tcPr>
            <w:tcW w:w="6818" w:type="dxa"/>
            <w:gridSpan w:val="4"/>
            <w:vAlign w:val="center"/>
          </w:tcPr>
          <w:p w14:paraId="104928D8">
            <w:pPr>
              <w:widowControl w:val="0"/>
              <w:jc w:val="center"/>
              <w:rPr>
                <w:rFonts w:hint="eastAsia" w:ascii="仿宋_GB2312" w:hAnsi="仿宋_GB2312" w:eastAsia="仿宋_GB2312" w:cs="仿宋_GB2312"/>
                <w:sz w:val="32"/>
                <w:szCs w:val="32"/>
                <w:vertAlign w:val="baseline"/>
                <w:lang w:val="en-US" w:eastAsia="zh-CN"/>
              </w:rPr>
            </w:pPr>
          </w:p>
        </w:tc>
      </w:tr>
      <w:tr w14:paraId="41BC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0EBACE34">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704" w:type="dxa"/>
          </w:tcPr>
          <w:p w14:paraId="4D134002">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项目名称</w:t>
            </w:r>
          </w:p>
        </w:tc>
        <w:tc>
          <w:tcPr>
            <w:tcW w:w="1704" w:type="dxa"/>
          </w:tcPr>
          <w:p w14:paraId="0FD76C26">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工程量</w:t>
            </w:r>
          </w:p>
        </w:tc>
        <w:tc>
          <w:tcPr>
            <w:tcW w:w="1705" w:type="dxa"/>
          </w:tcPr>
          <w:p w14:paraId="2DFF1EF8">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面积单价</w:t>
            </w:r>
          </w:p>
        </w:tc>
        <w:tc>
          <w:tcPr>
            <w:tcW w:w="1705" w:type="dxa"/>
          </w:tcPr>
          <w:p w14:paraId="06AE293A">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总价</w:t>
            </w:r>
          </w:p>
        </w:tc>
      </w:tr>
      <w:tr w14:paraId="5195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704" w:type="dxa"/>
            <w:vAlign w:val="center"/>
          </w:tcPr>
          <w:p w14:paraId="636CFC6A">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04" w:type="dxa"/>
            <w:vAlign w:val="center"/>
          </w:tcPr>
          <w:p w14:paraId="49BA0404">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更换窗户</w:t>
            </w:r>
          </w:p>
        </w:tc>
        <w:tc>
          <w:tcPr>
            <w:tcW w:w="1704" w:type="dxa"/>
            <w:vAlign w:val="center"/>
          </w:tcPr>
          <w:p w14:paraId="6620411C">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82.5㎡</w:t>
            </w:r>
          </w:p>
        </w:tc>
        <w:tc>
          <w:tcPr>
            <w:tcW w:w="1705" w:type="dxa"/>
            <w:vAlign w:val="center"/>
          </w:tcPr>
          <w:p w14:paraId="1DD79C23">
            <w:pPr>
              <w:widowControl w:val="0"/>
              <w:jc w:val="center"/>
              <w:rPr>
                <w:rFonts w:hint="eastAsia" w:ascii="仿宋_GB2312" w:hAnsi="仿宋_GB2312" w:eastAsia="仿宋_GB2312" w:cs="仿宋_GB2312"/>
                <w:sz w:val="32"/>
                <w:szCs w:val="32"/>
                <w:vertAlign w:val="baseline"/>
              </w:rPr>
            </w:pPr>
          </w:p>
        </w:tc>
        <w:tc>
          <w:tcPr>
            <w:tcW w:w="1705" w:type="dxa"/>
            <w:vAlign w:val="center"/>
          </w:tcPr>
          <w:p w14:paraId="7C8EE3B0">
            <w:pPr>
              <w:widowControl w:val="0"/>
              <w:jc w:val="center"/>
              <w:rPr>
                <w:rFonts w:hint="eastAsia" w:ascii="仿宋_GB2312" w:hAnsi="仿宋_GB2312" w:eastAsia="仿宋_GB2312" w:cs="仿宋_GB2312"/>
                <w:sz w:val="32"/>
                <w:szCs w:val="32"/>
                <w:vertAlign w:val="baseline"/>
              </w:rPr>
            </w:pPr>
            <w:bookmarkStart w:id="0" w:name="_GoBack"/>
            <w:bookmarkEnd w:id="0"/>
          </w:p>
        </w:tc>
      </w:tr>
      <w:tr w14:paraId="5754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704" w:type="dxa"/>
            <w:vAlign w:val="center"/>
          </w:tcPr>
          <w:p w14:paraId="54EA24F7">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合计金额</w:t>
            </w:r>
          </w:p>
        </w:tc>
        <w:tc>
          <w:tcPr>
            <w:tcW w:w="6818" w:type="dxa"/>
            <w:gridSpan w:val="4"/>
            <w:vAlign w:val="center"/>
          </w:tcPr>
          <w:p w14:paraId="57F6A48A">
            <w:pPr>
              <w:widowControl w:val="0"/>
              <w:jc w:val="center"/>
              <w:rPr>
                <w:rFonts w:hint="eastAsia" w:ascii="仿宋_GB2312" w:hAnsi="仿宋_GB2312" w:eastAsia="仿宋_GB2312" w:cs="仿宋_GB2312"/>
                <w:sz w:val="32"/>
                <w:szCs w:val="32"/>
                <w:vertAlign w:val="baseline"/>
              </w:rPr>
            </w:pPr>
          </w:p>
        </w:tc>
      </w:tr>
      <w:tr w14:paraId="530B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61E5238">
            <w:pPr>
              <w:widowControl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c>
          <w:tcPr>
            <w:tcW w:w="6818" w:type="dxa"/>
            <w:gridSpan w:val="4"/>
          </w:tcPr>
          <w:p w14:paraId="0E9CC245">
            <w:pPr>
              <w:widowControl w:val="0"/>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b w:val="0"/>
                <w:bCs w:val="0"/>
                <w:color w:val="auto"/>
                <w:kern w:val="0"/>
                <w:sz w:val="28"/>
                <w:szCs w:val="28"/>
                <w:lang w:val="en-US" w:eastAsia="zh-CN" w:bidi="ar"/>
              </w:rPr>
              <w:t>包括项目原有窗户拆除、搬运、铝型材、玻璃、五金配件、密封材料、密封胶等窗户安装一切所需物以及、生产、运输、保险、装卸、拆安、调试、税费等完成本项目所需的一切费用。</w:t>
            </w:r>
          </w:p>
        </w:tc>
      </w:tr>
    </w:tbl>
    <w:p w14:paraId="361A768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D4A6">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09AE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A09AE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27AC3"/>
    <w:multiLevelType w:val="multilevel"/>
    <w:tmpl w:val="16A27AC3"/>
    <w:lvl w:ilvl="0" w:tentative="0">
      <w:start w:val="1"/>
      <w:numFmt w:val="chineseCountingThousand"/>
      <w:pStyle w:val="2"/>
      <w:lvlText w:val="第%1章"/>
      <w:lvlJc w:val="left"/>
      <w:pPr>
        <w:ind w:left="305" w:hanging="425"/>
      </w:pPr>
      <w:rPr>
        <w:rFonts w:hint="default" w:ascii="Times New Roman" w:hAnsi="Times New Roman" w:eastAsia="宋体"/>
        <w:b w:val="0"/>
        <w:i w:val="0"/>
        <w:sz w:val="32"/>
        <w:szCs w:val="32"/>
      </w:rPr>
    </w:lvl>
    <w:lvl w:ilvl="1" w:tentative="0">
      <w:start w:val="1"/>
      <w:numFmt w:val="decimal"/>
      <w:pStyle w:val="3"/>
      <w:isLgl/>
      <w:lvlText w:val="%1.%2"/>
      <w:lvlJc w:val="left"/>
      <w:pPr>
        <w:ind w:left="708" w:hanging="425"/>
      </w:pPr>
      <w:rPr>
        <w:rFonts w:hint="default" w:ascii="Times New Roman" w:hAnsi="Times New Roman" w:eastAsia="宋体"/>
        <w:b w:val="0"/>
        <w:i w:val="0"/>
        <w:sz w:val="30"/>
      </w:rPr>
    </w:lvl>
    <w:lvl w:ilvl="2" w:tentative="0">
      <w:start w:val="1"/>
      <w:numFmt w:val="decimal"/>
      <w:isLgl/>
      <w:lvlText w:val="%1.%2.%3"/>
      <w:lvlJc w:val="left"/>
      <w:pPr>
        <w:ind w:left="993" w:hanging="425"/>
      </w:pPr>
      <w:rPr>
        <w:rFonts w:hint="default" w:ascii="Times New Roman" w:hAnsi="Times New Roman" w:eastAsia="宋体"/>
        <w:b w:val="0"/>
        <w:i w:val="0"/>
        <w:sz w:val="28"/>
      </w:rPr>
    </w:lvl>
    <w:lvl w:ilvl="3" w:tentative="0">
      <w:start w:val="1"/>
      <w:numFmt w:val="decimal"/>
      <w:isLgl/>
      <w:lvlText w:val="%1.%2.%3.%4"/>
      <w:lvlJc w:val="left"/>
      <w:pPr>
        <w:ind w:left="1277" w:hanging="425"/>
      </w:pPr>
      <w:rPr>
        <w:rFonts w:hint="default" w:ascii="Times New Roman" w:hAnsi="Times New Roman" w:eastAsia="宋体"/>
        <w:b w:val="0"/>
        <w:i w:val="0"/>
        <w:sz w:val="28"/>
      </w:rPr>
    </w:lvl>
    <w:lvl w:ilvl="4" w:tentative="0">
      <w:start w:val="1"/>
      <w:numFmt w:val="decimal"/>
      <w:isLgl/>
      <w:lvlText w:val="%1.%2.%3.%4.%5"/>
      <w:lvlJc w:val="left"/>
      <w:pPr>
        <w:ind w:left="1561" w:hanging="425"/>
      </w:pPr>
      <w:rPr>
        <w:rFonts w:hint="default" w:ascii="Times New Roman" w:hAnsi="Times New Roman" w:eastAsia="宋体"/>
        <w:b w:val="0"/>
        <w:i w:val="0"/>
        <w:sz w:val="28"/>
      </w:rPr>
    </w:lvl>
    <w:lvl w:ilvl="5" w:tentative="0">
      <w:start w:val="1"/>
      <w:numFmt w:val="decimal"/>
      <w:lvlText w:val="%1.%2.%3.%4.%5.%6"/>
      <w:lvlJc w:val="left"/>
      <w:pPr>
        <w:ind w:left="1845" w:hanging="425"/>
      </w:pPr>
      <w:rPr>
        <w:rFonts w:hint="eastAsia"/>
      </w:rPr>
    </w:lvl>
    <w:lvl w:ilvl="6" w:tentative="0">
      <w:start w:val="1"/>
      <w:numFmt w:val="decimal"/>
      <w:lvlText w:val="%1.%2.%3.%4.%5.%6.%7"/>
      <w:lvlJc w:val="left"/>
      <w:pPr>
        <w:ind w:left="2129" w:hanging="425"/>
      </w:pPr>
      <w:rPr>
        <w:rFonts w:hint="eastAsia"/>
      </w:rPr>
    </w:lvl>
    <w:lvl w:ilvl="7" w:tentative="0">
      <w:start w:val="1"/>
      <w:numFmt w:val="decimal"/>
      <w:lvlText w:val="%1.%2.%3.%4.%5.%6.%7.%8"/>
      <w:lvlJc w:val="left"/>
      <w:pPr>
        <w:ind w:left="2413" w:hanging="425"/>
      </w:pPr>
      <w:rPr>
        <w:rFonts w:hint="eastAsia"/>
      </w:rPr>
    </w:lvl>
    <w:lvl w:ilvl="8" w:tentative="0">
      <w:start w:val="1"/>
      <w:numFmt w:val="decimal"/>
      <w:lvlText w:val="%1.%2.%3.%4.%5.%6.%7.%8.%9"/>
      <w:lvlJc w:val="left"/>
      <w:pPr>
        <w:ind w:left="2697" w:hanging="425"/>
      </w:pPr>
      <w:rPr>
        <w:rFonts w:hint="eastAsia"/>
      </w:rPr>
    </w:lvl>
  </w:abstractNum>
  <w:abstractNum w:abstractNumId="1">
    <w:nsid w:val="18A7B6B8"/>
    <w:multiLevelType w:val="singleLevel"/>
    <w:tmpl w:val="18A7B6B8"/>
    <w:lvl w:ilvl="0" w:tentative="0">
      <w:start w:val="6"/>
      <w:numFmt w:val="decimal"/>
      <w:lvlText w:val="%1."/>
      <w:lvlJc w:val="left"/>
      <w:pPr>
        <w:tabs>
          <w:tab w:val="left" w:pos="312"/>
        </w:tabs>
      </w:pPr>
    </w:lvl>
  </w:abstractNum>
  <w:abstractNum w:abstractNumId="2">
    <w:nsid w:val="193A4BF9"/>
    <w:multiLevelType w:val="singleLevel"/>
    <w:tmpl w:val="193A4BF9"/>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Tk5ZTkzOTRjZDY3OWU1MzU0YzVmNTc5OTExYjAifQ=="/>
  </w:docVars>
  <w:rsids>
    <w:rsidRoot w:val="00000000"/>
    <w:rsid w:val="0273635F"/>
    <w:rsid w:val="03E017D2"/>
    <w:rsid w:val="04602913"/>
    <w:rsid w:val="04B30C95"/>
    <w:rsid w:val="05C117AE"/>
    <w:rsid w:val="05D9297D"/>
    <w:rsid w:val="06913258"/>
    <w:rsid w:val="06EE1EC8"/>
    <w:rsid w:val="07100621"/>
    <w:rsid w:val="0751179B"/>
    <w:rsid w:val="0963712E"/>
    <w:rsid w:val="09A137B2"/>
    <w:rsid w:val="0A391C3C"/>
    <w:rsid w:val="0C394176"/>
    <w:rsid w:val="0C4E0CD2"/>
    <w:rsid w:val="0C741652"/>
    <w:rsid w:val="0CF32576"/>
    <w:rsid w:val="0D166265"/>
    <w:rsid w:val="0D470B14"/>
    <w:rsid w:val="0EE24651"/>
    <w:rsid w:val="0F5A4B2F"/>
    <w:rsid w:val="12AF6F40"/>
    <w:rsid w:val="12B502CE"/>
    <w:rsid w:val="138008DC"/>
    <w:rsid w:val="14E527CC"/>
    <w:rsid w:val="150B2427"/>
    <w:rsid w:val="154871D8"/>
    <w:rsid w:val="155B515D"/>
    <w:rsid w:val="1568787A"/>
    <w:rsid w:val="156C55BC"/>
    <w:rsid w:val="15B306C0"/>
    <w:rsid w:val="15D04B2E"/>
    <w:rsid w:val="15E05662"/>
    <w:rsid w:val="16CB1E6E"/>
    <w:rsid w:val="173C4B1A"/>
    <w:rsid w:val="179C7229"/>
    <w:rsid w:val="17AA5F28"/>
    <w:rsid w:val="17B14C6E"/>
    <w:rsid w:val="180513B0"/>
    <w:rsid w:val="1A4C32C6"/>
    <w:rsid w:val="1A593B4E"/>
    <w:rsid w:val="1B49187B"/>
    <w:rsid w:val="1B99253B"/>
    <w:rsid w:val="1BCE5231"/>
    <w:rsid w:val="1CCE5382"/>
    <w:rsid w:val="1DDF4451"/>
    <w:rsid w:val="1E5D3CF4"/>
    <w:rsid w:val="1EFA6C28"/>
    <w:rsid w:val="20E93F65"/>
    <w:rsid w:val="21030C47"/>
    <w:rsid w:val="2197576F"/>
    <w:rsid w:val="22D24584"/>
    <w:rsid w:val="24C62423"/>
    <w:rsid w:val="2536704D"/>
    <w:rsid w:val="25376459"/>
    <w:rsid w:val="25A246E2"/>
    <w:rsid w:val="26371CF4"/>
    <w:rsid w:val="269229A8"/>
    <w:rsid w:val="27800622"/>
    <w:rsid w:val="27F07987"/>
    <w:rsid w:val="29053906"/>
    <w:rsid w:val="29AA794B"/>
    <w:rsid w:val="29CA2459"/>
    <w:rsid w:val="2A3F1839"/>
    <w:rsid w:val="2B553156"/>
    <w:rsid w:val="2B8B4243"/>
    <w:rsid w:val="2B9B5E5B"/>
    <w:rsid w:val="2BAC01DB"/>
    <w:rsid w:val="2BC5247F"/>
    <w:rsid w:val="2ED51684"/>
    <w:rsid w:val="2F234797"/>
    <w:rsid w:val="2FB44057"/>
    <w:rsid w:val="2FE06533"/>
    <w:rsid w:val="301B3FE9"/>
    <w:rsid w:val="307373A7"/>
    <w:rsid w:val="309D14D3"/>
    <w:rsid w:val="30C26A6B"/>
    <w:rsid w:val="30E12562"/>
    <w:rsid w:val="31A83080"/>
    <w:rsid w:val="33721B98"/>
    <w:rsid w:val="33D86680"/>
    <w:rsid w:val="3405712C"/>
    <w:rsid w:val="348C6C89"/>
    <w:rsid w:val="34DF1731"/>
    <w:rsid w:val="34F07218"/>
    <w:rsid w:val="34F605A6"/>
    <w:rsid w:val="3519086E"/>
    <w:rsid w:val="3542559A"/>
    <w:rsid w:val="358A766C"/>
    <w:rsid w:val="35AB313F"/>
    <w:rsid w:val="37144D14"/>
    <w:rsid w:val="37225683"/>
    <w:rsid w:val="37294C63"/>
    <w:rsid w:val="375A4E1C"/>
    <w:rsid w:val="38325D99"/>
    <w:rsid w:val="38B95B73"/>
    <w:rsid w:val="3B732D30"/>
    <w:rsid w:val="3BDC6748"/>
    <w:rsid w:val="3CDA1C71"/>
    <w:rsid w:val="3DD25F46"/>
    <w:rsid w:val="3E0C36F7"/>
    <w:rsid w:val="3E4D56DB"/>
    <w:rsid w:val="3E810EE1"/>
    <w:rsid w:val="3E9055C8"/>
    <w:rsid w:val="3ED01E68"/>
    <w:rsid w:val="3EFB43C6"/>
    <w:rsid w:val="3F275F2C"/>
    <w:rsid w:val="3F5836E7"/>
    <w:rsid w:val="3F620D12"/>
    <w:rsid w:val="3FD246EB"/>
    <w:rsid w:val="401144E6"/>
    <w:rsid w:val="40704A37"/>
    <w:rsid w:val="40B90E06"/>
    <w:rsid w:val="40CA4C19"/>
    <w:rsid w:val="41407F3E"/>
    <w:rsid w:val="41D774D7"/>
    <w:rsid w:val="422C5607"/>
    <w:rsid w:val="429A64C9"/>
    <w:rsid w:val="42A725C4"/>
    <w:rsid w:val="44A43B7B"/>
    <w:rsid w:val="44E26451"/>
    <w:rsid w:val="451F304B"/>
    <w:rsid w:val="47AF4671"/>
    <w:rsid w:val="47EC1AC1"/>
    <w:rsid w:val="48D55E2D"/>
    <w:rsid w:val="4977360C"/>
    <w:rsid w:val="4B1901D4"/>
    <w:rsid w:val="4BA777A9"/>
    <w:rsid w:val="4BD44D46"/>
    <w:rsid w:val="4E016055"/>
    <w:rsid w:val="4F312B99"/>
    <w:rsid w:val="510707A4"/>
    <w:rsid w:val="51AA02F7"/>
    <w:rsid w:val="51BF4B7C"/>
    <w:rsid w:val="51DB6702"/>
    <w:rsid w:val="51E90E1F"/>
    <w:rsid w:val="52B458D1"/>
    <w:rsid w:val="52F16EC2"/>
    <w:rsid w:val="535B0380"/>
    <w:rsid w:val="537750EC"/>
    <w:rsid w:val="549403B5"/>
    <w:rsid w:val="56B23ED5"/>
    <w:rsid w:val="57914433"/>
    <w:rsid w:val="5792190C"/>
    <w:rsid w:val="57AA2DFF"/>
    <w:rsid w:val="57CE2F91"/>
    <w:rsid w:val="582B2191"/>
    <w:rsid w:val="584B708C"/>
    <w:rsid w:val="58B54151"/>
    <w:rsid w:val="590B2895"/>
    <w:rsid w:val="59194C02"/>
    <w:rsid w:val="59FB2037"/>
    <w:rsid w:val="5A682D95"/>
    <w:rsid w:val="5A6A372B"/>
    <w:rsid w:val="5C0C22DA"/>
    <w:rsid w:val="5C36795D"/>
    <w:rsid w:val="5C673CD8"/>
    <w:rsid w:val="5CBA3FF9"/>
    <w:rsid w:val="5D4B7476"/>
    <w:rsid w:val="5DB00DEF"/>
    <w:rsid w:val="5DDE3802"/>
    <w:rsid w:val="5E316028"/>
    <w:rsid w:val="5E9071F2"/>
    <w:rsid w:val="5ECD20BE"/>
    <w:rsid w:val="5EE72B8A"/>
    <w:rsid w:val="60940AF0"/>
    <w:rsid w:val="60DF2628"/>
    <w:rsid w:val="61243C22"/>
    <w:rsid w:val="62D81168"/>
    <w:rsid w:val="632A1297"/>
    <w:rsid w:val="633A3BD0"/>
    <w:rsid w:val="638C3D00"/>
    <w:rsid w:val="63E61662"/>
    <w:rsid w:val="649C7F73"/>
    <w:rsid w:val="64AE4599"/>
    <w:rsid w:val="64E04304"/>
    <w:rsid w:val="65010121"/>
    <w:rsid w:val="65AA1675"/>
    <w:rsid w:val="66157FDD"/>
    <w:rsid w:val="66233E32"/>
    <w:rsid w:val="664A166B"/>
    <w:rsid w:val="66BE68C6"/>
    <w:rsid w:val="67BB1356"/>
    <w:rsid w:val="683F3A37"/>
    <w:rsid w:val="68466B73"/>
    <w:rsid w:val="697856A5"/>
    <w:rsid w:val="69FB1CFB"/>
    <w:rsid w:val="6A2353BE"/>
    <w:rsid w:val="6A3F0C92"/>
    <w:rsid w:val="6A6F1D4A"/>
    <w:rsid w:val="6BB12556"/>
    <w:rsid w:val="6BEB6EF6"/>
    <w:rsid w:val="6BEE7E65"/>
    <w:rsid w:val="6BF95CAB"/>
    <w:rsid w:val="6CB03FDB"/>
    <w:rsid w:val="6D44403A"/>
    <w:rsid w:val="6DBE5BA3"/>
    <w:rsid w:val="6DC9627D"/>
    <w:rsid w:val="6E156E9E"/>
    <w:rsid w:val="6E2933E3"/>
    <w:rsid w:val="6F1277AF"/>
    <w:rsid w:val="6FEA072C"/>
    <w:rsid w:val="6FEA6982"/>
    <w:rsid w:val="6FEF565C"/>
    <w:rsid w:val="705F07D2"/>
    <w:rsid w:val="70E63558"/>
    <w:rsid w:val="713C71BC"/>
    <w:rsid w:val="715C7408"/>
    <w:rsid w:val="71CC702E"/>
    <w:rsid w:val="71CF4DFD"/>
    <w:rsid w:val="721D6B97"/>
    <w:rsid w:val="723C415D"/>
    <w:rsid w:val="72AC3A77"/>
    <w:rsid w:val="73C540DF"/>
    <w:rsid w:val="73EA02C7"/>
    <w:rsid w:val="75570914"/>
    <w:rsid w:val="76593F16"/>
    <w:rsid w:val="76CA524D"/>
    <w:rsid w:val="76DB2B7D"/>
    <w:rsid w:val="78737B8A"/>
    <w:rsid w:val="79030169"/>
    <w:rsid w:val="790B3540"/>
    <w:rsid w:val="79517126"/>
    <w:rsid w:val="7A637111"/>
    <w:rsid w:val="7A8C267C"/>
    <w:rsid w:val="7AA170F4"/>
    <w:rsid w:val="7B940588"/>
    <w:rsid w:val="7B9E7E5E"/>
    <w:rsid w:val="7BC61B4E"/>
    <w:rsid w:val="7E301A00"/>
    <w:rsid w:val="7EAA3560"/>
    <w:rsid w:val="7F9B0EA6"/>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numPr>
        <w:ilvl w:val="0"/>
        <w:numId w:val="1"/>
      </w:numPr>
      <w:spacing w:before="340" w:after="330" w:line="578" w:lineRule="auto"/>
      <w:ind w:firstLine="0" w:firstLineChars="0"/>
      <w:outlineLvl w:val="0"/>
    </w:pPr>
    <w:rPr>
      <w:bCs/>
      <w:kern w:val="44"/>
      <w:sz w:val="44"/>
      <w:szCs w:val="44"/>
    </w:rPr>
  </w:style>
  <w:style w:type="paragraph" w:styleId="3">
    <w:name w:val="heading 2"/>
    <w:basedOn w:val="1"/>
    <w:next w:val="1"/>
    <w:unhideWhenUsed/>
    <w:qFormat/>
    <w:uiPriority w:val="9"/>
    <w:pPr>
      <w:keepNext/>
      <w:keepLines/>
      <w:numPr>
        <w:ilvl w:val="1"/>
        <w:numId w:val="1"/>
      </w:numPr>
      <w:spacing w:before="260" w:after="260" w:line="416" w:lineRule="auto"/>
      <w:ind w:firstLine="0" w:firstLineChars="0"/>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3920" w:leftChars="1400"/>
    </w:pPr>
  </w:style>
  <w:style w:type="paragraph" w:styleId="7">
    <w:name w:val="Normal Indent"/>
    <w:basedOn w:val="1"/>
    <w:next w:val="1"/>
    <w:qFormat/>
    <w:uiPriority w:val="99"/>
    <w:pPr>
      <w:autoSpaceDE w:val="0"/>
      <w:autoSpaceDN w:val="0"/>
      <w:adjustRightInd w:val="0"/>
      <w:spacing w:line="240" w:lineRule="auto"/>
      <w:ind w:firstLine="420" w:firstLineChars="0"/>
      <w:contextualSpacing w:val="0"/>
      <w:jc w:val="left"/>
    </w:pPr>
    <w:rPr>
      <w:rFonts w:ascii="宋体" w:cs="宋体"/>
      <w:kern w:val="0"/>
      <w:szCs w:val="24"/>
    </w:rPr>
  </w:style>
  <w:style w:type="paragraph" w:styleId="8">
    <w:name w:val="index 6"/>
    <w:basedOn w:val="1"/>
    <w:next w:val="1"/>
    <w:qFormat/>
    <w:uiPriority w:val="99"/>
    <w:pPr>
      <w:ind w:left="2100"/>
    </w:pPr>
  </w:style>
  <w:style w:type="paragraph" w:styleId="9">
    <w:name w:val="Body Text"/>
    <w:basedOn w:val="1"/>
    <w:next w:val="1"/>
    <w:semiHidden/>
    <w:qFormat/>
    <w:uiPriority w:val="0"/>
    <w:rPr>
      <w:rFonts w:ascii="仿宋" w:hAnsi="仿宋" w:eastAsia="仿宋" w:cs="仿宋"/>
      <w:sz w:val="30"/>
      <w:szCs w:val="30"/>
      <w:lang w:val="en-US" w:eastAsia="en-US" w:bidi="ar-SA"/>
    </w:rPr>
  </w:style>
  <w:style w:type="paragraph" w:styleId="10">
    <w:name w:val="Plain Text"/>
    <w:basedOn w:val="1"/>
    <w:qFormat/>
    <w:uiPriority w:val="0"/>
    <w:pPr>
      <w:widowControl/>
      <w:jc w:val="left"/>
    </w:pPr>
    <w:rPr>
      <w:rFonts w:ascii="宋体" w:hAnsi="Courier New"/>
      <w:kern w:val="0"/>
      <w:sz w:val="24"/>
      <w:szCs w:val="20"/>
      <w:lang w:eastAsia="en-US"/>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正文缩进1"/>
    <w:basedOn w:val="1"/>
    <w:qFormat/>
    <w:uiPriority w:val="0"/>
    <w:pPr>
      <w:autoSpaceDE w:val="0"/>
      <w:autoSpaceDN w:val="0"/>
      <w:ind w:firstLine="420" w:firstLineChars="200"/>
      <w:jc w:val="left"/>
    </w:pPr>
    <w:rPr>
      <w:rFonts w:ascii="宋体" w:hAnsi="宋体" w:cs="宋体"/>
      <w:kern w:val="0"/>
      <w:sz w:val="22"/>
      <w:szCs w:val="22"/>
      <w:lang w:val="zh-CN" w:bidi="zh-CN"/>
    </w:rPr>
  </w:style>
  <w:style w:type="paragraph" w:customStyle="1" w:styleId="19">
    <w:name w:val="BodyText1I"/>
    <w:basedOn w:val="20"/>
    <w:qFormat/>
    <w:uiPriority w:val="0"/>
    <w:pPr>
      <w:spacing w:line="312" w:lineRule="auto"/>
      <w:ind w:firstLine="420"/>
    </w:pPr>
    <w:rPr>
      <w:rFonts w:ascii="Calibri" w:hAnsi="Calibri"/>
    </w:rPr>
  </w:style>
  <w:style w:type="paragraph" w:customStyle="1" w:styleId="20">
    <w:name w:val="BodyText"/>
    <w:basedOn w:val="1"/>
    <w:next w:val="21"/>
    <w:qFormat/>
    <w:uiPriority w:val="0"/>
    <w:pPr>
      <w:spacing w:after="120"/>
      <w:textAlignment w:val="baseline"/>
    </w:pPr>
  </w:style>
  <w:style w:type="paragraph" w:customStyle="1" w:styleId="21">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正文1"/>
    <w:qFormat/>
    <w:uiPriority w:val="0"/>
    <w:pPr>
      <w:widowControl w:val="0"/>
      <w:adjustRightInd w:val="0"/>
      <w:spacing w:line="360" w:lineRule="atLeast"/>
      <w:textAlignment w:val="baseline"/>
    </w:pPr>
    <w:rPr>
      <w:rFonts w:hint="eastAsia" w:ascii="宋体" w:hAnsi="Times New Roman" w:eastAsia="宋体" w:cs="Times New Roman"/>
      <w:sz w:val="34"/>
      <w:lang w:val="en-US" w:eastAsia="zh-CN" w:bidi="ar-SA"/>
    </w:rPr>
  </w:style>
  <w:style w:type="character" w:customStyle="1" w:styleId="24">
    <w:name w:val="font31"/>
    <w:basedOn w:val="16"/>
    <w:qFormat/>
    <w:uiPriority w:val="0"/>
    <w:rPr>
      <w:rFonts w:hint="eastAsia" w:ascii="宋体" w:hAnsi="宋体" w:eastAsia="宋体" w:cs="宋体"/>
      <w:color w:val="000000"/>
      <w:sz w:val="18"/>
      <w:szCs w:val="18"/>
      <w:u w:val="none"/>
    </w:rPr>
  </w:style>
  <w:style w:type="character" w:customStyle="1" w:styleId="25">
    <w:name w:val="font51"/>
    <w:basedOn w:val="16"/>
    <w:qFormat/>
    <w:uiPriority w:val="0"/>
    <w:rPr>
      <w:rFonts w:hint="eastAsia" w:ascii="宋体" w:hAnsi="宋体" w:eastAsia="宋体" w:cs="宋体"/>
      <w:b/>
      <w:bCs/>
      <w:color w:val="FF0000"/>
      <w:sz w:val="22"/>
      <w:szCs w:val="22"/>
      <w:u w:val="none"/>
    </w:rPr>
  </w:style>
  <w:style w:type="character" w:customStyle="1" w:styleId="26">
    <w:name w:val="font41"/>
    <w:basedOn w:val="16"/>
    <w:qFormat/>
    <w:uiPriority w:val="0"/>
    <w:rPr>
      <w:rFonts w:hint="eastAsia" w:ascii="宋体" w:hAnsi="宋体" w:eastAsia="宋体" w:cs="宋体"/>
      <w:color w:val="000000"/>
      <w:sz w:val="18"/>
      <w:szCs w:val="18"/>
      <w:u w:val="none"/>
    </w:rPr>
  </w:style>
  <w:style w:type="character" w:customStyle="1" w:styleId="27">
    <w:name w:val="font61"/>
    <w:basedOn w:val="16"/>
    <w:qFormat/>
    <w:uiPriority w:val="0"/>
    <w:rPr>
      <w:rFonts w:hint="eastAsia" w:ascii="宋体" w:hAnsi="宋体" w:eastAsia="宋体" w:cs="宋体"/>
      <w:color w:val="000000"/>
      <w:sz w:val="18"/>
      <w:szCs w:val="18"/>
      <w:u w:val="none"/>
      <w:vertAlign w:val="superscript"/>
    </w:rPr>
  </w:style>
  <w:style w:type="character" w:customStyle="1" w:styleId="28">
    <w:name w:val="font71"/>
    <w:basedOn w:val="16"/>
    <w:qFormat/>
    <w:uiPriority w:val="0"/>
    <w:rPr>
      <w:rFonts w:hint="eastAsia" w:ascii="宋体" w:hAnsi="宋体" w:eastAsia="宋体" w:cs="宋体"/>
      <w:b/>
      <w:bCs/>
      <w:color w:val="FF0000"/>
      <w:sz w:val="20"/>
      <w:szCs w:val="20"/>
      <w:u w:val="none"/>
    </w:rPr>
  </w:style>
  <w:style w:type="paragraph" w:customStyle="1" w:styleId="2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1439</Words>
  <Characters>1605</Characters>
  <Lines>0</Lines>
  <Paragraphs>0</Paragraphs>
  <TotalTime>15</TotalTime>
  <ScaleCrop>false</ScaleCrop>
  <LinksUpToDate>false</LinksUpToDate>
  <CharactersWithSpaces>1656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2024-03-22T04:03:00Z</dcterms:created>
  <dc:creator>24187</dc:creator>
  <cp:lastModifiedBy>WPS_1649738997</cp:lastModifiedBy>
  <cp:lastPrinted>2025-04-01T09:31:00Z</cp:lastPrinted>
  <dcterms:modified xsi:type="dcterms:W3CDTF">2025-06-30T10:12:28Z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8A355AD134054FB288CF8692FECF2F13_13</vt:lpwstr>
  </property>
  <property fmtid="{D5CDD505-2E9C-101B-9397-08002B2CF9AE}" pid="4" name="KSOTemplateDocerSaveRecord">
    <vt:lpwstr>eyJoZGlkIjoiNjQxNTk5ZTkzOTRjZDY3OWU1MzU0YzVmNTc5OTExYjAiLCJ1c2VySWQiOiIxMzU4OTg0Njk1In0=</vt:lpwstr>
  </property>
</Properties>
</file>