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昌吉职业技术学院体育教师劳保服项目采购需求</w:t>
      </w:r>
    </w:p>
    <w:p>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体育教师劳保服</w:t>
      </w:r>
      <w:r>
        <w:rPr>
          <w:rFonts w:hint="eastAsia" w:ascii="仿宋" w:hAnsi="仿宋" w:eastAsia="仿宋" w:cs="仿宋"/>
          <w:color w:val="auto"/>
          <w:spacing w:val="-6"/>
          <w:sz w:val="24"/>
          <w:szCs w:val="24"/>
        </w:rPr>
        <w:t>项目</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14400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color w:val="auto"/>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需求部门及</w:t>
      </w:r>
      <w:r>
        <w:rPr>
          <w:rStyle w:val="15"/>
          <w:rFonts w:hint="eastAsia" w:ascii="仿宋" w:hAnsi="仿宋" w:eastAsia="仿宋" w:cs="仿宋"/>
          <w:color w:val="auto"/>
          <w:sz w:val="24"/>
          <w:szCs w:val="24"/>
          <w:lang w:val="en-US" w:eastAsia="zh-CN" w:bidi="ar"/>
        </w:rPr>
        <w:t>经办人</w:t>
      </w:r>
      <w:r>
        <w:rPr>
          <w:rFonts w:hint="eastAsia" w:ascii="仿宋" w:hAnsi="仿宋" w:eastAsia="仿宋" w:cs="仿宋"/>
          <w:color w:val="auto"/>
          <w:sz w:val="24"/>
          <w:szCs w:val="24"/>
        </w:rPr>
        <w:t>联系方式：</w:t>
      </w:r>
      <w:r>
        <w:rPr>
          <w:rStyle w:val="14"/>
          <w:rFonts w:hint="eastAsia" w:ascii="仿宋" w:hAnsi="仿宋" w:eastAsia="仿宋" w:cs="仿宋"/>
          <w:color w:val="auto"/>
          <w:sz w:val="24"/>
          <w:szCs w:val="24"/>
          <w:lang w:val="en-US" w:eastAsia="zh-CN" w:bidi="ar"/>
        </w:rPr>
        <w:t xml:space="preserve">公共基础教育学院  张建晟 18196176696    </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w:t>
      </w:r>
      <w:r>
        <w:rPr>
          <w:rFonts w:hint="eastAsia" w:ascii="仿宋" w:hAnsi="仿宋" w:eastAsia="仿宋" w:cs="仿宋"/>
          <w:sz w:val="24"/>
          <w:szCs w:val="24"/>
          <w:lang w:val="en-US" w:eastAsia="zh-CN"/>
        </w:rPr>
        <w:t>现场踏勘证明、</w:t>
      </w:r>
      <w:r>
        <w:rPr>
          <w:rFonts w:hint="eastAsia" w:ascii="仿宋" w:hAnsi="仿宋" w:eastAsia="仿宋" w:cs="仿宋"/>
          <w:sz w:val="24"/>
          <w:szCs w:val="24"/>
        </w:rPr>
        <w:t>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1.为保证本项目按时按要求完成，必须现场踏勘样品，学校开具盖章踏勘证明，无证明或未盖章者视为不符合采购需求。（现场踏勘联系人张老师：18196176696，时间10:30-18:30）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5.完成时间：政采云成交后3个日历日内完成安装、调试。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6.付款方式：所有仪器设备安装调试完毕，经甲乙双方验收合格后45个工作日内付清合同款项。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 xml:space="preserve">昌吉职业技术学院新校区（昌吉高新技术产业开发区兴业大道8号）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9.其他说明：</w:t>
      </w:r>
      <w:r>
        <w:rPr>
          <w:rFonts w:hint="eastAsia" w:ascii="仿宋" w:hAnsi="仿宋" w:eastAsia="仿宋" w:cs="仿宋"/>
          <w:color w:val="auto"/>
          <w:kern w:val="2"/>
          <w:sz w:val="24"/>
          <w:szCs w:val="24"/>
          <w:lang w:val="en-US" w:eastAsia="zh-CN" w:bidi="ar-SA"/>
        </w:rPr>
        <w:t>此采购项目为交钥匙项目，报价含发票税费、运输、安装、调试、培训指导及其它所有费用。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质保期内由于设备本身问题无法使用，以旧换新。质保期后维修，按成本价收取维修，维护费用。</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2" w:firstLineChars="200"/>
        <w:textAlignment w:val="auto"/>
        <w:rPr>
          <w:rFonts w:hint="eastAsia"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auto"/>
          <w:kern w:val="0"/>
          <w:sz w:val="24"/>
          <w:szCs w:val="24"/>
          <w:u w:val="none"/>
          <w:lang w:val="en-US" w:eastAsia="zh-CN" w:bidi="ar"/>
        </w:rPr>
        <w:t>昌吉职业技术学院</w:t>
      </w:r>
      <w:r>
        <w:rPr>
          <w:rFonts w:hint="eastAsia" w:ascii="仿宋" w:hAnsi="仿宋" w:eastAsia="仿宋" w:cs="仿宋"/>
          <w:b/>
          <w:bCs w:val="0"/>
          <w:color w:val="auto"/>
          <w:sz w:val="24"/>
          <w:szCs w:val="24"/>
          <w:lang w:val="en-US" w:eastAsia="zh-CN"/>
        </w:rPr>
        <w:t>采购</w:t>
      </w:r>
      <w:r>
        <w:rPr>
          <w:rFonts w:hint="eastAsia" w:cs="仿宋"/>
          <w:b/>
          <w:bCs w:val="0"/>
          <w:color w:val="auto"/>
          <w:sz w:val="24"/>
          <w:szCs w:val="24"/>
          <w:lang w:val="en-US" w:eastAsia="zh-CN"/>
        </w:rPr>
        <w:t>报价单</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2" w:firstLineChars="200"/>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val="0"/>
          <w:color w:val="auto"/>
          <w:sz w:val="24"/>
          <w:szCs w:val="24"/>
          <w:lang w:val="en-US" w:eastAsia="zh-CN"/>
        </w:rPr>
        <w:t>附件2：</w:t>
      </w:r>
      <w:r>
        <w:rPr>
          <w:rFonts w:hint="eastAsia" w:ascii="仿宋" w:hAnsi="仿宋" w:eastAsia="仿宋" w:cs="仿宋"/>
          <w:b/>
          <w:bCs w:val="0"/>
          <w:color w:val="auto"/>
          <w:sz w:val="24"/>
          <w:szCs w:val="24"/>
        </w:rPr>
        <w:t>详细技术参数一览表</w:t>
      </w:r>
    </w:p>
    <w:p>
      <w:pPr>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昌吉职业技术学院采购报价单</w:t>
      </w:r>
    </w:p>
    <w:tbl>
      <w:tblPr>
        <w:tblStyle w:val="8"/>
        <w:tblW w:w="9691"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750"/>
      </w:tblGrid>
      <w:tr>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tblPrEx>
          <w:tblCellMar>
            <w:top w:w="0" w:type="dxa"/>
            <w:left w:w="0" w:type="dxa"/>
            <w:bottom w:w="0" w:type="dxa"/>
            <w:right w:w="0" w:type="dxa"/>
          </w:tblCellMar>
        </w:tblPrEx>
        <w:trPr>
          <w:trHeight w:val="181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Polo衫</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Anta kids中国CHINA运动polo衫深蓝色、安踏翻领透气商务通勤上衣152437146基础黑、安踏新款速干国家队教练polo衫深蓝色速干肩膀有字</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件</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18</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120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2160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r>
              <w:rPr>
                <w:rFonts w:hint="eastAsia" w:ascii="仿宋" w:hAnsi="仿宋" w:eastAsia="仿宋" w:cs="仿宋"/>
                <w:color w:val="FF0000"/>
                <w:sz w:val="22"/>
                <w:szCs w:val="22"/>
                <w:lang w:eastAsia="zh-CN"/>
              </w:rPr>
              <w:drawing>
                <wp:inline distT="0" distB="0" distL="114300" distR="114300">
                  <wp:extent cx="457200" cy="457200"/>
                  <wp:effectExtent l="0" t="0" r="0" b="0"/>
                  <wp:docPr id="2" name="图片 2" descr="1c03134e7e886e2c3c8dabff3e535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c03134e7e886e2c3c8dabff3e535d4c"/>
                          <pic:cNvPicPr>
                            <a:picLocks noChangeAspect="1"/>
                          </pic:cNvPicPr>
                        </pic:nvPicPr>
                        <pic:blipFill>
                          <a:blip r:embed="rId4"/>
                          <a:stretch>
                            <a:fillRect/>
                          </a:stretch>
                        </pic:blipFill>
                        <pic:spPr>
                          <a:xfrm>
                            <a:off x="0" y="0"/>
                            <a:ext cx="457200" cy="457200"/>
                          </a:xfrm>
                          <a:prstGeom prst="rect">
                            <a:avLst/>
                          </a:prstGeom>
                        </pic:spPr>
                      </pic:pic>
                    </a:graphicData>
                  </a:graphic>
                </wp:inline>
              </w:drawing>
            </w:r>
            <w:r>
              <w:rPr>
                <w:rFonts w:hint="eastAsia" w:ascii="仿宋" w:hAnsi="仿宋" w:eastAsia="仿宋" w:cs="仿宋"/>
                <w:color w:val="FF0000"/>
                <w:sz w:val="22"/>
                <w:szCs w:val="22"/>
                <w:lang w:eastAsia="zh-CN"/>
              </w:rPr>
              <w:drawing>
                <wp:inline distT="0" distB="0" distL="114300" distR="114300">
                  <wp:extent cx="514350" cy="514350"/>
                  <wp:effectExtent l="0" t="0" r="0" b="0"/>
                  <wp:docPr id="1" name="图片 1" descr="e01f3e52153bf1ba7b5690b7a2caa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1f3e52153bf1ba7b5690b7a2caad66"/>
                          <pic:cNvPicPr>
                            <a:picLocks noChangeAspect="1"/>
                          </pic:cNvPicPr>
                        </pic:nvPicPr>
                        <pic:blipFill>
                          <a:blip r:embed="rId5"/>
                          <a:stretch>
                            <a:fillRect/>
                          </a:stretch>
                        </pic:blipFill>
                        <pic:spPr>
                          <a:xfrm>
                            <a:off x="0" y="0"/>
                            <a:ext cx="514350" cy="514350"/>
                          </a:xfrm>
                          <a:prstGeom prst="rect">
                            <a:avLst/>
                          </a:prstGeom>
                        </pic:spPr>
                      </pic:pic>
                    </a:graphicData>
                  </a:graphic>
                </wp:inline>
              </w:drawing>
            </w:r>
          </w:p>
        </w:tc>
      </w:tr>
      <w:tr>
        <w:tblPrEx>
          <w:tblCellMar>
            <w:top w:w="0" w:type="dxa"/>
            <w:left w:w="0" w:type="dxa"/>
            <w:bottom w:w="0" w:type="dxa"/>
            <w:right w:w="0" w:type="dxa"/>
          </w:tblCellMar>
        </w:tblPrEx>
        <w:trPr>
          <w:trHeight w:val="2037"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运动服</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李宁25年新款赞助国家队荣耀国旗服行政夹克外套马龙许昕刘诗雯同款、李宁AFDV273-1深幽蓝、李宁2025赞助国家队系列商务官员运动户外夹克风衣开衫黑色男士H97-1</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件</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11700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r>
              <w:rPr>
                <w:rFonts w:hint="eastAsia" w:ascii="仿宋" w:hAnsi="仿宋" w:eastAsia="仿宋" w:cs="仿宋"/>
                <w:color w:val="FF0000"/>
                <w:sz w:val="22"/>
                <w:szCs w:val="22"/>
                <w:lang w:eastAsia="zh-CN"/>
              </w:rPr>
              <w:drawing>
                <wp:inline distT="0" distB="0" distL="114300" distR="114300">
                  <wp:extent cx="511810" cy="511810"/>
                  <wp:effectExtent l="0" t="0" r="2540" b="2540"/>
                  <wp:docPr id="5" name="图片 5" descr="276e4f663d6f4c2f392acc5711260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6e4f663d6f4c2f392acc5711260d18"/>
                          <pic:cNvPicPr>
                            <a:picLocks noChangeAspect="1"/>
                          </pic:cNvPicPr>
                        </pic:nvPicPr>
                        <pic:blipFill>
                          <a:blip r:embed="rId6"/>
                          <a:stretch>
                            <a:fillRect/>
                          </a:stretch>
                        </pic:blipFill>
                        <pic:spPr>
                          <a:xfrm>
                            <a:off x="0" y="0"/>
                            <a:ext cx="511810" cy="511810"/>
                          </a:xfrm>
                          <a:prstGeom prst="rect">
                            <a:avLst/>
                          </a:prstGeom>
                        </pic:spPr>
                      </pic:pic>
                    </a:graphicData>
                  </a:graphic>
                </wp:inline>
              </w:drawing>
            </w:r>
            <w:r>
              <w:rPr>
                <w:rFonts w:hint="eastAsia" w:ascii="仿宋" w:hAnsi="仿宋" w:eastAsia="仿宋" w:cs="仿宋"/>
                <w:color w:val="FF0000"/>
                <w:sz w:val="22"/>
                <w:szCs w:val="22"/>
                <w:lang w:eastAsia="zh-CN"/>
              </w:rPr>
              <w:drawing>
                <wp:inline distT="0" distB="0" distL="114300" distR="114300">
                  <wp:extent cx="535940" cy="714375"/>
                  <wp:effectExtent l="0" t="0" r="16510" b="9525"/>
                  <wp:docPr id="3" name="图片 3" descr="5b995acbb73c773107c0d06663d1a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995acbb73c773107c0d06663d1a4ec"/>
                          <pic:cNvPicPr>
                            <a:picLocks noChangeAspect="1"/>
                          </pic:cNvPicPr>
                        </pic:nvPicPr>
                        <pic:blipFill>
                          <a:blip r:embed="rId7"/>
                          <a:stretch>
                            <a:fillRect/>
                          </a:stretch>
                        </pic:blipFill>
                        <pic:spPr>
                          <a:xfrm>
                            <a:off x="0" y="0"/>
                            <a:ext cx="535940" cy="714375"/>
                          </a:xfrm>
                          <a:prstGeom prst="rect">
                            <a:avLst/>
                          </a:prstGeom>
                        </pic:spPr>
                      </pic:pic>
                    </a:graphicData>
                  </a:graphic>
                </wp:inline>
              </w:drawing>
            </w:r>
          </w:p>
        </w:tc>
      </w:tr>
      <w:tr>
        <w:tblPrEx>
          <w:tblCellMar>
            <w:top w:w="0" w:type="dxa"/>
            <w:left w:w="0" w:type="dxa"/>
            <w:bottom w:w="0" w:type="dxa"/>
            <w:right w:w="0" w:type="dxa"/>
          </w:tblCellMar>
        </w:tblPrEx>
        <w:trPr>
          <w:trHeight w:val="119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运动袜</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准者实战级磨炼2篮球毛巾底加厚吸汗减震W-08-1、安踏夏季棉质吸汗透气中长袜、耐克速干中筒SX7676</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双</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1080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r>
              <w:rPr>
                <w:rFonts w:hint="eastAsia" w:ascii="仿宋" w:hAnsi="仿宋" w:eastAsia="仿宋" w:cs="仿宋"/>
                <w:color w:val="FF0000"/>
                <w:sz w:val="22"/>
                <w:szCs w:val="22"/>
                <w:lang w:eastAsia="zh-CN"/>
              </w:rPr>
              <w:drawing>
                <wp:inline distT="0" distB="0" distL="114300" distR="114300">
                  <wp:extent cx="453390" cy="453390"/>
                  <wp:effectExtent l="0" t="0" r="3810" b="3810"/>
                  <wp:docPr id="6" name="图片 6" descr="38c23a00a21670489c62f1239084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8c23a00a21670489c62f12390845449"/>
                          <pic:cNvPicPr>
                            <a:picLocks noChangeAspect="1"/>
                          </pic:cNvPicPr>
                        </pic:nvPicPr>
                        <pic:blipFill>
                          <a:blip r:embed="rId8"/>
                          <a:stretch>
                            <a:fillRect/>
                          </a:stretch>
                        </pic:blipFill>
                        <pic:spPr>
                          <a:xfrm>
                            <a:off x="0" y="0"/>
                            <a:ext cx="453390" cy="453390"/>
                          </a:xfrm>
                          <a:prstGeom prst="rect">
                            <a:avLst/>
                          </a:prstGeom>
                        </pic:spPr>
                      </pic:pic>
                    </a:graphicData>
                  </a:graphic>
                </wp:inline>
              </w:drawing>
            </w:r>
          </w:p>
        </w:tc>
      </w:tr>
      <w:tr>
        <w:tblPrEx>
          <w:tblCellMar>
            <w:top w:w="0" w:type="dxa"/>
            <w:left w:w="0" w:type="dxa"/>
            <w:bottom w:w="0" w:type="dxa"/>
            <w:right w:w="0" w:type="dxa"/>
          </w:tblCellMar>
        </w:tblPrEx>
        <w:trPr>
          <w:trHeight w:val="901"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93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lang w:val="en-US"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88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lang w:val="en-US"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FF0000"/>
                <w:kern w:val="0"/>
                <w:sz w:val="24"/>
                <w:szCs w:val="24"/>
                <w:lang w:val="en-US" w:eastAsia="zh-CN" w:bidi="ar"/>
              </w:rPr>
            </w:pPr>
            <w:r>
              <w:rPr>
                <w:rFonts w:hint="eastAsia" w:ascii="仿宋" w:hAnsi="仿宋" w:eastAsia="仿宋" w:cs="仿宋"/>
                <w:color w:val="auto"/>
                <w:kern w:val="0"/>
                <w:sz w:val="24"/>
                <w:szCs w:val="24"/>
                <w:lang w:val="en-US" w:eastAsia="zh-CN" w:bidi="ar"/>
              </w:rPr>
              <w:t>14400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4"/>
                <w:szCs w:val="24"/>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bidi="ar"/>
        </w:rPr>
      </w:pPr>
      <w:bookmarkStart w:id="0" w:name="_GoBack"/>
      <w:bookmarkEnd w:id="0"/>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CEB3B5C-B0B7-445A-999D-7E8739F1E41E}"/>
  </w:font>
  <w:font w:name="方正小标宋_GBK">
    <w:panose1 w:val="02000000000000000000"/>
    <w:charset w:val="86"/>
    <w:family w:val="auto"/>
    <w:pitch w:val="default"/>
    <w:sig w:usb0="A00002BF" w:usb1="38CF7CFA" w:usb2="00082016" w:usb3="00000000" w:csb0="00040001" w:csb1="00000000"/>
    <w:embedRegular r:id="rId2" w:fontKey="{DD3C487B-0D15-4339-A7E8-DD2A26FFD6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1116CA3"/>
    <w:rsid w:val="192E4957"/>
    <w:rsid w:val="203F3DE0"/>
    <w:rsid w:val="22521B69"/>
    <w:rsid w:val="22CD3A86"/>
    <w:rsid w:val="2B09004E"/>
    <w:rsid w:val="349537A1"/>
    <w:rsid w:val="35421FFD"/>
    <w:rsid w:val="36FE2A72"/>
    <w:rsid w:val="3C161465"/>
    <w:rsid w:val="3F82607D"/>
    <w:rsid w:val="41957886"/>
    <w:rsid w:val="4E7B4633"/>
    <w:rsid w:val="534F368B"/>
    <w:rsid w:val="543D781D"/>
    <w:rsid w:val="5CEC1CBC"/>
    <w:rsid w:val="5EA02A19"/>
    <w:rsid w:val="621122AA"/>
    <w:rsid w:val="6944379E"/>
    <w:rsid w:val="698B2A9D"/>
    <w:rsid w:val="69BC1001"/>
    <w:rsid w:val="6CB0546C"/>
    <w:rsid w:val="6CBB42CD"/>
    <w:rsid w:val="6EE201B7"/>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2111</Words>
  <Characters>2273</Characters>
  <Paragraphs>738</Paragraphs>
  <TotalTime>85</TotalTime>
  <ScaleCrop>false</ScaleCrop>
  <LinksUpToDate>false</LinksUpToDate>
  <CharactersWithSpaces>2332</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cp:lastPrinted>2025-05-09T06:34:00Z</cp:lastPrinted>
  <dcterms:modified xsi:type="dcterms:W3CDTF">2025-06-12T04:27:22Z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y fmtid="{D5CDD505-2E9C-101B-9397-08002B2CF9AE}" pid="4" name="KSOTemplateDocerSaveRecord">
    <vt:lpwstr>eyJoZGlkIjoiYzIzYmFkM2Q2MDIzMjVhZWVkMTJjZTY0MmVlODczMWQiLCJ1c2VySWQiOiIzNDg4OTMwNTcifQ==</vt:lpwstr>
  </property>
</Properties>
</file>