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rPr>
        <w:t>昌吉职业技术</w:t>
      </w:r>
      <w:r>
        <w:rPr>
          <w:rFonts w:hint="eastAsia" w:ascii="黑体" w:hAnsi="黑体" w:eastAsia="黑体" w:cs="黑体"/>
          <w:color w:val="auto"/>
          <w:sz w:val="32"/>
          <w:szCs w:val="32"/>
        </w:rPr>
        <w:t>学院</w:t>
      </w:r>
      <w:r>
        <w:rPr>
          <w:rFonts w:hint="eastAsia" w:ascii="黑体" w:hAnsi="黑体" w:eastAsia="黑体" w:cs="黑体"/>
          <w:color w:val="auto"/>
          <w:sz w:val="32"/>
          <w:szCs w:val="32"/>
          <w:lang w:eastAsia="zh-CN"/>
        </w:rPr>
        <w:t>昌吉州工匠学院</w:t>
      </w:r>
      <w:r>
        <w:rPr>
          <w:rFonts w:hint="eastAsia" w:ascii="黑体" w:hAnsi="黑体" w:eastAsia="黑体" w:cs="黑体"/>
          <w:color w:val="auto"/>
          <w:sz w:val="32"/>
          <w:szCs w:val="32"/>
          <w:lang w:val="en-US" w:eastAsia="zh-CN"/>
        </w:rPr>
        <w:t>项目工作室封窗户采购需求</w:t>
      </w:r>
    </w:p>
    <w:p>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昌吉州工匠学院</w:t>
      </w:r>
      <w:r>
        <w:rPr>
          <w:rFonts w:hint="eastAsia" w:ascii="仿宋" w:hAnsi="仿宋" w:eastAsia="仿宋" w:cs="仿宋"/>
          <w:color w:val="auto"/>
          <w:spacing w:val="-6"/>
          <w:sz w:val="24"/>
          <w:szCs w:val="24"/>
        </w:rPr>
        <w:t>项目</w:t>
      </w:r>
      <w:r>
        <w:rPr>
          <w:rFonts w:hint="eastAsia" w:ascii="仿宋" w:hAnsi="仿宋" w:eastAsia="仿宋" w:cs="仿宋"/>
          <w:color w:val="auto"/>
          <w:spacing w:val="-6"/>
          <w:sz w:val="24"/>
          <w:szCs w:val="24"/>
          <w:lang w:eastAsia="zh-CN"/>
        </w:rPr>
        <w:t>工作室封窗户</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4000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color w:val="auto"/>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需求部门及</w:t>
      </w:r>
      <w:r>
        <w:rPr>
          <w:rStyle w:val="15"/>
          <w:rFonts w:hint="eastAsia" w:ascii="仿宋" w:hAnsi="仿宋" w:eastAsia="仿宋" w:cs="仿宋"/>
          <w:sz w:val="24"/>
          <w:szCs w:val="24"/>
          <w:lang w:val="en-US" w:eastAsia="zh-CN" w:bidi="ar"/>
        </w:rPr>
        <w:t>经办人</w:t>
      </w: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科研处</w:t>
      </w:r>
      <w:r>
        <w:rPr>
          <w:rStyle w:val="14"/>
          <w:rFonts w:hint="eastAsia" w:ascii="仿宋" w:hAnsi="仿宋" w:eastAsia="仿宋" w:cs="仿宋"/>
          <w:color w:val="auto"/>
          <w:sz w:val="24"/>
          <w:szCs w:val="24"/>
          <w:lang w:val="en-US" w:eastAsia="zh-CN" w:bidi="ar"/>
        </w:rPr>
        <w:t xml:space="preserve">  曹忠 13899667887    </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5.完成时间：政采云成交后10个日历日内完成封窗。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6.付款方式：所有封窗户完毕后，经甲乙双方验收合格后30个工作日内付清合同款项。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7.质保期：壹年。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昌吉职业技术学院新校区（昌吉高新技术产业开发区兴业大道8号）</w:t>
      </w:r>
      <w:r>
        <w:rPr>
          <w:rFonts w:hint="eastAsia" w:ascii="仿宋" w:hAnsi="仿宋" w:eastAsia="仿宋" w:cs="仿宋"/>
          <w:color w:val="FF000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9.其他说明：</w:t>
      </w:r>
      <w:r>
        <w:rPr>
          <w:rFonts w:hint="eastAsia" w:ascii="仿宋" w:hAnsi="仿宋" w:eastAsia="仿宋" w:cs="仿宋"/>
          <w:color w:val="auto"/>
          <w:kern w:val="2"/>
          <w:sz w:val="24"/>
          <w:szCs w:val="24"/>
          <w:lang w:val="en-US" w:eastAsia="zh-CN" w:bidi="ar-SA"/>
        </w:rPr>
        <w:t>此采购项目为交钥匙项目，报价含发票税费、运输、安装、封闭及其它所有费用。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窗户及相关配件的风险自窗户安装完成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1.产品合格证书及其它应当随附的技术资料；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2.该次窗户的招、投标文件中涉及质量、技术、服务、鉴定、检验及验收的全部相关内容或其所指引的内容；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3.窗户安装完成后，密封性、牢固性等指标符合相关标准，无明显缝隙、松动等问题；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Hans"/>
        </w:rPr>
        <w:t>甲方所购买的</w:t>
      </w:r>
      <w:r>
        <w:rPr>
          <w:rFonts w:hint="eastAsia" w:ascii="仿宋" w:hAnsi="仿宋" w:eastAsia="仿宋" w:cs="仿宋"/>
          <w:color w:val="auto"/>
          <w:sz w:val="24"/>
          <w:szCs w:val="24"/>
          <w:lang w:val="en-US" w:eastAsia="zh-CN"/>
        </w:rPr>
        <w:t>封闭窗户所需物品</w:t>
      </w:r>
      <w:r>
        <w:rPr>
          <w:rFonts w:hint="eastAsia" w:ascii="仿宋" w:hAnsi="仿宋" w:eastAsia="仿宋" w:cs="仿宋"/>
          <w:color w:val="auto"/>
          <w:sz w:val="24"/>
          <w:szCs w:val="24"/>
          <w:lang w:val="en-US" w:eastAsia="zh-Hans"/>
        </w:rPr>
        <w:t>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售后服务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窗户安装完成，甲乙双方验收合格，从验收合格之日起，提供一年免费质保。质量保证期自项目安装调试验收合格之日起计算。质保期内: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a. 乙方提供 24 小时技术服务响应。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b. 窗户出现问题时，乙方技术人员 4 小时到达甲方现场，6 小时内进行修复，以保证窗户正常使用。若问题临时无法修复，24 小时内提供替代方案，确保窗户使用不受影响。修复完成，须确保窗户各项功能正常。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c. 乙方提供 1 套窗户使用及保养说明等技术资料。质保期内由于窗户本身质量问题无法正常使用，免费更换。质保期后维修，按成本价收取维修、维护费用。</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000000"/>
          <w:kern w:val="0"/>
          <w:sz w:val="24"/>
          <w:szCs w:val="24"/>
          <w:u w:val="none"/>
          <w:lang w:val="en-US" w:eastAsia="zh-CN" w:bidi="ar"/>
        </w:rPr>
        <w:t>昌吉职业技术学院</w:t>
      </w:r>
      <w:r>
        <w:rPr>
          <w:rFonts w:hint="eastAsia" w:ascii="仿宋" w:hAnsi="仿宋" w:eastAsia="仿宋" w:cs="仿宋"/>
          <w:b/>
          <w:bCs w:val="0"/>
          <w:color w:val="auto"/>
          <w:sz w:val="24"/>
          <w:szCs w:val="24"/>
          <w:lang w:val="en-US" w:eastAsia="zh-CN"/>
        </w:rPr>
        <w:t>采购审批表</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2" w:firstLineChars="20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val="0"/>
          <w:color w:val="auto"/>
          <w:sz w:val="24"/>
          <w:szCs w:val="24"/>
          <w:lang w:val="en-US" w:eastAsia="zh-CN"/>
        </w:rPr>
        <w:t>附件2：</w:t>
      </w:r>
      <w:r>
        <w:rPr>
          <w:rFonts w:hint="eastAsia" w:ascii="仿宋" w:hAnsi="仿宋" w:eastAsia="仿宋" w:cs="仿宋"/>
          <w:b/>
          <w:bCs w:val="0"/>
          <w:color w:val="auto"/>
          <w:sz w:val="24"/>
          <w:szCs w:val="24"/>
        </w:rPr>
        <w:t>详细技术参数一览表</w:t>
      </w: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昌吉职业技术学院采购审批表</w:t>
      </w:r>
    </w:p>
    <w:tbl>
      <w:tblPr>
        <w:tblStyle w:val="8"/>
        <w:tblW w:w="9691"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750"/>
      </w:tblGrid>
      <w:tr>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tblPrEx>
          <w:tblCellMar>
            <w:top w:w="0" w:type="dxa"/>
            <w:left w:w="0" w:type="dxa"/>
            <w:bottom w:w="0" w:type="dxa"/>
            <w:right w:w="0" w:type="dxa"/>
          </w:tblCellMar>
        </w:tblPrEx>
        <w:trPr>
          <w:trHeight w:val="53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eastAsia="zh-CN"/>
              </w:rPr>
            </w:pPr>
            <w:r>
              <w:rPr>
                <w:rFonts w:hint="eastAsia" w:ascii="仿宋" w:hAnsi="仿宋" w:eastAsia="仿宋" w:cs="仿宋"/>
                <w:color w:val="000000" w:themeColor="text1"/>
                <w:sz w:val="22"/>
                <w:szCs w:val="22"/>
                <w:lang w:eastAsia="zh-CN"/>
                <w14:textFill>
                  <w14:solidFill>
                    <w14:schemeClr w14:val="tx1"/>
                  </w14:solidFill>
                </w14:textFill>
              </w:rPr>
              <w:t>封窗户</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4.19*2.1m</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块</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1537"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r>
              <w:drawing>
                <wp:inline distT="0" distB="0" distL="114300" distR="114300">
                  <wp:extent cx="1837055" cy="93916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37055" cy="939165"/>
                          </a:xfrm>
                          <a:prstGeom prst="rect">
                            <a:avLst/>
                          </a:prstGeom>
                          <a:noFill/>
                          <a:ln w="9525">
                            <a:noFill/>
                          </a:ln>
                        </pic:spPr>
                      </pic:pic>
                    </a:graphicData>
                  </a:graphic>
                </wp:inline>
              </w:drawing>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563"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FF0000"/>
                <w:kern w:val="0"/>
                <w:sz w:val="24"/>
                <w:szCs w:val="24"/>
                <w:lang w:val="en-US" w:eastAsia="zh-CN" w:bidi="ar"/>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4000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4"/>
                <w:szCs w:val="24"/>
                <w:lang w:eastAsia="zh-CN"/>
              </w:rPr>
            </w:pPr>
          </w:p>
        </w:tc>
      </w:tr>
      <w:tr>
        <w:tblPrEx>
          <w:tblCellMar>
            <w:top w:w="0" w:type="dxa"/>
            <w:left w:w="0" w:type="dxa"/>
            <w:bottom w:w="0" w:type="dxa"/>
            <w:right w:w="0" w:type="dxa"/>
          </w:tblCellMar>
        </w:tblPrEx>
        <w:trPr>
          <w:trHeight w:val="2084" w:hRule="exact"/>
        </w:trPr>
        <w:tc>
          <w:tcPr>
            <w:tcW w:w="2885"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经办人签字： </w:t>
            </w:r>
          </w:p>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部门领导签字：</w:t>
            </w:r>
          </w:p>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 xml:space="preserve">          年   月   日</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24"/>
                <w:szCs w:val="24"/>
                <w:lang w:val="en-US" w:eastAsia="zh-CN"/>
              </w:rPr>
            </w:pPr>
          </w:p>
        </w:tc>
        <w:tc>
          <w:tcPr>
            <w:tcW w:w="3431"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计财处审核：</w:t>
            </w:r>
          </w:p>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p>
        </w:tc>
        <w:tc>
          <w:tcPr>
            <w:tcW w:w="3375"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总务处审核：</w:t>
            </w:r>
          </w:p>
          <w:p>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             </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详细技术参数一览表</w:t>
      </w:r>
    </w:p>
    <w:tbl>
      <w:tblPr>
        <w:tblStyle w:val="8"/>
        <w:tblpPr w:leftFromText="180" w:rightFromText="180" w:vertAnchor="text" w:horzAnchor="page" w:tblpX="1107" w:tblpY="118"/>
        <w:tblOverlap w:val="never"/>
        <w:tblW w:w="9674" w:type="dxa"/>
        <w:tblInd w:w="0" w:type="dxa"/>
        <w:tblLayout w:type="fixed"/>
        <w:tblCellMar>
          <w:top w:w="0" w:type="dxa"/>
          <w:left w:w="0" w:type="dxa"/>
          <w:bottom w:w="0" w:type="dxa"/>
          <w:right w:w="0" w:type="dxa"/>
        </w:tblCellMar>
      </w:tblPr>
      <w:tblGrid>
        <w:gridCol w:w="675"/>
        <w:gridCol w:w="1050"/>
        <w:gridCol w:w="7949"/>
      </w:tblGrid>
      <w:tr>
        <w:tblPrEx>
          <w:tblCellMar>
            <w:top w:w="0" w:type="dxa"/>
            <w:left w:w="0" w:type="dxa"/>
            <w:bottom w:w="0" w:type="dxa"/>
            <w:right w:w="0" w:type="dxa"/>
          </w:tblCellMar>
        </w:tblPrEx>
        <w:trPr>
          <w:trHeight w:val="468"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kern w:val="0"/>
                <w:sz w:val="22"/>
                <w:szCs w:val="22"/>
                <w:lang w:eastAsia="zh-CN" w:bidi="ar"/>
              </w:rPr>
              <w:t>品名</w:t>
            </w:r>
          </w:p>
        </w:tc>
        <w:tc>
          <w:tcPr>
            <w:tcW w:w="7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lang w:val="en-US" w:eastAsia="zh-CN" w:bidi="ar"/>
              </w:rPr>
              <w:t>技术参数</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封窗户</w:t>
            </w:r>
          </w:p>
        </w:tc>
        <w:tc>
          <w:tcPr>
            <w:tcW w:w="7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7"/>
              <w:keepNext w:val="0"/>
              <w:keepLines w:val="0"/>
              <w:pageBreakBefore w:val="0"/>
              <w:kinsoku/>
              <w:wordWrap/>
              <w:overflowPunct/>
              <w:topLinePunct w:val="0"/>
              <w:autoSpaceDE/>
              <w:autoSpaceDN/>
              <w:bidi w:val="0"/>
              <w:adjustRightInd/>
              <w:snapToGrid/>
              <w:spacing w:after="0" w:line="300" w:lineRule="exact"/>
              <w:ind w:left="0" w:leftChars="0" w:firstLine="0" w:firstLineChars="0"/>
              <w:jc w:val="left"/>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 xml:space="preserve"> PVC材质，规格4.19*2.1m</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bidi="ar"/>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AEFFBF-705C-4AF8-A6B8-18E04E7C51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D14153F-D132-4F78-9348-E32301E4491B}"/>
  </w:font>
  <w:font w:name="方正小标宋_GBK">
    <w:panose1 w:val="02000000000000000000"/>
    <w:charset w:val="86"/>
    <w:family w:val="auto"/>
    <w:pitch w:val="default"/>
    <w:sig w:usb0="A00002BF" w:usb1="38CF7CFA" w:usb2="00082016" w:usb3="00000000" w:csb0="00040001" w:csb1="00000000"/>
    <w:embedRegular r:id="rId3" w:fontKey="{9867A2B5-A4B7-48CB-9BED-E98570E52A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ZTMyM2VhNjVlZjVjNWQwMzY3NjMzMGIwMGEyOTMifQ=="/>
  </w:docVars>
  <w:rsids>
    <w:rsidRoot w:val="00000000"/>
    <w:rsid w:val="0FBF00CF"/>
    <w:rsid w:val="192E4957"/>
    <w:rsid w:val="203F3DE0"/>
    <w:rsid w:val="22521B69"/>
    <w:rsid w:val="22CD3A86"/>
    <w:rsid w:val="2B09004E"/>
    <w:rsid w:val="2EDD656F"/>
    <w:rsid w:val="349537A1"/>
    <w:rsid w:val="35421FFD"/>
    <w:rsid w:val="36FE2A72"/>
    <w:rsid w:val="3C161465"/>
    <w:rsid w:val="41957886"/>
    <w:rsid w:val="4E7B4633"/>
    <w:rsid w:val="4FAB5E48"/>
    <w:rsid w:val="530A7BF6"/>
    <w:rsid w:val="534F368B"/>
    <w:rsid w:val="543D781D"/>
    <w:rsid w:val="59AA66DD"/>
    <w:rsid w:val="5CEC1CBC"/>
    <w:rsid w:val="5EA02A19"/>
    <w:rsid w:val="621122AA"/>
    <w:rsid w:val="698B2A9D"/>
    <w:rsid w:val="69BC1001"/>
    <w:rsid w:val="6CB0546C"/>
    <w:rsid w:val="6CBB42CD"/>
    <w:rsid w:val="6E29376C"/>
    <w:rsid w:val="71785EE7"/>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2159</Words>
  <Characters>2410</Characters>
  <Paragraphs>738</Paragraphs>
  <TotalTime>96</TotalTime>
  <ScaleCrop>false</ScaleCrop>
  <LinksUpToDate>false</LinksUpToDate>
  <CharactersWithSpaces>2502</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cp:lastPrinted>2025-02-14T04:20:00Z</cp:lastPrinted>
  <dcterms:modified xsi:type="dcterms:W3CDTF">2025-02-28T03:12:20Z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y fmtid="{D5CDD505-2E9C-101B-9397-08002B2CF9AE}" pid="4" name="KSOTemplateDocerSaveRecord">
    <vt:lpwstr>eyJoZGlkIjoiNWY3NzFhYWU5MzhhNDFiMjQ3MDE1ZWMwZmIwNzNkM2EiLCJ1c2VySWQiOiI0Njg0NzE5MDAifQ==</vt:lpwstr>
  </property>
</Properties>
</file>