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283D8164" w:rsidR="007B356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w:t>
      </w:r>
      <w:r w:rsidR="009B1867" w:rsidRPr="009B1867">
        <w:rPr>
          <w:rFonts w:ascii="方正小标宋简体" w:eastAsia="方正小标宋简体" w:hAnsi="方正小标宋简体" w:cs="方正小标宋简体" w:hint="eastAsia"/>
          <w:sz w:val="32"/>
          <w:szCs w:val="32"/>
        </w:rPr>
        <w:t>中职工程测量</w:t>
      </w:r>
      <w:r>
        <w:rPr>
          <w:rFonts w:ascii="方正小标宋简体" w:eastAsia="方正小标宋简体" w:hAnsi="方正小标宋简体" w:cs="方正小标宋简体" w:hint="eastAsia"/>
          <w:sz w:val="32"/>
          <w:szCs w:val="32"/>
        </w:rPr>
        <w:t>赛项采购需求</w:t>
      </w:r>
    </w:p>
    <w:p w14:paraId="3F27AFC0" w14:textId="77777777" w:rsidR="007B3562" w:rsidRDefault="007B3562">
      <w:pPr>
        <w:jc w:val="center"/>
        <w:rPr>
          <w:rFonts w:ascii="黑体" w:eastAsia="黑体" w:hAnsi="黑体" w:cs="黑体" w:hint="eastAsia"/>
          <w:sz w:val="32"/>
          <w:szCs w:val="32"/>
        </w:rPr>
      </w:pPr>
    </w:p>
    <w:p w14:paraId="155B592A" w14:textId="77777777" w:rsidR="007B356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243AAFCB" w:rsidR="007B356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9B1867" w:rsidRPr="009B1867">
        <w:rPr>
          <w:rFonts w:ascii="仿宋" w:eastAsia="仿宋" w:hAnsi="仿宋" w:cs="仿宋" w:hint="eastAsia"/>
          <w:spacing w:val="-6"/>
          <w:sz w:val="24"/>
          <w:szCs w:val="24"/>
        </w:rPr>
        <w:t>中职工程测量</w:t>
      </w:r>
      <w:r>
        <w:rPr>
          <w:rFonts w:ascii="仿宋" w:eastAsia="仿宋" w:hAnsi="仿宋" w:cs="仿宋" w:hint="eastAsia"/>
          <w:spacing w:val="-6"/>
          <w:sz w:val="24"/>
          <w:szCs w:val="24"/>
        </w:rPr>
        <w:t>赛项</w:t>
      </w:r>
    </w:p>
    <w:p w14:paraId="5AA39497"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078A9E8B"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507D5F">
        <w:rPr>
          <w:rFonts w:ascii="仿宋" w:eastAsia="仿宋" w:hAnsi="仿宋" w:cs="仿宋" w:hint="eastAsia"/>
          <w:sz w:val="24"/>
          <w:szCs w:val="24"/>
        </w:rPr>
        <w:t>2555</w:t>
      </w:r>
      <w:r>
        <w:rPr>
          <w:rFonts w:ascii="仿宋" w:eastAsia="仿宋" w:hAnsi="仿宋" w:cs="仿宋" w:hint="eastAsia"/>
          <w:sz w:val="24"/>
          <w:szCs w:val="24"/>
        </w:rPr>
        <w:t>元。</w:t>
      </w:r>
    </w:p>
    <w:p w14:paraId="65AD43CF"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7B356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7B356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8.此采购项目为交钥匙项目，报价含发票税费、运输、安装、调试、培训</w:t>
      </w:r>
      <w:r>
        <w:rPr>
          <w:rFonts w:ascii="仿宋" w:eastAsia="仿宋" w:hAnsi="仿宋" w:cs="仿宋" w:hint="eastAsia"/>
          <w:kern w:val="2"/>
          <w:sz w:val="24"/>
          <w:szCs w:val="24"/>
        </w:rPr>
        <w:lastRenderedPageBreak/>
        <w:t xml:space="preserve">指导及其它所有费用。  </w:t>
      </w:r>
    </w:p>
    <w:p w14:paraId="44710831"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7B356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7B356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7B356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7B3562"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0E38C4" w14:paraId="1FB487E2" w14:textId="77777777" w:rsidTr="002764A3">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0E38C4" w:rsidRDefault="000E38C4" w:rsidP="000E38C4">
            <w:pPr>
              <w:widowControl/>
              <w:jc w:val="center"/>
              <w:rPr>
                <w:rFonts w:ascii="仿宋" w:eastAsia="仿宋" w:hAnsi="仿宋" w:cs="仿宋" w:hint="eastAsia"/>
                <w:szCs w:val="21"/>
              </w:rPr>
            </w:pPr>
            <w:r>
              <w:rPr>
                <w:rFonts w:ascii="仿宋" w:eastAsia="仿宋" w:hAnsi="仿宋" w:cs="仿宋" w:hint="eastAsia"/>
                <w:szCs w:val="21"/>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D66B" w14:textId="13114425"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劳保手套</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66CFA" w14:textId="18700A4C"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3M劳保手套</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945CA" w14:textId="1D47CAB2"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双</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CE6B1" w14:textId="6637D445" w:rsidR="000E38C4" w:rsidRPr="000E38C4" w:rsidRDefault="000E38C4" w:rsidP="000E38C4">
            <w:pPr>
              <w:widowControl/>
              <w:jc w:val="center"/>
              <w:textAlignment w:val="center"/>
              <w:rPr>
                <w:rFonts w:asciiTheme="minorEastAsia" w:eastAsiaTheme="minorEastAsia" w:hAnsiTheme="minorEastAsia" w:cs="仿宋" w:hint="eastAsia"/>
                <w:sz w:val="16"/>
                <w:szCs w:val="16"/>
                <w:highlight w:val="yellow"/>
              </w:rPr>
            </w:pPr>
            <w:r w:rsidRPr="000E38C4">
              <w:rPr>
                <w:rFonts w:asciiTheme="minorEastAsia" w:eastAsiaTheme="minorEastAsia" w:hAnsiTheme="minorEastAsia" w:cs="Arial" w:hint="eastAsia"/>
                <w:color w:val="000000"/>
                <w:sz w:val="16"/>
                <w:szCs w:val="16"/>
              </w:rPr>
              <w:t>15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8BD4" w14:textId="06D75175"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03D4D" w14:textId="0D5CA8AF"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450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7AD5704B" w:rsidR="000E38C4" w:rsidRDefault="000E38C4" w:rsidP="000E38C4">
            <w:pPr>
              <w:widowControl/>
              <w:jc w:val="center"/>
              <w:textAlignment w:val="center"/>
              <w:rPr>
                <w:rFonts w:ascii="仿宋" w:eastAsia="仿宋" w:hAnsi="仿宋" w:cs="仿宋" w:hint="eastAsia"/>
                <w:szCs w:val="21"/>
              </w:rPr>
            </w:pPr>
          </w:p>
        </w:tc>
      </w:tr>
      <w:tr w:rsidR="000E38C4" w14:paraId="6473B113" w14:textId="77777777" w:rsidTr="002764A3">
        <w:trPr>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0E38C4" w:rsidRDefault="000E38C4" w:rsidP="000E38C4">
            <w:pPr>
              <w:widowControl/>
              <w:jc w:val="center"/>
              <w:rPr>
                <w:rFonts w:ascii="仿宋" w:eastAsia="仿宋" w:hAnsi="仿宋" w:cs="仿宋" w:hint="eastAsia"/>
                <w:szCs w:val="21"/>
              </w:rPr>
            </w:pPr>
            <w:r>
              <w:rPr>
                <w:rFonts w:ascii="仿宋" w:eastAsia="仿宋" w:hAnsi="仿宋" w:cs="仿宋" w:hint="eastAsia"/>
                <w:szCs w:val="21"/>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F1B23" w14:textId="36BFF760"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劳保帽子</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CCD35" w14:textId="7D81E162"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防尘帽迷彩披肩帽劳保防护风帽防尘防灰装卸打磨搬运牛仔套头帽子</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2BE49" w14:textId="7AB05FB0"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6D301" w14:textId="5B53E323" w:rsidR="000E38C4" w:rsidRPr="000E38C4" w:rsidRDefault="000E38C4" w:rsidP="000E38C4">
            <w:pPr>
              <w:widowControl/>
              <w:jc w:val="center"/>
              <w:textAlignment w:val="center"/>
              <w:rPr>
                <w:rFonts w:asciiTheme="minorEastAsia" w:eastAsiaTheme="minorEastAsia" w:hAnsiTheme="minorEastAsia" w:cs="仿宋" w:hint="eastAsia"/>
                <w:sz w:val="16"/>
                <w:szCs w:val="16"/>
                <w:highlight w:val="yellow"/>
              </w:rPr>
            </w:pPr>
            <w:r w:rsidRPr="000E38C4">
              <w:rPr>
                <w:rFonts w:asciiTheme="minorEastAsia" w:eastAsiaTheme="minorEastAsia" w:hAnsiTheme="minorEastAsia" w:cs="Arial" w:hint="eastAsia"/>
                <w:color w:val="000000"/>
                <w:sz w:val="16"/>
                <w:szCs w:val="16"/>
              </w:rPr>
              <w:t>8</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70129" w14:textId="3C3DADD3"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50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825AF" w14:textId="25425803"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400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1C7167A9" w:rsidR="000E38C4" w:rsidRDefault="000E38C4" w:rsidP="000E38C4">
            <w:pPr>
              <w:widowControl/>
              <w:jc w:val="center"/>
              <w:textAlignment w:val="center"/>
              <w:rPr>
                <w:rFonts w:ascii="仿宋" w:eastAsia="仿宋" w:hAnsi="仿宋" w:cs="仿宋" w:hint="eastAsia"/>
                <w:szCs w:val="21"/>
              </w:rPr>
            </w:pPr>
          </w:p>
        </w:tc>
      </w:tr>
      <w:tr w:rsidR="000E38C4" w14:paraId="7D6DFFE9" w14:textId="77777777" w:rsidTr="002764A3">
        <w:trPr>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0E38C4" w:rsidRDefault="000E38C4" w:rsidP="000E38C4">
            <w:pPr>
              <w:widowControl/>
              <w:jc w:val="center"/>
              <w:rPr>
                <w:rFonts w:ascii="仿宋" w:eastAsia="仿宋" w:hAnsi="仿宋" w:cs="仿宋" w:hint="eastAsia"/>
                <w:szCs w:val="21"/>
              </w:rPr>
            </w:pPr>
            <w:r>
              <w:rPr>
                <w:rFonts w:ascii="仿宋" w:eastAsia="仿宋" w:hAnsi="仿宋" w:cs="仿宋" w:hint="eastAsia"/>
                <w:szCs w:val="21"/>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3414D" w14:textId="7D373531" w:rsidR="000E38C4" w:rsidRPr="000E38C4" w:rsidRDefault="000E38C4" w:rsidP="000E38C4">
            <w:pPr>
              <w:widowControl/>
              <w:jc w:val="center"/>
              <w:textAlignment w:val="center"/>
              <w:rPr>
                <w:rFonts w:asciiTheme="minorEastAsia" w:eastAsiaTheme="minorEastAsia" w:hAnsiTheme="minorEastAsia" w:cs="仿宋" w:hint="eastAsia"/>
                <w:color w:val="000000"/>
                <w:sz w:val="16"/>
                <w:szCs w:val="16"/>
                <w:lang w:bidi="ar"/>
              </w:rPr>
            </w:pPr>
            <w:r w:rsidRPr="000E38C4">
              <w:rPr>
                <w:rFonts w:asciiTheme="minorEastAsia" w:eastAsiaTheme="minorEastAsia" w:hAnsiTheme="minorEastAsia" w:cs="Arial" w:hint="eastAsia"/>
                <w:color w:val="000000"/>
                <w:sz w:val="16"/>
                <w:szCs w:val="16"/>
              </w:rPr>
              <w:t>劳保反光背心</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A9005" w14:textId="4A008B4A"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圣驰反光背心反光马甲反光衣领导建筑工程交通骑行施工路政安全服</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34F0D" w14:textId="11EC84B4" w:rsidR="000E38C4" w:rsidRPr="000E38C4" w:rsidRDefault="000E38C4" w:rsidP="000E38C4">
            <w:pPr>
              <w:widowControl/>
              <w:jc w:val="center"/>
              <w:textAlignment w:val="center"/>
              <w:rPr>
                <w:rFonts w:asciiTheme="minorEastAsia" w:eastAsiaTheme="minorEastAsia" w:hAnsiTheme="minorEastAsia" w:cs="仿宋" w:hint="eastAsia"/>
                <w:color w:val="000000"/>
                <w:sz w:val="16"/>
                <w:szCs w:val="16"/>
                <w:lang w:bidi="ar"/>
              </w:rPr>
            </w:pPr>
            <w:r w:rsidRPr="000E38C4">
              <w:rPr>
                <w:rFonts w:asciiTheme="minorEastAsia" w:eastAsiaTheme="minorEastAsia" w:hAnsiTheme="minorEastAsia" w:cs="Arial" w:hint="eastAsia"/>
                <w:color w:val="000000"/>
                <w:sz w:val="16"/>
                <w:szCs w:val="16"/>
              </w:rPr>
              <w:t>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53CC3" w14:textId="39ABB9AB" w:rsidR="000E38C4" w:rsidRPr="000E38C4" w:rsidRDefault="000E38C4" w:rsidP="000E38C4">
            <w:pPr>
              <w:widowControl/>
              <w:jc w:val="center"/>
              <w:textAlignment w:val="center"/>
              <w:rPr>
                <w:rFonts w:asciiTheme="minorEastAsia" w:eastAsiaTheme="minorEastAsia" w:hAnsiTheme="minorEastAsia" w:cs="仿宋" w:hint="eastAsia"/>
                <w:sz w:val="16"/>
                <w:szCs w:val="16"/>
                <w:highlight w:val="yellow"/>
              </w:rPr>
            </w:pPr>
            <w:r w:rsidRPr="000E38C4">
              <w:rPr>
                <w:rFonts w:asciiTheme="minorEastAsia" w:eastAsiaTheme="minorEastAsia" w:hAnsiTheme="minorEastAsia" w:cs="Arial" w:hint="eastAsia"/>
                <w:color w:val="000000"/>
                <w:sz w:val="16"/>
                <w:szCs w:val="16"/>
              </w:rPr>
              <w:t>8</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58CB6" w14:textId="0BFEAB84"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50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E1D37" w14:textId="4406AAFD"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400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36056C97" w:rsidR="000E38C4" w:rsidRDefault="000E38C4" w:rsidP="000E38C4">
            <w:pPr>
              <w:widowControl/>
              <w:jc w:val="center"/>
              <w:textAlignment w:val="center"/>
              <w:rPr>
                <w:rFonts w:ascii="仿宋" w:eastAsia="仿宋" w:hAnsi="仿宋" w:cs="仿宋" w:hint="eastAsia"/>
                <w:color w:val="000000"/>
                <w:szCs w:val="21"/>
                <w:lang w:bidi="ar"/>
              </w:rPr>
            </w:pPr>
          </w:p>
        </w:tc>
      </w:tr>
      <w:tr w:rsidR="000E38C4" w14:paraId="25B4B17F" w14:textId="77777777" w:rsidTr="002764A3">
        <w:trPr>
          <w:trHeight w:hRule="exact" w:val="74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335E0A96" w:rsidR="000E38C4" w:rsidRDefault="000E38C4" w:rsidP="000E38C4">
            <w:pPr>
              <w:widowControl/>
              <w:jc w:val="center"/>
              <w:rPr>
                <w:rFonts w:ascii="仿宋" w:eastAsia="仿宋" w:hAnsi="仿宋" w:cs="仿宋" w:hint="eastAsia"/>
                <w:szCs w:val="21"/>
              </w:rPr>
            </w:pPr>
            <w:r>
              <w:rPr>
                <w:rFonts w:ascii="仿宋" w:eastAsia="仿宋" w:hAnsi="仿宋" w:cs="仿宋" w:hint="eastAsia"/>
                <w:szCs w:val="21"/>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5FF37" w14:textId="4EDA830D" w:rsidR="000E38C4" w:rsidRPr="000E38C4" w:rsidRDefault="000E38C4" w:rsidP="000E38C4">
            <w:pPr>
              <w:widowControl/>
              <w:jc w:val="center"/>
              <w:textAlignment w:val="center"/>
              <w:rPr>
                <w:rFonts w:asciiTheme="minorEastAsia" w:eastAsiaTheme="minorEastAsia" w:hAnsiTheme="minorEastAsia" w:cs="仿宋" w:hint="eastAsia"/>
                <w:color w:val="000000"/>
                <w:sz w:val="16"/>
                <w:szCs w:val="16"/>
                <w:lang w:bidi="ar"/>
              </w:rPr>
            </w:pPr>
            <w:r w:rsidRPr="000E38C4">
              <w:rPr>
                <w:rFonts w:asciiTheme="minorEastAsia" w:eastAsiaTheme="minorEastAsia" w:hAnsiTheme="minorEastAsia" w:cs="Arial" w:hint="eastAsia"/>
                <w:color w:val="000000"/>
                <w:sz w:val="16"/>
                <w:szCs w:val="16"/>
              </w:rPr>
              <w:t>钢钉</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CB1B6" w14:textId="2FE26D14"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十字测量钉3cm 放样观测点标志水准点不锈钢测量钉子</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CEE7C" w14:textId="1C7F6C90" w:rsidR="000E38C4" w:rsidRPr="000E38C4" w:rsidRDefault="000E38C4" w:rsidP="000E38C4">
            <w:pPr>
              <w:widowControl/>
              <w:jc w:val="center"/>
              <w:textAlignment w:val="center"/>
              <w:rPr>
                <w:rFonts w:asciiTheme="minorEastAsia" w:eastAsiaTheme="minorEastAsia" w:hAnsiTheme="minorEastAsia" w:cs="仿宋" w:hint="eastAsia"/>
                <w:color w:val="000000"/>
                <w:sz w:val="16"/>
                <w:szCs w:val="16"/>
                <w:lang w:bidi="ar"/>
              </w:rPr>
            </w:pPr>
            <w:r w:rsidRPr="000E38C4">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32316" w14:textId="5F74910D" w:rsidR="000E38C4" w:rsidRPr="000E38C4" w:rsidRDefault="000E38C4" w:rsidP="000E38C4">
            <w:pPr>
              <w:widowControl/>
              <w:jc w:val="center"/>
              <w:textAlignment w:val="center"/>
              <w:rPr>
                <w:rFonts w:asciiTheme="minorEastAsia" w:eastAsiaTheme="minorEastAsia" w:hAnsiTheme="minorEastAsia" w:cs="仿宋" w:hint="eastAsia"/>
                <w:sz w:val="16"/>
                <w:szCs w:val="16"/>
                <w:highlight w:val="yellow"/>
              </w:rPr>
            </w:pPr>
            <w:r w:rsidRPr="000E38C4">
              <w:rPr>
                <w:rFonts w:asciiTheme="minorEastAsia" w:eastAsiaTheme="minorEastAsia" w:hAnsiTheme="minorEastAsia" w:cs="Arial" w:hint="eastAsia"/>
                <w:color w:val="000000"/>
                <w:sz w:val="16"/>
                <w:szCs w:val="16"/>
              </w:rPr>
              <w:t>110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2CB9C" w14:textId="15ED772B"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56ABC" w14:textId="52015F1F"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220</w:t>
            </w:r>
          </w:p>
        </w:tc>
        <w:tc>
          <w:tcPr>
            <w:tcW w:w="1593" w:type="dxa"/>
            <w:noWrap/>
            <w:tcMar>
              <w:top w:w="15" w:type="dxa"/>
              <w:left w:w="15" w:type="dxa"/>
              <w:right w:w="15" w:type="dxa"/>
            </w:tcMar>
            <w:vAlign w:val="center"/>
          </w:tcPr>
          <w:p w14:paraId="1D99B032" w14:textId="42FAA629" w:rsidR="000E38C4" w:rsidRDefault="000E38C4" w:rsidP="000E38C4">
            <w:pPr>
              <w:widowControl/>
              <w:jc w:val="center"/>
              <w:textAlignment w:val="center"/>
              <w:rPr>
                <w:rFonts w:ascii="仿宋" w:eastAsia="仿宋" w:hAnsi="仿宋" w:cs="仿宋" w:hint="eastAsia"/>
                <w:color w:val="000000"/>
                <w:szCs w:val="21"/>
                <w:lang w:bidi="ar"/>
              </w:rPr>
            </w:pPr>
          </w:p>
        </w:tc>
      </w:tr>
      <w:tr w:rsidR="000E38C4" w14:paraId="3DC7E6DF" w14:textId="77777777" w:rsidTr="002764A3">
        <w:trPr>
          <w:trHeight w:hRule="exact" w:val="67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6A26B483" w:rsidR="000E38C4" w:rsidRDefault="000E38C4" w:rsidP="000E38C4">
            <w:pPr>
              <w:widowControl/>
              <w:jc w:val="center"/>
              <w:rPr>
                <w:rFonts w:ascii="仿宋" w:eastAsia="仿宋" w:hAnsi="仿宋" w:cs="仿宋" w:hint="eastAsia"/>
                <w:szCs w:val="21"/>
              </w:rPr>
            </w:pPr>
            <w:r>
              <w:rPr>
                <w:rFonts w:ascii="仿宋" w:eastAsia="仿宋" w:hAnsi="仿宋" w:cs="仿宋" w:hint="eastAsia"/>
                <w:szCs w:val="21"/>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FBC7" w14:textId="19AB1270" w:rsidR="000E38C4" w:rsidRPr="000E38C4" w:rsidRDefault="000E38C4" w:rsidP="000E38C4">
            <w:pPr>
              <w:widowControl/>
              <w:jc w:val="center"/>
              <w:textAlignment w:val="center"/>
              <w:rPr>
                <w:rFonts w:asciiTheme="minorEastAsia" w:eastAsiaTheme="minorEastAsia" w:hAnsiTheme="minorEastAsia" w:cs="仿宋" w:hint="eastAsia"/>
                <w:color w:val="000000"/>
                <w:sz w:val="16"/>
                <w:szCs w:val="16"/>
                <w:lang w:bidi="ar"/>
              </w:rPr>
            </w:pPr>
            <w:r w:rsidRPr="000E38C4">
              <w:rPr>
                <w:rFonts w:asciiTheme="minorEastAsia" w:eastAsiaTheme="minorEastAsia" w:hAnsiTheme="minorEastAsia" w:cs="Arial" w:hint="eastAsia"/>
                <w:color w:val="000000"/>
                <w:sz w:val="16"/>
                <w:szCs w:val="16"/>
              </w:rPr>
              <w:t>测量标志</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D32D" w14:textId="52EF14EC"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不锈钢测量标志钉点304不锈钢</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73D" w14:textId="39029174" w:rsidR="000E38C4" w:rsidRPr="000E38C4" w:rsidRDefault="000E38C4" w:rsidP="000E38C4">
            <w:pPr>
              <w:widowControl/>
              <w:jc w:val="center"/>
              <w:textAlignment w:val="center"/>
              <w:rPr>
                <w:rFonts w:asciiTheme="minorEastAsia" w:eastAsiaTheme="minorEastAsia" w:hAnsiTheme="minorEastAsia" w:cs="仿宋" w:hint="eastAsia"/>
                <w:color w:val="000000"/>
                <w:sz w:val="16"/>
                <w:szCs w:val="16"/>
                <w:lang w:bidi="ar"/>
              </w:rPr>
            </w:pPr>
            <w:r w:rsidRPr="000E38C4">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30C59" w14:textId="3292E250" w:rsidR="000E38C4" w:rsidRPr="000E38C4" w:rsidRDefault="000E38C4" w:rsidP="000E38C4">
            <w:pPr>
              <w:widowControl/>
              <w:jc w:val="center"/>
              <w:textAlignment w:val="center"/>
              <w:rPr>
                <w:rFonts w:asciiTheme="minorEastAsia" w:eastAsiaTheme="minorEastAsia" w:hAnsiTheme="minorEastAsia" w:cs="仿宋" w:hint="eastAsia"/>
                <w:sz w:val="16"/>
                <w:szCs w:val="16"/>
                <w:highlight w:val="yellow"/>
              </w:rPr>
            </w:pPr>
            <w:r w:rsidRPr="000E38C4">
              <w:rPr>
                <w:rFonts w:asciiTheme="minorEastAsia" w:eastAsiaTheme="minorEastAsia" w:hAnsiTheme="minorEastAsia" w:cs="Arial" w:hint="eastAsia"/>
                <w:color w:val="000000"/>
                <w:sz w:val="16"/>
                <w:szCs w:val="16"/>
              </w:rPr>
              <w:t>15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E6575" w14:textId="4800E25E"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7C02C" w14:textId="64F8F8AD"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300</w:t>
            </w:r>
          </w:p>
        </w:tc>
        <w:tc>
          <w:tcPr>
            <w:tcW w:w="1593" w:type="dxa"/>
            <w:noWrap/>
            <w:tcMar>
              <w:top w:w="15" w:type="dxa"/>
              <w:left w:w="15" w:type="dxa"/>
              <w:right w:w="15" w:type="dxa"/>
            </w:tcMar>
            <w:vAlign w:val="center"/>
          </w:tcPr>
          <w:p w14:paraId="558E9711" w14:textId="17310FBF" w:rsidR="000E38C4" w:rsidRDefault="000E38C4" w:rsidP="000E38C4">
            <w:pPr>
              <w:widowControl/>
              <w:jc w:val="center"/>
              <w:textAlignment w:val="center"/>
              <w:rPr>
                <w:rFonts w:ascii="仿宋" w:eastAsia="仿宋" w:hAnsi="仿宋" w:cs="仿宋" w:hint="eastAsia"/>
                <w:color w:val="000000"/>
                <w:szCs w:val="21"/>
                <w:lang w:bidi="ar"/>
              </w:rPr>
            </w:pPr>
          </w:p>
        </w:tc>
      </w:tr>
      <w:tr w:rsidR="000E38C4" w14:paraId="6D5002F6" w14:textId="77777777" w:rsidTr="002764A3">
        <w:trPr>
          <w:trHeight w:hRule="exact" w:val="656"/>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43FBF" w14:textId="007EA49C" w:rsidR="000E38C4" w:rsidRDefault="000E38C4" w:rsidP="000E38C4">
            <w:pPr>
              <w:widowControl/>
              <w:jc w:val="center"/>
              <w:rPr>
                <w:rFonts w:ascii="仿宋" w:eastAsia="仿宋" w:hAnsi="仿宋" w:cs="仿宋" w:hint="eastAsia"/>
                <w:szCs w:val="21"/>
              </w:rPr>
            </w:pPr>
            <w:r>
              <w:rPr>
                <w:rFonts w:ascii="仿宋" w:eastAsia="仿宋" w:hAnsi="仿宋" w:cs="仿宋" w:hint="eastAsia"/>
                <w:szCs w:val="21"/>
              </w:rPr>
              <w:t>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959C" w14:textId="3E68FE75" w:rsidR="000E38C4" w:rsidRPr="000E38C4" w:rsidRDefault="000E38C4" w:rsidP="000E38C4">
            <w:pPr>
              <w:widowControl/>
              <w:jc w:val="center"/>
              <w:textAlignment w:val="center"/>
              <w:rPr>
                <w:rFonts w:asciiTheme="minorEastAsia" w:eastAsiaTheme="minorEastAsia" w:hAnsiTheme="minorEastAsia" w:cs="仿宋" w:hint="eastAsia"/>
                <w:color w:val="000000"/>
                <w:sz w:val="16"/>
                <w:szCs w:val="16"/>
                <w:lang w:bidi="ar"/>
              </w:rPr>
            </w:pPr>
            <w:r w:rsidRPr="000E38C4">
              <w:rPr>
                <w:rFonts w:asciiTheme="minorEastAsia" w:eastAsiaTheme="minorEastAsia" w:hAnsiTheme="minorEastAsia" w:cs="Arial" w:hint="eastAsia"/>
                <w:color w:val="000000"/>
                <w:sz w:val="16"/>
                <w:szCs w:val="16"/>
              </w:rPr>
              <w:t>喷漆</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858A" w14:textId="5CF6A0C6"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炫碟喷漆红色</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5857" w14:textId="7C82B6B3" w:rsidR="000E38C4" w:rsidRPr="000E38C4" w:rsidRDefault="000E38C4" w:rsidP="000E38C4">
            <w:pPr>
              <w:widowControl/>
              <w:jc w:val="center"/>
              <w:textAlignment w:val="center"/>
              <w:rPr>
                <w:rFonts w:asciiTheme="minorEastAsia" w:eastAsiaTheme="minorEastAsia" w:hAnsiTheme="minorEastAsia" w:cs="仿宋" w:hint="eastAsia"/>
                <w:color w:val="000000"/>
                <w:sz w:val="16"/>
                <w:szCs w:val="16"/>
                <w:lang w:bidi="ar"/>
              </w:rPr>
            </w:pPr>
            <w:r w:rsidRPr="000E38C4">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E09E3" w14:textId="3DA7EB03" w:rsidR="000E38C4" w:rsidRPr="000E38C4" w:rsidRDefault="000E38C4" w:rsidP="000E38C4">
            <w:pPr>
              <w:widowControl/>
              <w:jc w:val="center"/>
              <w:textAlignment w:val="center"/>
              <w:rPr>
                <w:rFonts w:asciiTheme="minorEastAsia" w:eastAsiaTheme="minorEastAsia" w:hAnsiTheme="minorEastAsia" w:cs="仿宋" w:hint="eastAsia"/>
                <w:sz w:val="16"/>
                <w:szCs w:val="16"/>
                <w:highlight w:val="yellow"/>
              </w:rPr>
            </w:pPr>
            <w:r w:rsidRPr="000E38C4">
              <w:rPr>
                <w:rFonts w:asciiTheme="minorEastAsia" w:eastAsiaTheme="minorEastAsia" w:hAnsiTheme="minorEastAsia" w:cs="Arial" w:hint="eastAsia"/>
                <w:color w:val="000000"/>
                <w:sz w:val="16"/>
                <w:szCs w:val="16"/>
              </w:rPr>
              <w:t>15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E951" w14:textId="6DEFA0D6"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D4D5" w14:textId="1CFA2E47" w:rsidR="000E38C4" w:rsidRPr="000E38C4" w:rsidRDefault="000E38C4" w:rsidP="000E38C4">
            <w:pPr>
              <w:widowControl/>
              <w:jc w:val="center"/>
              <w:textAlignment w:val="center"/>
              <w:rPr>
                <w:rFonts w:asciiTheme="minorEastAsia" w:eastAsiaTheme="minorEastAsia" w:hAnsiTheme="minorEastAsia" w:cs="仿宋" w:hint="eastAsia"/>
                <w:sz w:val="16"/>
                <w:szCs w:val="16"/>
              </w:rPr>
            </w:pPr>
            <w:r w:rsidRPr="000E38C4">
              <w:rPr>
                <w:rFonts w:asciiTheme="minorEastAsia" w:eastAsiaTheme="minorEastAsia" w:hAnsiTheme="minorEastAsia" w:cs="Arial" w:hint="eastAsia"/>
                <w:color w:val="000000"/>
                <w:sz w:val="16"/>
                <w:szCs w:val="16"/>
              </w:rPr>
              <w:t>225</w:t>
            </w:r>
          </w:p>
        </w:tc>
        <w:tc>
          <w:tcPr>
            <w:tcW w:w="1593" w:type="dxa"/>
            <w:noWrap/>
            <w:tcMar>
              <w:top w:w="15" w:type="dxa"/>
              <w:left w:w="15" w:type="dxa"/>
              <w:right w:w="15" w:type="dxa"/>
            </w:tcMar>
            <w:vAlign w:val="center"/>
          </w:tcPr>
          <w:p w14:paraId="370FFDC6" w14:textId="72847917" w:rsidR="000E38C4" w:rsidRDefault="000E38C4" w:rsidP="000E38C4">
            <w:pPr>
              <w:widowControl/>
              <w:jc w:val="center"/>
              <w:textAlignment w:val="center"/>
              <w:rPr>
                <w:rFonts w:ascii="仿宋" w:eastAsia="仿宋" w:hAnsi="仿宋" w:cs="仿宋" w:hint="eastAsia"/>
                <w:color w:val="000000"/>
                <w:szCs w:val="21"/>
                <w:lang w:bidi="ar"/>
              </w:rPr>
            </w:pPr>
          </w:p>
        </w:tc>
      </w:tr>
      <w:tr w:rsidR="000E38C4" w14:paraId="7CC2B7DD" w14:textId="77777777" w:rsidTr="002764A3">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10A5AB9C" w:rsidR="000E38C4" w:rsidRDefault="000E38C4" w:rsidP="000E38C4">
            <w:pPr>
              <w:widowControl/>
              <w:jc w:val="center"/>
              <w:rPr>
                <w:rFonts w:ascii="仿宋" w:eastAsia="仿宋" w:hAnsi="仿宋" w:cs="仿宋" w:hint="eastAsia"/>
                <w:szCs w:val="21"/>
              </w:rPr>
            </w:pPr>
            <w:r>
              <w:rPr>
                <w:rFonts w:ascii="仿宋" w:eastAsia="仿宋" w:hAnsi="仿宋" w:cs="仿宋" w:hint="eastAsia"/>
                <w:szCs w:val="21"/>
              </w:rPr>
              <w:t>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3439" w14:textId="44CE0913" w:rsidR="000E38C4" w:rsidRPr="000E38C4" w:rsidRDefault="000E38C4" w:rsidP="000E38C4">
            <w:pPr>
              <w:widowControl/>
              <w:jc w:val="center"/>
              <w:textAlignment w:val="center"/>
              <w:rPr>
                <w:rFonts w:asciiTheme="minorEastAsia" w:eastAsiaTheme="minorEastAsia" w:hAnsiTheme="minorEastAsia" w:hint="eastAsia"/>
                <w:color w:val="000000"/>
                <w:sz w:val="16"/>
                <w:szCs w:val="16"/>
                <w:lang w:bidi="ar"/>
              </w:rPr>
            </w:pPr>
            <w:r w:rsidRPr="000E38C4">
              <w:rPr>
                <w:rFonts w:asciiTheme="minorEastAsia" w:eastAsiaTheme="minorEastAsia" w:hAnsiTheme="minorEastAsia" w:cs="Arial" w:hint="eastAsia"/>
                <w:color w:val="000000"/>
                <w:sz w:val="16"/>
                <w:szCs w:val="16"/>
              </w:rPr>
              <w:t>测距仪</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FF11" w14:textId="2F3EE8FB" w:rsidR="000E38C4" w:rsidRPr="000E38C4" w:rsidRDefault="000E38C4" w:rsidP="000E38C4">
            <w:pPr>
              <w:widowControl/>
              <w:jc w:val="center"/>
              <w:textAlignment w:val="center"/>
              <w:rPr>
                <w:rFonts w:asciiTheme="minorEastAsia" w:eastAsiaTheme="minorEastAsia" w:hAnsiTheme="minorEastAsia" w:hint="eastAsia"/>
                <w:color w:val="000000"/>
                <w:sz w:val="16"/>
                <w:szCs w:val="16"/>
                <w:lang w:bidi="ar"/>
              </w:rPr>
            </w:pPr>
            <w:r w:rsidRPr="000E38C4">
              <w:rPr>
                <w:rFonts w:asciiTheme="minorEastAsia" w:eastAsiaTheme="minorEastAsia" w:hAnsiTheme="minorEastAsia" w:cs="Arial" w:hint="eastAsia"/>
                <w:color w:val="000000"/>
                <w:sz w:val="16"/>
                <w:szCs w:val="16"/>
              </w:rPr>
              <w:t>伯乐测距轮测距仪手推车式长度计计米轮MW318测量距离米表计米器</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817F4" w14:textId="1B7CBF2D" w:rsidR="000E38C4" w:rsidRPr="000E38C4" w:rsidRDefault="000E38C4" w:rsidP="000E38C4">
            <w:pPr>
              <w:widowControl/>
              <w:jc w:val="center"/>
              <w:textAlignment w:val="center"/>
              <w:rPr>
                <w:rFonts w:asciiTheme="minorEastAsia" w:eastAsiaTheme="minorEastAsia" w:hAnsiTheme="minorEastAsia" w:hint="eastAsia"/>
                <w:color w:val="000000"/>
                <w:sz w:val="16"/>
                <w:szCs w:val="16"/>
                <w:lang w:bidi="ar"/>
              </w:rPr>
            </w:pPr>
            <w:r w:rsidRPr="000E38C4">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DF55" w14:textId="1BBEDA98" w:rsidR="000E38C4" w:rsidRPr="000E38C4" w:rsidRDefault="000E38C4" w:rsidP="000E38C4">
            <w:pPr>
              <w:widowControl/>
              <w:jc w:val="center"/>
              <w:textAlignment w:val="center"/>
              <w:rPr>
                <w:rFonts w:asciiTheme="minorEastAsia" w:eastAsiaTheme="minorEastAsia" w:hAnsiTheme="minorEastAsia" w:hint="eastAsia"/>
                <w:color w:val="000000"/>
                <w:sz w:val="16"/>
                <w:szCs w:val="16"/>
                <w:lang w:bidi="ar"/>
              </w:rPr>
            </w:pPr>
            <w:r w:rsidRPr="000E38C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4458" w14:textId="03D4CA5F" w:rsidR="000E38C4" w:rsidRPr="000E38C4" w:rsidRDefault="000E38C4" w:rsidP="000E38C4">
            <w:pPr>
              <w:widowControl/>
              <w:jc w:val="center"/>
              <w:textAlignment w:val="center"/>
              <w:rPr>
                <w:rFonts w:asciiTheme="minorEastAsia" w:eastAsiaTheme="minorEastAsia" w:hAnsiTheme="minorEastAsia" w:hint="eastAsia"/>
                <w:color w:val="000000"/>
                <w:sz w:val="16"/>
                <w:szCs w:val="16"/>
                <w:lang w:bidi="ar"/>
              </w:rPr>
            </w:pPr>
            <w:r w:rsidRPr="000E38C4">
              <w:rPr>
                <w:rFonts w:asciiTheme="minorEastAsia" w:eastAsiaTheme="minorEastAsia" w:hAnsiTheme="minorEastAsia" w:cs="Arial" w:hint="eastAsia"/>
                <w:color w:val="000000"/>
                <w:sz w:val="16"/>
                <w:szCs w:val="16"/>
              </w:rPr>
              <w:t>280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FCC68" w14:textId="15644720" w:rsidR="000E38C4" w:rsidRPr="000E38C4" w:rsidRDefault="000E38C4" w:rsidP="000E38C4">
            <w:pPr>
              <w:widowControl/>
              <w:jc w:val="center"/>
              <w:textAlignment w:val="center"/>
              <w:rPr>
                <w:rFonts w:asciiTheme="minorEastAsia" w:eastAsiaTheme="minorEastAsia" w:hAnsiTheme="minorEastAsia" w:hint="eastAsia"/>
                <w:color w:val="000000"/>
                <w:sz w:val="16"/>
                <w:szCs w:val="16"/>
                <w:lang w:bidi="ar"/>
              </w:rPr>
            </w:pPr>
            <w:r w:rsidRPr="000E38C4">
              <w:rPr>
                <w:rFonts w:asciiTheme="minorEastAsia" w:eastAsiaTheme="minorEastAsia" w:hAnsiTheme="minorEastAsia" w:cs="Arial" w:hint="eastAsia"/>
                <w:color w:val="000000"/>
                <w:sz w:val="16"/>
                <w:szCs w:val="16"/>
              </w:rPr>
              <w:t>560</w:t>
            </w:r>
          </w:p>
        </w:tc>
        <w:tc>
          <w:tcPr>
            <w:tcW w:w="1593" w:type="dxa"/>
            <w:noWrap/>
            <w:tcMar>
              <w:top w:w="15" w:type="dxa"/>
              <w:left w:w="15" w:type="dxa"/>
              <w:right w:w="15" w:type="dxa"/>
            </w:tcMar>
            <w:vAlign w:val="center"/>
          </w:tcPr>
          <w:p w14:paraId="06ACB02F" w14:textId="3259C8AC" w:rsidR="000E38C4" w:rsidRDefault="000E38C4" w:rsidP="000E38C4">
            <w:pPr>
              <w:widowControl/>
              <w:jc w:val="center"/>
              <w:textAlignment w:val="center"/>
              <w:rPr>
                <w:rFonts w:ascii="宋体" w:hAnsi="宋体" w:hint="eastAsia"/>
                <w:color w:val="000000"/>
                <w:sz w:val="16"/>
                <w:szCs w:val="16"/>
                <w:lang w:bidi="ar"/>
              </w:rPr>
            </w:pPr>
          </w:p>
        </w:tc>
      </w:tr>
      <w:tr w:rsidR="000E38C4"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0E38C4" w:rsidRDefault="000E38C4" w:rsidP="00507D5F">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7F43BB6F" w:rsidR="000E38C4" w:rsidRDefault="00507D5F" w:rsidP="00507D5F">
            <w:pPr>
              <w:widowControl/>
              <w:jc w:val="center"/>
              <w:rPr>
                <w:rFonts w:ascii="仿宋" w:eastAsia="仿宋" w:hAnsi="仿宋" w:cs="仿宋" w:hint="eastAsia"/>
                <w:szCs w:val="21"/>
              </w:rPr>
            </w:pPr>
            <w:r>
              <w:rPr>
                <w:rFonts w:ascii="仿宋" w:eastAsia="仿宋" w:hAnsi="仿宋" w:cs="仿宋" w:hint="eastAsia"/>
                <w:szCs w:val="21"/>
              </w:rPr>
              <w:t>2555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0E38C4" w:rsidRDefault="000E38C4" w:rsidP="000E38C4">
            <w:pPr>
              <w:jc w:val="center"/>
              <w:rPr>
                <w:rFonts w:ascii="仿宋" w:eastAsia="仿宋" w:hAnsi="仿宋" w:cs="仿宋" w:hint="eastAsia"/>
                <w:szCs w:val="21"/>
              </w:rPr>
            </w:pPr>
          </w:p>
        </w:tc>
      </w:tr>
    </w:tbl>
    <w:p w14:paraId="6E803E05" w14:textId="77777777" w:rsidR="007B3562" w:rsidRDefault="007B3562">
      <w:pPr>
        <w:spacing w:before="120" w:after="120" w:line="288" w:lineRule="auto"/>
        <w:jc w:val="left"/>
      </w:pPr>
    </w:p>
    <w:sectPr w:rsidR="007B3562">
      <w:pgSz w:w="11905" w:h="16840" w:orient="landscape"/>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8C552" w14:textId="77777777" w:rsidR="00CE108C" w:rsidRDefault="00CE108C" w:rsidP="000E38C4">
      <w:r>
        <w:separator/>
      </w:r>
    </w:p>
  </w:endnote>
  <w:endnote w:type="continuationSeparator" w:id="0">
    <w:p w14:paraId="42BC1198" w14:textId="77777777" w:rsidR="00CE108C" w:rsidRDefault="00CE108C" w:rsidP="000E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A1A7" w14:textId="77777777" w:rsidR="00CE108C" w:rsidRDefault="00CE108C" w:rsidP="000E38C4">
      <w:r>
        <w:separator/>
      </w:r>
    </w:p>
  </w:footnote>
  <w:footnote w:type="continuationSeparator" w:id="0">
    <w:p w14:paraId="0482BEF0" w14:textId="77777777" w:rsidR="00CE108C" w:rsidRDefault="00CE108C" w:rsidP="000E3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7B3562"/>
    <w:rsid w:val="000E38C4"/>
    <w:rsid w:val="001C5ADC"/>
    <w:rsid w:val="004804FB"/>
    <w:rsid w:val="00507D5F"/>
    <w:rsid w:val="007B3562"/>
    <w:rsid w:val="009B1867"/>
    <w:rsid w:val="00A01DDF"/>
    <w:rsid w:val="00AA286D"/>
    <w:rsid w:val="00C621A8"/>
    <w:rsid w:val="00C80127"/>
    <w:rsid w:val="00CE108C"/>
    <w:rsid w:val="00F210FF"/>
    <w:rsid w:val="00F45AFF"/>
    <w:rsid w:val="00F46D0C"/>
    <w:rsid w:val="00FF1B8A"/>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BB0A"/>
  <w15:docId w15:val="{2A97B8C0-04E3-49C3-9BDF-CAB66E9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佳欣 任佳欣</cp:lastModifiedBy>
  <cp:revision>8</cp:revision>
  <dcterms:created xsi:type="dcterms:W3CDTF">2025-01-10T04:26:00Z</dcterms:created>
  <dcterms:modified xsi:type="dcterms:W3CDTF">2025-01-10T06:39:00Z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