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77777777" w:rsidR="001A749B"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昌吉职业技术学院花艺赛项采购需求</w:t>
      </w:r>
    </w:p>
    <w:p w14:paraId="3F27AFC0" w14:textId="77777777" w:rsidR="001A749B" w:rsidRDefault="001A749B">
      <w:pPr>
        <w:jc w:val="center"/>
        <w:rPr>
          <w:rFonts w:ascii="黑体" w:eastAsia="黑体" w:hAnsi="黑体" w:cs="黑体" w:hint="eastAsia"/>
          <w:sz w:val="32"/>
          <w:szCs w:val="32"/>
        </w:rPr>
      </w:pPr>
    </w:p>
    <w:p w14:paraId="155B592A" w14:textId="77777777" w:rsidR="001A749B"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77777777" w:rsidR="001A749B"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项目名称：昌吉职业技术学院花艺赛项</w:t>
      </w:r>
    </w:p>
    <w:p w14:paraId="5AA39497" w14:textId="77777777" w:rsidR="001A749B"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77777777" w:rsidR="001A749B"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采购预算：人民币3000元。</w:t>
      </w:r>
    </w:p>
    <w:p w14:paraId="65AD43CF" w14:textId="77777777" w:rsidR="001A749B"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1A749B"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1A749B"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1A749B"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1A749B"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1A749B"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1A749B"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1A749B"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1A749B"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1A749B"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1A749B"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1A749B"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 xml:space="preserve">8.此采购项目为交钥匙项目，报价含发票税费、运输、安装、调试、培训指导及其它所有费用。  </w:t>
      </w:r>
    </w:p>
    <w:p w14:paraId="44710831" w14:textId="77777777" w:rsidR="001A749B"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lastRenderedPageBreak/>
        <w:t>三、收货方式与</w:t>
      </w:r>
      <w:r>
        <w:rPr>
          <w:rFonts w:ascii="仿宋" w:eastAsia="仿宋" w:hAnsi="仿宋" w:cs="仿宋" w:hint="eastAsia"/>
          <w:b/>
          <w:bCs/>
          <w:kern w:val="2"/>
          <w:sz w:val="24"/>
          <w:szCs w:val="24"/>
        </w:rPr>
        <w:t>地址</w:t>
      </w:r>
    </w:p>
    <w:p w14:paraId="6C1BA6A7" w14:textId="77777777" w:rsidR="001A749B"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1A749B"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1A749B"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1A749B"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1A749B"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1A749B"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1A749B"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1A749B"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1A749B"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1A749B"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1A749B"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1A749B"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1A749B"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1A749B"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1A749B"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1A749B" w:rsidRDefault="001A749B">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1A749B" w:rsidRDefault="001A749B">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1A749B" w:rsidRPr="00A82C99" w:rsidRDefault="001A749B" w:rsidP="00A82C99">
      <w:pPr>
        <w:tabs>
          <w:tab w:val="left" w:pos="1301"/>
        </w:tabs>
        <w:autoSpaceDE w:val="0"/>
        <w:autoSpaceDN w:val="0"/>
        <w:spacing w:line="380" w:lineRule="exact"/>
        <w:rPr>
          <w:kern w:val="2"/>
          <w:sz w:val="24"/>
          <w:szCs w:val="24"/>
        </w:rPr>
      </w:pPr>
    </w:p>
    <w:p w14:paraId="29DA9C19" w14:textId="77777777" w:rsidR="001A749B"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lastRenderedPageBreak/>
        <w:t>六、货物名称、规格型号、数量及金额（详细技术参数要求见附件）</w:t>
      </w:r>
    </w:p>
    <w:tbl>
      <w:tblPr>
        <w:tblpPr w:leftFromText="180" w:rightFromText="180" w:vertAnchor="text" w:horzAnchor="page" w:tblpX="1865" w:tblpY="580"/>
        <w:tblOverlap w:val="never"/>
        <w:tblW w:w="4997" w:type="pct"/>
        <w:tblLook w:val="04A0" w:firstRow="1" w:lastRow="0" w:firstColumn="1" w:lastColumn="0" w:noHBand="0" w:noVBand="1"/>
      </w:tblPr>
      <w:tblGrid>
        <w:gridCol w:w="674"/>
        <w:gridCol w:w="1392"/>
        <w:gridCol w:w="1879"/>
        <w:gridCol w:w="628"/>
        <w:gridCol w:w="577"/>
        <w:gridCol w:w="1128"/>
        <w:gridCol w:w="1122"/>
        <w:gridCol w:w="1116"/>
      </w:tblGrid>
      <w:tr w:rsidR="008A05F3" w14:paraId="2D468823" w14:textId="77777777" w:rsidTr="008A05F3">
        <w:trPr>
          <w:trHeight w:val="569"/>
        </w:trPr>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D7F75" w14:textId="77777777" w:rsidR="008A05F3" w:rsidRDefault="008A05F3" w:rsidP="008A05F3">
            <w:pPr>
              <w:widowControl/>
              <w:jc w:val="center"/>
              <w:textAlignment w:val="center"/>
              <w:rPr>
                <w:rFonts w:ascii="宋体" w:hAnsi="宋体" w:hint="eastAsia"/>
                <w:color w:val="000000"/>
                <w:sz w:val="22"/>
              </w:rPr>
            </w:pPr>
            <w:r>
              <w:rPr>
                <w:rFonts w:ascii="宋体" w:hAnsi="宋体" w:hint="eastAsia"/>
                <w:color w:val="000000"/>
                <w:sz w:val="22"/>
                <w:lang w:bidi="ar"/>
              </w:rPr>
              <w:t>序号</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7F59B" w14:textId="77777777" w:rsidR="008A05F3" w:rsidRDefault="008A05F3" w:rsidP="008A05F3">
            <w:pPr>
              <w:widowControl/>
              <w:jc w:val="center"/>
              <w:textAlignment w:val="center"/>
              <w:rPr>
                <w:rFonts w:ascii="宋体" w:hAnsi="宋体" w:hint="eastAsia"/>
                <w:b/>
                <w:bCs/>
                <w:sz w:val="22"/>
              </w:rPr>
            </w:pPr>
            <w:r>
              <w:rPr>
                <w:rFonts w:ascii="宋体" w:hAnsi="宋体" w:hint="eastAsia"/>
                <w:b/>
                <w:bCs/>
                <w:sz w:val="22"/>
                <w:lang w:bidi="ar"/>
              </w:rPr>
              <w:t>名称</w:t>
            </w: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5C5AE" w14:textId="77777777" w:rsidR="008A05F3" w:rsidRDefault="008A05F3" w:rsidP="008A05F3">
            <w:pPr>
              <w:widowControl/>
              <w:jc w:val="center"/>
              <w:textAlignment w:val="center"/>
              <w:rPr>
                <w:rFonts w:ascii="宋体" w:hAnsi="宋体" w:hint="eastAsia"/>
                <w:b/>
                <w:bCs/>
                <w:sz w:val="22"/>
              </w:rPr>
            </w:pPr>
            <w:r>
              <w:rPr>
                <w:rFonts w:ascii="宋体" w:hAnsi="宋体" w:hint="eastAsia"/>
                <w:b/>
                <w:bCs/>
                <w:sz w:val="22"/>
                <w:lang w:bidi="ar"/>
              </w:rPr>
              <w:t>规格型号品牌</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56A27" w14:textId="77777777" w:rsidR="008A05F3" w:rsidRDefault="008A05F3" w:rsidP="008A05F3">
            <w:pPr>
              <w:widowControl/>
              <w:jc w:val="center"/>
              <w:textAlignment w:val="center"/>
              <w:rPr>
                <w:rFonts w:ascii="宋体" w:hAnsi="宋体" w:hint="eastAsia"/>
                <w:b/>
                <w:bCs/>
                <w:sz w:val="22"/>
              </w:rPr>
            </w:pPr>
            <w:r>
              <w:rPr>
                <w:rFonts w:ascii="宋体" w:hAnsi="宋体" w:hint="eastAsia"/>
                <w:b/>
                <w:bCs/>
                <w:sz w:val="22"/>
                <w:lang w:bidi="ar"/>
              </w:rPr>
              <w:t>单位</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9266B" w14:textId="77777777" w:rsidR="008A05F3" w:rsidRDefault="008A05F3" w:rsidP="008A05F3">
            <w:pPr>
              <w:widowControl/>
              <w:jc w:val="center"/>
              <w:textAlignment w:val="center"/>
              <w:rPr>
                <w:rFonts w:ascii="宋体" w:hAnsi="宋体" w:hint="eastAsia"/>
                <w:b/>
                <w:bCs/>
                <w:sz w:val="22"/>
              </w:rPr>
            </w:pPr>
            <w:r>
              <w:rPr>
                <w:rFonts w:ascii="宋体" w:hAnsi="宋体" w:hint="eastAsia"/>
                <w:b/>
                <w:bCs/>
                <w:sz w:val="22"/>
                <w:lang w:bidi="ar"/>
              </w:rPr>
              <w:t>数量</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1BBF5" w14:textId="77777777" w:rsidR="008A05F3" w:rsidRDefault="008A05F3" w:rsidP="008A05F3">
            <w:pPr>
              <w:widowControl/>
              <w:jc w:val="center"/>
              <w:textAlignment w:val="center"/>
              <w:rPr>
                <w:rFonts w:ascii="宋体" w:hAnsi="宋体" w:hint="eastAsia"/>
                <w:b/>
                <w:bCs/>
                <w:sz w:val="22"/>
              </w:rPr>
            </w:pPr>
            <w:r>
              <w:rPr>
                <w:rFonts w:ascii="宋体" w:hAnsi="宋体" w:hint="eastAsia"/>
                <w:b/>
                <w:bCs/>
                <w:sz w:val="22"/>
                <w:lang w:bidi="ar"/>
              </w:rPr>
              <w:t>单价（元）</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AB202" w14:textId="77777777" w:rsidR="008A05F3" w:rsidRDefault="008A05F3" w:rsidP="008A05F3">
            <w:pPr>
              <w:widowControl/>
              <w:jc w:val="center"/>
              <w:textAlignment w:val="center"/>
              <w:rPr>
                <w:rFonts w:ascii="宋体" w:hAnsi="宋体" w:hint="eastAsia"/>
                <w:b/>
                <w:bCs/>
                <w:sz w:val="22"/>
              </w:rPr>
            </w:pPr>
            <w:r>
              <w:rPr>
                <w:rFonts w:ascii="宋体" w:hAnsi="宋体" w:hint="eastAsia"/>
                <w:b/>
                <w:bCs/>
                <w:sz w:val="22"/>
                <w:lang w:bidi="ar"/>
              </w:rPr>
              <w:t>金额（元）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BE01E" w14:textId="77777777" w:rsidR="008A05F3" w:rsidRDefault="008A05F3" w:rsidP="008A05F3">
            <w:pPr>
              <w:widowControl/>
              <w:jc w:val="center"/>
              <w:textAlignment w:val="center"/>
              <w:rPr>
                <w:rFonts w:ascii="宋体" w:hAnsi="宋体" w:hint="eastAsia"/>
                <w:b/>
                <w:bCs/>
                <w:sz w:val="22"/>
              </w:rPr>
            </w:pPr>
            <w:r>
              <w:rPr>
                <w:rFonts w:ascii="宋体" w:hAnsi="宋体" w:hint="eastAsia"/>
                <w:b/>
                <w:bCs/>
                <w:sz w:val="22"/>
                <w:lang w:bidi="ar"/>
              </w:rPr>
              <w:t>备注</w:t>
            </w:r>
          </w:p>
        </w:tc>
      </w:tr>
      <w:tr w:rsidR="008A05F3" w14:paraId="656FECCE" w14:textId="77777777" w:rsidTr="008A05F3">
        <w:trPr>
          <w:trHeight w:val="2198"/>
        </w:trPr>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A3003" w14:textId="77777777" w:rsidR="008A05F3" w:rsidRDefault="008A05F3" w:rsidP="008A05F3">
            <w:pPr>
              <w:widowControl/>
              <w:jc w:val="center"/>
              <w:textAlignment w:val="center"/>
              <w:rPr>
                <w:rFonts w:ascii="宋体" w:hAnsi="宋体" w:hint="eastAsia"/>
                <w:color w:val="000000"/>
                <w:sz w:val="22"/>
              </w:rPr>
            </w:pPr>
            <w:r>
              <w:rPr>
                <w:rFonts w:ascii="宋体" w:hAnsi="宋体" w:hint="eastAsia"/>
                <w:color w:val="000000"/>
                <w:sz w:val="22"/>
                <w:lang w:bidi="ar"/>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0DC1C"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观花类花材</w:t>
            </w:r>
            <w:r>
              <w:rPr>
                <w:rFonts w:ascii="仿宋_GB2312" w:eastAsia="仿宋_GB2312" w:hAnsi="Arial" w:cs="仿宋_GB2312"/>
                <w:sz w:val="24"/>
                <w:szCs w:val="24"/>
                <w:lang w:bidi="ar"/>
              </w:rPr>
              <w:t>★</w:t>
            </w: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745D8"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鲜花二级</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49C09"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批</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CC5B7"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1</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1335A"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1160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BB820" w14:textId="77777777" w:rsidR="008A05F3" w:rsidRDefault="008A05F3" w:rsidP="008A05F3">
            <w:pPr>
              <w:widowControl/>
              <w:jc w:val="center"/>
              <w:textAlignment w:val="center"/>
              <w:rPr>
                <w:rFonts w:ascii="仿宋_GB2312" w:eastAsia="仿宋_GB2312" w:hAnsi="Arial" w:cs="仿宋_GB2312"/>
                <w:szCs w:val="21"/>
              </w:rPr>
            </w:pPr>
            <w:r>
              <w:rPr>
                <w:rFonts w:ascii="仿宋_GB2312" w:eastAsia="仿宋_GB2312" w:hAnsi="Arial" w:cs="仿宋_GB2312"/>
                <w:szCs w:val="21"/>
                <w:lang w:bidi="ar"/>
              </w:rPr>
              <w:t>1160</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2DB7A" w14:textId="77777777" w:rsidR="008A05F3" w:rsidRDefault="008A05F3" w:rsidP="008A05F3">
            <w:pPr>
              <w:widowControl/>
              <w:jc w:val="center"/>
              <w:textAlignment w:val="center"/>
              <w:rPr>
                <w:rFonts w:ascii="宋体" w:hAnsi="宋体" w:hint="eastAsia"/>
                <w:sz w:val="22"/>
              </w:rPr>
            </w:pPr>
            <w:r>
              <w:rPr>
                <w:rFonts w:ascii="宋体" w:hAnsi="宋体" w:hint="eastAsia"/>
                <w:sz w:val="22"/>
                <w:lang w:bidi="ar"/>
              </w:rPr>
              <w:t>玫瑰（紫霞、微笑、粉佳人、爱莎、柏拉图）、洋牡丹、蓝星花、小雏菊、公主、百合、大丽菊、翠竹、多头康乃馨、鹤望兰、睡莲、洋桔梗、大飞燕、小飞燕、牡丹菊、白蕾丝、向日葵、黄莺、橙芭比、白米花、千日红、郁金香、非洲菊、剑兰、洋甘菊、马蹄莲</w:t>
            </w:r>
          </w:p>
        </w:tc>
      </w:tr>
      <w:tr w:rsidR="008A05F3" w14:paraId="0F56D65C" w14:textId="77777777" w:rsidTr="008A05F3">
        <w:trPr>
          <w:trHeight w:val="569"/>
        </w:trPr>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49FD1" w14:textId="77777777" w:rsidR="008A05F3" w:rsidRDefault="008A05F3" w:rsidP="008A05F3">
            <w:pPr>
              <w:widowControl/>
              <w:jc w:val="center"/>
              <w:textAlignment w:val="center"/>
              <w:rPr>
                <w:rFonts w:ascii="宋体" w:hAnsi="宋体" w:hint="eastAsia"/>
                <w:color w:val="000000"/>
                <w:sz w:val="22"/>
              </w:rPr>
            </w:pPr>
            <w:r>
              <w:rPr>
                <w:rFonts w:ascii="宋体" w:hAnsi="宋体" w:hint="eastAsia"/>
                <w:color w:val="000000"/>
                <w:sz w:val="22"/>
                <w:lang w:bidi="ar"/>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3421E"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观叶类花材</w:t>
            </w:r>
            <w:r>
              <w:rPr>
                <w:rFonts w:ascii="仿宋_GB2312" w:eastAsia="仿宋_GB2312" w:hAnsi="Arial" w:cs="仿宋_GB2312"/>
                <w:sz w:val="24"/>
                <w:szCs w:val="24"/>
                <w:lang w:bidi="ar"/>
              </w:rPr>
              <w:t>★</w:t>
            </w: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04ACA"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鲜花一级</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2A483"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批</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FE77C"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1</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5A080"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800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63F84" w14:textId="77777777" w:rsidR="008A05F3" w:rsidRDefault="008A05F3" w:rsidP="008A05F3">
            <w:pPr>
              <w:widowControl/>
              <w:jc w:val="center"/>
              <w:textAlignment w:val="center"/>
              <w:rPr>
                <w:rFonts w:ascii="仿宋_GB2312" w:eastAsia="仿宋_GB2312" w:hAnsi="Arial" w:cs="仿宋_GB2312"/>
                <w:szCs w:val="21"/>
              </w:rPr>
            </w:pPr>
            <w:r>
              <w:rPr>
                <w:rFonts w:ascii="仿宋_GB2312" w:eastAsia="仿宋_GB2312" w:hAnsi="Arial" w:cs="仿宋_GB2312"/>
                <w:szCs w:val="21"/>
                <w:lang w:bidi="ar"/>
              </w:rPr>
              <w:t>800</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B79D9" w14:textId="77777777" w:rsidR="008A05F3" w:rsidRDefault="008A05F3" w:rsidP="008A05F3">
            <w:pPr>
              <w:widowControl/>
              <w:jc w:val="center"/>
              <w:textAlignment w:val="center"/>
              <w:rPr>
                <w:rFonts w:ascii="宋体" w:hAnsi="宋体" w:hint="eastAsia"/>
                <w:sz w:val="22"/>
              </w:rPr>
            </w:pPr>
            <w:r>
              <w:rPr>
                <w:rFonts w:ascii="宋体" w:hAnsi="宋体" w:hint="eastAsia"/>
                <w:sz w:val="22"/>
                <w:lang w:bidi="ar"/>
              </w:rPr>
              <w:t>龙柳、红瑞木、小盼草、喷泉草、玉簪叶、高山羊齿、雪柳、鸢尾、菖蒲、龟背、排草、水蜡竹、苔藓</w:t>
            </w:r>
          </w:p>
        </w:tc>
      </w:tr>
      <w:tr w:rsidR="008A05F3" w14:paraId="26880258" w14:textId="77777777" w:rsidTr="008A05F3">
        <w:trPr>
          <w:trHeight w:val="569"/>
        </w:trPr>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22317" w14:textId="77777777" w:rsidR="008A05F3" w:rsidRDefault="008A05F3" w:rsidP="008A05F3">
            <w:pPr>
              <w:widowControl/>
              <w:jc w:val="center"/>
              <w:textAlignment w:val="center"/>
              <w:rPr>
                <w:rFonts w:ascii="宋体" w:hAnsi="宋体" w:hint="eastAsia"/>
                <w:color w:val="000000"/>
                <w:sz w:val="22"/>
              </w:rPr>
            </w:pPr>
            <w:r>
              <w:rPr>
                <w:rFonts w:ascii="宋体" w:hAnsi="宋体" w:hint="eastAsia"/>
                <w:color w:val="000000"/>
                <w:sz w:val="22"/>
                <w:lang w:bidi="ar"/>
              </w:rPr>
              <w:lastRenderedPageBreak/>
              <w:t>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D1875"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观果类</w:t>
            </w:r>
            <w:r>
              <w:rPr>
                <w:rFonts w:ascii="仿宋_GB2312" w:eastAsia="仿宋_GB2312" w:hAnsi="Arial" w:cs="仿宋_GB2312"/>
                <w:sz w:val="24"/>
                <w:szCs w:val="24"/>
                <w:lang w:bidi="ar"/>
              </w:rPr>
              <w:t>★</w:t>
            </w: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92743"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鲜花一级（红豆）</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96FFF"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扎</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1D143"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2</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FC894"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40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2366C" w14:textId="77777777" w:rsidR="008A05F3" w:rsidRDefault="008A05F3" w:rsidP="008A05F3">
            <w:pPr>
              <w:widowControl/>
              <w:jc w:val="center"/>
              <w:textAlignment w:val="center"/>
              <w:rPr>
                <w:rFonts w:ascii="仿宋_GB2312" w:eastAsia="仿宋_GB2312" w:hAnsi="Arial" w:cs="仿宋_GB2312"/>
                <w:szCs w:val="21"/>
              </w:rPr>
            </w:pPr>
            <w:r>
              <w:rPr>
                <w:rFonts w:ascii="仿宋_GB2312" w:eastAsia="仿宋_GB2312" w:hAnsi="Arial" w:cs="仿宋_GB2312"/>
                <w:szCs w:val="21"/>
                <w:lang w:bidi="ar"/>
              </w:rPr>
              <w:t>80</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2A46F" w14:textId="77777777" w:rsidR="008A05F3" w:rsidRDefault="008A05F3" w:rsidP="008A05F3">
            <w:pPr>
              <w:jc w:val="center"/>
              <w:rPr>
                <w:rFonts w:ascii="宋体" w:hAnsi="宋体" w:hint="eastAsia"/>
                <w:b/>
                <w:bCs/>
                <w:sz w:val="22"/>
              </w:rPr>
            </w:pPr>
          </w:p>
        </w:tc>
      </w:tr>
      <w:tr w:rsidR="008A05F3" w14:paraId="2FD9D889" w14:textId="77777777" w:rsidTr="008A05F3">
        <w:trPr>
          <w:trHeight w:val="569"/>
        </w:trPr>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D686B" w14:textId="77777777" w:rsidR="008A05F3" w:rsidRDefault="008A05F3" w:rsidP="008A05F3">
            <w:pPr>
              <w:widowControl/>
              <w:jc w:val="center"/>
              <w:textAlignment w:val="center"/>
              <w:rPr>
                <w:rFonts w:ascii="宋体" w:hAnsi="宋体" w:hint="eastAsia"/>
                <w:color w:val="000000"/>
                <w:sz w:val="22"/>
              </w:rPr>
            </w:pPr>
            <w:r>
              <w:rPr>
                <w:rFonts w:ascii="宋体" w:hAnsi="宋体" w:hint="eastAsia"/>
                <w:color w:val="000000"/>
                <w:sz w:val="22"/>
                <w:lang w:bidi="ar"/>
              </w:rPr>
              <w:t>4</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5E491"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盆栽花</w:t>
            </w:r>
            <w:r>
              <w:rPr>
                <w:rFonts w:ascii="仿宋_GB2312" w:eastAsia="仿宋_GB2312" w:hAnsi="Arial" w:cs="仿宋_GB2312"/>
                <w:sz w:val="24"/>
                <w:szCs w:val="24"/>
                <w:lang w:bidi="ar"/>
              </w:rPr>
              <w:t>★</w:t>
            </w: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D6B29"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蝴蝶兰、红掌、多肉、文竹、小香松、龙草、吊竹梅</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B1CDF"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盆</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10E0F"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7</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BDA47"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50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C014E" w14:textId="77777777" w:rsidR="008A05F3" w:rsidRDefault="008A05F3" w:rsidP="008A05F3">
            <w:pPr>
              <w:widowControl/>
              <w:jc w:val="center"/>
              <w:textAlignment w:val="center"/>
              <w:rPr>
                <w:rFonts w:ascii="仿宋_GB2312" w:eastAsia="仿宋_GB2312" w:hAnsi="Arial" w:cs="仿宋_GB2312"/>
                <w:szCs w:val="21"/>
              </w:rPr>
            </w:pPr>
            <w:r>
              <w:rPr>
                <w:rFonts w:ascii="仿宋_GB2312" w:eastAsia="仿宋_GB2312" w:hAnsi="Arial" w:cs="仿宋_GB2312"/>
                <w:szCs w:val="21"/>
                <w:lang w:bidi="ar"/>
              </w:rPr>
              <w:t>350</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1826D" w14:textId="77777777" w:rsidR="008A05F3" w:rsidRDefault="008A05F3" w:rsidP="008A05F3">
            <w:pPr>
              <w:jc w:val="center"/>
              <w:rPr>
                <w:rFonts w:ascii="宋体" w:hAnsi="宋体" w:hint="eastAsia"/>
                <w:b/>
                <w:bCs/>
                <w:sz w:val="22"/>
              </w:rPr>
            </w:pPr>
          </w:p>
        </w:tc>
      </w:tr>
      <w:tr w:rsidR="008A05F3" w14:paraId="74732E44" w14:textId="77777777" w:rsidTr="008A05F3">
        <w:trPr>
          <w:trHeight w:val="569"/>
        </w:trPr>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2CE3B" w14:textId="77777777" w:rsidR="008A05F3" w:rsidRDefault="008A05F3" w:rsidP="008A05F3">
            <w:pPr>
              <w:widowControl/>
              <w:jc w:val="center"/>
              <w:textAlignment w:val="center"/>
              <w:rPr>
                <w:rFonts w:ascii="宋体" w:hAnsi="宋体" w:hint="eastAsia"/>
                <w:color w:val="000000"/>
                <w:sz w:val="22"/>
              </w:rPr>
            </w:pPr>
            <w:r>
              <w:rPr>
                <w:rFonts w:ascii="宋体" w:hAnsi="宋体" w:hint="eastAsia"/>
                <w:color w:val="000000"/>
                <w:sz w:val="22"/>
                <w:lang w:bidi="ar"/>
              </w:rPr>
              <w:t>5</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3C50D"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花盆</w:t>
            </w: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BCE82"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中式敞口花盆；80*60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035A9"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个</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8D58F"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1</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CC422"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100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DE67B" w14:textId="77777777" w:rsidR="008A05F3" w:rsidRDefault="008A05F3" w:rsidP="008A05F3">
            <w:pPr>
              <w:widowControl/>
              <w:jc w:val="center"/>
              <w:textAlignment w:val="center"/>
              <w:rPr>
                <w:rFonts w:ascii="仿宋_GB2312" w:eastAsia="仿宋_GB2312" w:hAnsi="Arial" w:cs="仿宋_GB2312"/>
                <w:szCs w:val="21"/>
              </w:rPr>
            </w:pPr>
            <w:r>
              <w:rPr>
                <w:rFonts w:ascii="仿宋_GB2312" w:eastAsia="仿宋_GB2312" w:hAnsi="Arial" w:cs="仿宋_GB2312"/>
                <w:szCs w:val="21"/>
                <w:lang w:bidi="ar"/>
              </w:rPr>
              <w:t>100</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56E19" w14:textId="77777777" w:rsidR="008A05F3" w:rsidRDefault="008A05F3" w:rsidP="008A05F3">
            <w:pPr>
              <w:jc w:val="center"/>
              <w:rPr>
                <w:rFonts w:ascii="宋体" w:hAnsi="宋体" w:hint="eastAsia"/>
                <w:b/>
                <w:bCs/>
                <w:sz w:val="22"/>
              </w:rPr>
            </w:pPr>
          </w:p>
        </w:tc>
      </w:tr>
      <w:tr w:rsidR="008A05F3" w14:paraId="42A52AD1" w14:textId="77777777" w:rsidTr="008A05F3">
        <w:trPr>
          <w:trHeight w:val="569"/>
        </w:trPr>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BF47B" w14:textId="77777777" w:rsidR="008A05F3" w:rsidRDefault="008A05F3" w:rsidP="008A05F3">
            <w:pPr>
              <w:widowControl/>
              <w:jc w:val="center"/>
              <w:textAlignment w:val="center"/>
              <w:rPr>
                <w:rFonts w:ascii="宋体" w:hAnsi="宋体" w:hint="eastAsia"/>
                <w:color w:val="000000"/>
                <w:sz w:val="22"/>
              </w:rPr>
            </w:pPr>
            <w:r>
              <w:rPr>
                <w:rFonts w:ascii="宋体" w:hAnsi="宋体" w:hint="eastAsia"/>
                <w:color w:val="000000"/>
                <w:sz w:val="22"/>
                <w:lang w:bidi="ar"/>
              </w:rPr>
              <w:t>6</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F2CAF"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环保铁丝</w:t>
            </w: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FA49E"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环保铁丝（绿）</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3C732"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卷</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84869"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4</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C81DB"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40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F077E" w14:textId="77777777" w:rsidR="008A05F3" w:rsidRDefault="008A05F3" w:rsidP="008A05F3">
            <w:pPr>
              <w:widowControl/>
              <w:jc w:val="center"/>
              <w:textAlignment w:val="center"/>
              <w:rPr>
                <w:rFonts w:ascii="仿宋_GB2312" w:eastAsia="仿宋_GB2312" w:hAnsi="Arial" w:cs="仿宋_GB2312"/>
                <w:szCs w:val="21"/>
              </w:rPr>
            </w:pPr>
            <w:r>
              <w:rPr>
                <w:rFonts w:ascii="仿宋_GB2312" w:eastAsia="仿宋_GB2312" w:hAnsi="Arial" w:cs="仿宋_GB2312"/>
                <w:szCs w:val="21"/>
                <w:lang w:bidi="ar"/>
              </w:rPr>
              <w:t>160</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99BBC" w14:textId="77777777" w:rsidR="008A05F3" w:rsidRDefault="008A05F3" w:rsidP="008A05F3">
            <w:pPr>
              <w:jc w:val="center"/>
              <w:rPr>
                <w:rFonts w:ascii="宋体" w:hAnsi="宋体" w:hint="eastAsia"/>
                <w:b/>
                <w:bCs/>
                <w:sz w:val="22"/>
              </w:rPr>
            </w:pPr>
          </w:p>
        </w:tc>
      </w:tr>
      <w:tr w:rsidR="008A05F3" w14:paraId="57CAFA5F" w14:textId="77777777" w:rsidTr="008A05F3">
        <w:trPr>
          <w:trHeight w:val="569"/>
        </w:trPr>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C66FC" w14:textId="77777777" w:rsidR="008A05F3" w:rsidRDefault="008A05F3" w:rsidP="008A05F3">
            <w:pPr>
              <w:widowControl/>
              <w:jc w:val="center"/>
              <w:textAlignment w:val="center"/>
              <w:rPr>
                <w:rFonts w:ascii="宋体" w:hAnsi="宋体" w:hint="eastAsia"/>
                <w:color w:val="000000"/>
                <w:sz w:val="22"/>
              </w:rPr>
            </w:pPr>
            <w:r>
              <w:rPr>
                <w:rFonts w:ascii="宋体" w:hAnsi="宋体" w:hint="eastAsia"/>
                <w:color w:val="000000"/>
                <w:sz w:val="22"/>
                <w:lang w:bidi="ar"/>
              </w:rPr>
              <w:t>7</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4CAC7"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鲜花胶</w:t>
            </w: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2DCE2"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强力鲜花胶</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F06DF"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支</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72458"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10</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F5BE3"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15</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9A456" w14:textId="77777777" w:rsidR="008A05F3" w:rsidRDefault="008A05F3" w:rsidP="008A05F3">
            <w:pPr>
              <w:widowControl/>
              <w:jc w:val="center"/>
              <w:textAlignment w:val="center"/>
              <w:rPr>
                <w:rFonts w:ascii="仿宋_GB2312" w:eastAsia="仿宋_GB2312" w:hAnsi="Arial" w:cs="仿宋_GB2312"/>
                <w:szCs w:val="21"/>
              </w:rPr>
            </w:pPr>
            <w:r>
              <w:rPr>
                <w:rFonts w:ascii="仿宋_GB2312" w:eastAsia="仿宋_GB2312" w:hAnsi="Arial" w:cs="仿宋_GB2312"/>
                <w:szCs w:val="21"/>
                <w:lang w:bidi="ar"/>
              </w:rPr>
              <w:t>150</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14746" w14:textId="77777777" w:rsidR="008A05F3" w:rsidRDefault="008A05F3" w:rsidP="008A05F3">
            <w:pPr>
              <w:jc w:val="center"/>
              <w:rPr>
                <w:rFonts w:ascii="宋体" w:hAnsi="宋体" w:hint="eastAsia"/>
                <w:b/>
                <w:bCs/>
                <w:sz w:val="22"/>
              </w:rPr>
            </w:pPr>
          </w:p>
        </w:tc>
      </w:tr>
      <w:tr w:rsidR="008A05F3" w14:paraId="0A96C23F" w14:textId="77777777" w:rsidTr="008A05F3">
        <w:trPr>
          <w:trHeight w:val="569"/>
        </w:trPr>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E3F6D" w14:textId="77777777" w:rsidR="008A05F3" w:rsidRDefault="008A05F3" w:rsidP="008A05F3">
            <w:pPr>
              <w:widowControl/>
              <w:jc w:val="center"/>
              <w:textAlignment w:val="center"/>
              <w:rPr>
                <w:rFonts w:ascii="宋体" w:hAnsi="宋体" w:hint="eastAsia"/>
                <w:color w:val="000000"/>
                <w:sz w:val="22"/>
              </w:rPr>
            </w:pPr>
            <w:r>
              <w:rPr>
                <w:rFonts w:ascii="宋体" w:hAnsi="宋体" w:hint="eastAsia"/>
                <w:color w:val="000000"/>
                <w:sz w:val="22"/>
                <w:lang w:bidi="ar"/>
              </w:rPr>
              <w:t>8</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FEF66"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铝丝</w:t>
            </w: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0ACD0"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盆景铝丝（4.5MM）</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A182C"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卷</w:t>
            </w:r>
          </w:p>
        </w:tc>
        <w:tc>
          <w:tcPr>
            <w:tcW w:w="3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CCE9B"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4</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BD13C" w14:textId="77777777" w:rsidR="008A05F3" w:rsidRDefault="008A05F3" w:rsidP="008A05F3">
            <w:pPr>
              <w:widowControl/>
              <w:jc w:val="center"/>
              <w:textAlignment w:val="center"/>
              <w:rPr>
                <w:rFonts w:ascii="仿宋_GB2312" w:eastAsia="仿宋_GB2312" w:hAnsi="Arial" w:cs="仿宋_GB2312"/>
                <w:sz w:val="24"/>
                <w:szCs w:val="24"/>
              </w:rPr>
            </w:pPr>
            <w:r>
              <w:rPr>
                <w:rFonts w:ascii="仿宋_GB2312" w:eastAsia="仿宋_GB2312" w:hAnsi="Arial" w:cs="仿宋_GB2312"/>
                <w:sz w:val="24"/>
                <w:szCs w:val="24"/>
                <w:lang w:bidi="ar"/>
              </w:rPr>
              <w:t>50</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EED12" w14:textId="77777777" w:rsidR="008A05F3" w:rsidRDefault="008A05F3" w:rsidP="008A05F3">
            <w:pPr>
              <w:widowControl/>
              <w:jc w:val="center"/>
              <w:textAlignment w:val="center"/>
              <w:rPr>
                <w:rFonts w:ascii="仿宋_GB2312" w:eastAsia="仿宋_GB2312" w:hAnsi="Arial" w:cs="仿宋_GB2312"/>
                <w:szCs w:val="21"/>
              </w:rPr>
            </w:pPr>
            <w:r>
              <w:rPr>
                <w:rFonts w:ascii="仿宋_GB2312" w:eastAsia="仿宋_GB2312" w:hAnsi="Arial" w:cs="仿宋_GB2312"/>
                <w:szCs w:val="21"/>
                <w:lang w:bidi="ar"/>
              </w:rPr>
              <w:t>200</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5E34B" w14:textId="77777777" w:rsidR="008A05F3" w:rsidRDefault="008A05F3" w:rsidP="008A05F3">
            <w:pPr>
              <w:jc w:val="center"/>
              <w:rPr>
                <w:rFonts w:ascii="宋体" w:hAnsi="宋体" w:hint="eastAsia"/>
                <w:b/>
                <w:bCs/>
                <w:sz w:val="22"/>
              </w:rPr>
            </w:pPr>
          </w:p>
        </w:tc>
      </w:tr>
      <w:tr w:rsidR="008A05F3" w14:paraId="0E84CD67" w14:textId="77777777" w:rsidTr="008A05F3">
        <w:trPr>
          <w:trHeight w:val="569"/>
        </w:trPr>
        <w:tc>
          <w:tcPr>
            <w:tcW w:w="368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065A62" w14:textId="323A49B3" w:rsidR="008A05F3" w:rsidRDefault="008A05F3" w:rsidP="008A05F3">
            <w:pPr>
              <w:widowControl/>
              <w:jc w:val="center"/>
              <w:textAlignment w:val="center"/>
              <w:rPr>
                <w:rFonts w:ascii="仿宋_GB2312" w:eastAsia="仿宋_GB2312" w:hAnsi="Arial" w:cs="仿宋_GB2312"/>
                <w:sz w:val="24"/>
                <w:szCs w:val="24"/>
                <w:lang w:bidi="ar"/>
              </w:rPr>
            </w:pPr>
            <w:r>
              <w:rPr>
                <w:rFonts w:ascii="仿宋_GB2312" w:eastAsia="仿宋_GB2312" w:hAnsi="Arial" w:cs="仿宋_GB2312" w:hint="eastAsia"/>
                <w:sz w:val="24"/>
                <w:szCs w:val="24"/>
                <w:lang w:bidi="ar"/>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65F1B" w14:textId="337F8F21" w:rsidR="008A05F3" w:rsidRDefault="008A05F3" w:rsidP="008A05F3">
            <w:pPr>
              <w:widowControl/>
              <w:jc w:val="center"/>
              <w:textAlignment w:val="center"/>
              <w:rPr>
                <w:rFonts w:ascii="仿宋_GB2312" w:eastAsia="仿宋_GB2312" w:hAnsi="Arial" w:cs="仿宋_GB2312"/>
                <w:szCs w:val="21"/>
                <w:lang w:bidi="ar"/>
              </w:rPr>
            </w:pPr>
            <w:r>
              <w:rPr>
                <w:rFonts w:ascii="仿宋_GB2312" w:eastAsia="仿宋_GB2312" w:hAnsi="Arial" w:cs="仿宋_GB2312" w:hint="eastAsia"/>
                <w:szCs w:val="21"/>
                <w:lang w:bidi="ar"/>
              </w:rPr>
              <w:t>3000</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7898D" w14:textId="77777777" w:rsidR="008A05F3" w:rsidRDefault="008A05F3" w:rsidP="008A05F3">
            <w:pPr>
              <w:jc w:val="center"/>
              <w:rPr>
                <w:rFonts w:ascii="宋体" w:hAnsi="宋体" w:hint="eastAsia"/>
                <w:b/>
                <w:bCs/>
                <w:sz w:val="22"/>
              </w:rPr>
            </w:pPr>
          </w:p>
        </w:tc>
      </w:tr>
    </w:tbl>
    <w:p w14:paraId="2168B0E3" w14:textId="77777777" w:rsidR="001A749B" w:rsidRDefault="001A749B">
      <w:pPr>
        <w:spacing w:before="120" w:after="120" w:line="288" w:lineRule="auto"/>
        <w:jc w:val="left"/>
      </w:pPr>
    </w:p>
    <w:sectPr w:rsidR="001A749B">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NlMDMwZjdlMTE2NjUxNTA5ZDhmNTE4NzEwZDdiMzgifQ=="/>
  </w:docVars>
  <w:rsids>
    <w:rsidRoot w:val="001A749B"/>
    <w:rsid w:val="000377B1"/>
    <w:rsid w:val="001A749B"/>
    <w:rsid w:val="00335038"/>
    <w:rsid w:val="005A2992"/>
    <w:rsid w:val="008A05F3"/>
    <w:rsid w:val="008C6690"/>
    <w:rsid w:val="00A82C99"/>
    <w:rsid w:val="00C621A8"/>
    <w:rsid w:val="00F17E7D"/>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5AA1393"/>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DEC8"/>
  <w15:docId w15:val="{B1A34AD7-F31B-4C9C-937D-591342C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2DD66-2928-43E3-B7B2-B9418269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江山 李</cp:lastModifiedBy>
  <cp:revision>3</cp:revision>
  <dcterms:created xsi:type="dcterms:W3CDTF">2022-08-23T05:20:00Z</dcterms:created>
  <dcterms:modified xsi:type="dcterms:W3CDTF">2025-01-10T05:08:00Z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eyJoZGlkIjoiZjZmZjM0ZmMyNzUzNjNmMmU4OGE1MjhmMGQ1MTFlOWIiLCJ1c2VySWQiOiI1MzEyNTg4NzUifQ==</vt:lpwstr>
  </property>
</Properties>
</file>