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BC4F29"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昌吉职业技术学院生产单元数字化改造赛项采购需求</w:t>
      </w:r>
    </w:p>
    <w:p w14:paraId="3F27AFC0" w14:textId="77777777" w:rsidR="00BC4F29" w:rsidRDefault="00BC4F29">
      <w:pPr>
        <w:jc w:val="center"/>
        <w:rPr>
          <w:rFonts w:ascii="黑体" w:eastAsia="黑体" w:hAnsi="黑体" w:cs="黑体" w:hint="eastAsia"/>
          <w:sz w:val="32"/>
          <w:szCs w:val="32"/>
        </w:rPr>
      </w:pPr>
    </w:p>
    <w:p w14:paraId="155B592A" w14:textId="77777777" w:rsidR="00BC4F29"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BC4F29"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项目名称：昌吉职业技术学院生产单元数字化改造赛项</w:t>
      </w:r>
    </w:p>
    <w:p w14:paraId="5AA39497" w14:textId="77777777" w:rsidR="00BC4F2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BC4F2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采购预算：人民币3170元。</w:t>
      </w:r>
    </w:p>
    <w:p w14:paraId="65AD43CF" w14:textId="77777777" w:rsidR="00BC4F2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BC4F2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BC4F2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BC4F29"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BC4F29"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BC4F2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BC4F2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BC4F2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BC4F2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BC4F2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BC4F2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BC4F2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BC4F2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BC4F2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BC4F2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BC4F2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BC4F2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kern w:val="2"/>
          <w:sz w:val="24"/>
          <w:szCs w:val="24"/>
        </w:rPr>
        <w:t>该作为</w:t>
      </w:r>
      <w:proofErr w:type="gramEnd"/>
      <w:r>
        <w:rPr>
          <w:rFonts w:ascii="仿宋" w:eastAsia="仿宋" w:hAnsi="仿宋" w:cs="仿宋" w:hint="eastAsia"/>
          <w:kern w:val="2"/>
          <w:sz w:val="24"/>
          <w:szCs w:val="24"/>
        </w:rPr>
        <w:t>不包括验收的行为。</w:t>
      </w:r>
    </w:p>
    <w:p w14:paraId="627D32EA" w14:textId="77777777" w:rsidR="00BC4F2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)验收的内容：</w:t>
      </w:r>
    </w:p>
    <w:p w14:paraId="243E1CDC" w14:textId="77777777" w:rsidR="00BC4F2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BC4F2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BC4F2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BC4F2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BC4F2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BC4F29"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BC4F29"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BC4F2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BC4F2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w:t>
      </w:r>
      <w:proofErr w:type="gramStart"/>
      <w:r>
        <w:rPr>
          <w:rFonts w:hint="eastAsia"/>
          <w:kern w:val="2"/>
          <w:sz w:val="24"/>
          <w:szCs w:val="24"/>
        </w:rPr>
        <w:t>自项目</w:t>
      </w:r>
      <w:proofErr w:type="gramEnd"/>
      <w:r>
        <w:rPr>
          <w:rFonts w:hint="eastAsia"/>
          <w:kern w:val="2"/>
          <w:sz w:val="24"/>
          <w:szCs w:val="24"/>
        </w:rPr>
        <w:t>通过验收合格之日起计算。</w:t>
      </w:r>
    </w:p>
    <w:p w14:paraId="5999E8FE" w14:textId="77777777" w:rsidR="00BC4F2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BC4F29" w:rsidRDefault="00BC4F29">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BC4F29" w:rsidRDefault="00BC4F29">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BC4F29" w:rsidRDefault="00BC4F29">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BC4F29" w:rsidRDefault="00BC4F29">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BC4F29"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pPr w:leftFromText="180" w:rightFromText="180" w:vertAnchor="text" w:horzAnchor="page" w:tblpXSpec="center" w:tblpY="426"/>
        <w:tblOverlap w:val="never"/>
        <w:tblW w:w="4745" w:type="pct"/>
        <w:jc w:val="center"/>
        <w:tblLook w:val="04A0" w:firstRow="1" w:lastRow="0" w:firstColumn="1" w:lastColumn="0" w:noHBand="0" w:noVBand="1"/>
      </w:tblPr>
      <w:tblGrid>
        <w:gridCol w:w="503"/>
        <w:gridCol w:w="1076"/>
        <w:gridCol w:w="1854"/>
        <w:gridCol w:w="601"/>
        <w:gridCol w:w="504"/>
        <w:gridCol w:w="1016"/>
        <w:gridCol w:w="1014"/>
        <w:gridCol w:w="1518"/>
      </w:tblGrid>
      <w:tr w:rsidR="001F26B5" w14:paraId="403F3F09" w14:textId="77777777" w:rsidTr="001F26B5">
        <w:trPr>
          <w:trHeight w:val="555"/>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E0F9" w14:textId="77777777" w:rsidR="001F26B5" w:rsidRDefault="001F26B5">
            <w:pPr>
              <w:widowControl/>
              <w:jc w:val="center"/>
              <w:textAlignment w:val="center"/>
              <w:rPr>
                <w:rFonts w:ascii="宋体" w:hAnsi="宋体" w:hint="eastAsia"/>
                <w:color w:val="000000"/>
                <w:sz w:val="22"/>
                <w:lang w:bidi="ar"/>
              </w:rPr>
            </w:pPr>
            <w:r>
              <w:rPr>
                <w:rFonts w:ascii="宋体" w:hAnsi="宋体" w:hint="eastAsia"/>
                <w:color w:val="000000"/>
                <w:sz w:val="22"/>
                <w:lang w:bidi="ar"/>
              </w:rPr>
              <w:t>序号</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FBC8" w14:textId="77777777" w:rsidR="001F26B5" w:rsidRDefault="001F26B5">
            <w:pPr>
              <w:widowControl/>
              <w:jc w:val="center"/>
              <w:textAlignment w:val="center"/>
              <w:rPr>
                <w:rFonts w:ascii="宋体" w:hAnsi="宋体" w:hint="eastAsia"/>
                <w:color w:val="000000"/>
                <w:sz w:val="20"/>
                <w:szCs w:val="20"/>
                <w:lang w:bidi="ar"/>
              </w:rPr>
            </w:pPr>
            <w:r>
              <w:rPr>
                <w:rFonts w:ascii="宋体" w:hAnsi="宋体" w:hint="eastAsia"/>
                <w:b/>
                <w:bCs/>
                <w:sz w:val="22"/>
                <w:lang w:bidi="ar"/>
              </w:rPr>
              <w:t>名称</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4E12" w14:textId="77777777" w:rsidR="001F26B5" w:rsidRDefault="001F26B5">
            <w:pPr>
              <w:widowControl/>
              <w:jc w:val="center"/>
              <w:textAlignment w:val="center"/>
              <w:rPr>
                <w:rFonts w:ascii="宋体" w:hAnsi="宋体" w:hint="eastAsia"/>
                <w:color w:val="000000"/>
                <w:sz w:val="20"/>
                <w:szCs w:val="20"/>
                <w:lang w:bidi="ar"/>
              </w:rPr>
            </w:pPr>
            <w:r>
              <w:rPr>
                <w:rFonts w:ascii="宋体" w:hAnsi="宋体" w:hint="eastAsia"/>
                <w:b/>
                <w:bCs/>
                <w:sz w:val="22"/>
                <w:lang w:bidi="ar"/>
              </w:rPr>
              <w:t>规格型号品牌</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FB82" w14:textId="77777777" w:rsidR="001F26B5" w:rsidRDefault="001F26B5">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单位</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5809" w14:textId="77777777" w:rsidR="001F26B5" w:rsidRDefault="001F26B5">
            <w:pPr>
              <w:widowControl/>
              <w:jc w:val="center"/>
              <w:textAlignment w:val="center"/>
              <w:rPr>
                <w:rFonts w:ascii="宋体" w:hAnsi="宋体" w:hint="eastAsia"/>
                <w:color w:val="000000"/>
                <w:sz w:val="20"/>
                <w:szCs w:val="20"/>
                <w:lang w:bidi="ar"/>
              </w:rPr>
            </w:pPr>
            <w:r>
              <w:rPr>
                <w:rFonts w:ascii="宋体" w:hAnsi="宋体" w:hint="eastAsia"/>
                <w:b/>
                <w:bCs/>
                <w:sz w:val="22"/>
                <w:lang w:bidi="ar"/>
              </w:rPr>
              <w:t>数量</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D943" w14:textId="77777777" w:rsidR="001F26B5" w:rsidRDefault="001F26B5">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单价（元）</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0CD8" w14:textId="77777777" w:rsidR="001F26B5" w:rsidRDefault="001F26B5">
            <w:pPr>
              <w:widowControl/>
              <w:jc w:val="center"/>
              <w:textAlignment w:val="center"/>
              <w:rPr>
                <w:rFonts w:ascii="宋体" w:hAnsi="宋体" w:hint="eastAsia"/>
                <w:color w:val="000000"/>
                <w:sz w:val="20"/>
                <w:szCs w:val="20"/>
                <w:lang w:bidi="ar"/>
              </w:rPr>
            </w:pPr>
            <w:r>
              <w:rPr>
                <w:rFonts w:ascii="宋体" w:hAnsi="宋体" w:hint="eastAsia"/>
                <w:b/>
                <w:bCs/>
                <w:sz w:val="22"/>
                <w:lang w:bidi="ar"/>
              </w:rPr>
              <w:t>金额（元）</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2283" w14:textId="77777777" w:rsidR="001F26B5" w:rsidRDefault="001F26B5">
            <w:pPr>
              <w:widowControl/>
              <w:jc w:val="center"/>
              <w:textAlignment w:val="center"/>
              <w:rPr>
                <w:rFonts w:ascii="宋体" w:hAnsi="宋体" w:hint="eastAsia"/>
                <w:color w:val="000000"/>
                <w:sz w:val="20"/>
                <w:szCs w:val="20"/>
                <w:lang w:bidi="ar"/>
              </w:rPr>
            </w:pPr>
            <w:r>
              <w:rPr>
                <w:rFonts w:ascii="宋体" w:hAnsi="宋体" w:hint="eastAsia"/>
                <w:b/>
                <w:bCs/>
                <w:sz w:val="22"/>
                <w:lang w:bidi="ar"/>
              </w:rPr>
              <w:t>备注</w:t>
            </w:r>
          </w:p>
        </w:tc>
      </w:tr>
      <w:tr w:rsidR="001F26B5" w14:paraId="4B159D1D" w14:textId="77777777" w:rsidTr="001F26B5">
        <w:trPr>
          <w:trHeight w:val="555"/>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F975" w14:textId="77777777" w:rsidR="001F26B5" w:rsidRDefault="001F26B5">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F0E9" w14:textId="77777777" w:rsidR="001F26B5" w:rsidRDefault="001F26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双目深度相机</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7804" w14:textId="77777777" w:rsidR="001F26B5" w:rsidRDefault="001F26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D455</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8D70" w14:textId="77777777" w:rsidR="001F26B5" w:rsidRDefault="001F26B5">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6BFC" w14:textId="77777777" w:rsidR="001F26B5" w:rsidRDefault="001F26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3D4F" w14:textId="77777777" w:rsidR="001F26B5" w:rsidRDefault="001F26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3170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5746" w14:textId="77777777" w:rsidR="001F26B5" w:rsidRDefault="001F26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3170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BCE7" w14:textId="77777777" w:rsidR="001F26B5" w:rsidRDefault="001F26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英特尔Intel RealSense、基恩士、中</w:t>
            </w:r>
            <w:proofErr w:type="gramStart"/>
            <w:r>
              <w:rPr>
                <w:rFonts w:ascii="宋体" w:hAnsi="宋体" w:hint="eastAsia"/>
                <w:color w:val="000000"/>
                <w:sz w:val="20"/>
                <w:szCs w:val="20"/>
                <w:lang w:bidi="ar"/>
              </w:rPr>
              <w:t>天晨拓</w:t>
            </w:r>
            <w:proofErr w:type="gramEnd"/>
          </w:p>
        </w:tc>
      </w:tr>
      <w:tr w:rsidR="001F26B5" w14:paraId="079F25FD" w14:textId="77777777" w:rsidTr="001F26B5">
        <w:trPr>
          <w:trHeight w:val="555"/>
          <w:jc w:val="center"/>
        </w:trPr>
        <w:tc>
          <w:tcPr>
            <w:tcW w:w="55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BAB78B" w14:textId="0E7BED42" w:rsidR="001F26B5" w:rsidRDefault="001F26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合计</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1BEC" w14:textId="746D139E" w:rsidR="001F26B5" w:rsidRDefault="001F26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3170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74F9" w14:textId="77777777" w:rsidR="001F26B5" w:rsidRDefault="001F26B5">
            <w:pPr>
              <w:widowControl/>
              <w:jc w:val="center"/>
              <w:textAlignment w:val="center"/>
              <w:rPr>
                <w:rFonts w:ascii="宋体" w:hAnsi="宋体" w:hint="eastAsia"/>
                <w:color w:val="000000"/>
                <w:sz w:val="20"/>
                <w:szCs w:val="20"/>
                <w:lang w:bidi="ar"/>
              </w:rPr>
            </w:pPr>
          </w:p>
        </w:tc>
      </w:tr>
    </w:tbl>
    <w:p w14:paraId="4DA97C03" w14:textId="77777777" w:rsidR="00BC4F29" w:rsidRDefault="00BC4F29">
      <w:pPr>
        <w:spacing w:before="120" w:after="120" w:line="288" w:lineRule="auto"/>
        <w:jc w:val="left"/>
      </w:pPr>
    </w:p>
    <w:p w14:paraId="1AE4F3F0" w14:textId="77777777" w:rsidR="00BC4F29" w:rsidRDefault="00BC4F29">
      <w:pPr>
        <w:pStyle w:val="a0"/>
        <w:ind w:firstLine="210"/>
      </w:pPr>
    </w:p>
    <w:sectPr w:rsidR="00BC4F29">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BC4F29"/>
    <w:rsid w:val="00091E6D"/>
    <w:rsid w:val="001F26B5"/>
    <w:rsid w:val="00793661"/>
    <w:rsid w:val="00BC4F29"/>
    <w:rsid w:val="00C621A8"/>
    <w:rsid w:val="00E80404"/>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5AA1393"/>
    <w:rsid w:val="69BD4C13"/>
    <w:rsid w:val="6CE43D53"/>
    <w:rsid w:val="6D6A50B2"/>
    <w:rsid w:val="6E4E1E74"/>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75F9"/>
  <w15:docId w15:val="{B1741FCF-E5EC-479D-A7C4-DF7694A6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2</cp:revision>
  <dcterms:created xsi:type="dcterms:W3CDTF">2022-08-23T05:20:00Z</dcterms:created>
  <dcterms:modified xsi:type="dcterms:W3CDTF">2025-01-10T05:11:00Z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