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630" w:left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招标文件</w:t>
      </w:r>
    </w:p>
    <w:p>
      <w:pPr>
        <w:numPr>
          <w:ilvl w:val="0"/>
          <w:numId w:val="0"/>
        </w:numPr>
        <w:ind w:left="63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项目概况与招标范围</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呼图壁河流域管理处在齐古水库管理站、青年渠首、青年干渠第三管理站、大海子水库管理站，养护树木面积总共1707亩，种类有榆树、海棠树、白腊、杨树、苹果树等，共计58771棵树和1400棵灌木。</w:t>
      </w:r>
    </w:p>
    <w:p>
      <w:pPr>
        <w:numPr>
          <w:ilvl w:val="0"/>
          <w:numId w:val="1"/>
        </w:numPr>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齐古水库管理站位于呼图壁县以南40公里处，养护树木面积约800亩，种类有榆树、海棠树、白腊、杨树、苹果树、白桦树等，共计31224棵，树木浇水主要采用滴灌。</w:t>
      </w:r>
    </w:p>
    <w:p>
      <w:pPr>
        <w:numPr>
          <w:ilvl w:val="0"/>
          <w:numId w:val="1"/>
        </w:numPr>
        <w:ind w:left="-1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青年渠首位于呼图壁县以南18公里处，养护树木面积约250亩，种类有榆树、海棠树、白腊、杨树等，共计7600棵，树木浇水以库区水泵抽水形式，主要采用滴灌及部分喷灌。</w:t>
      </w:r>
    </w:p>
    <w:p>
      <w:pPr>
        <w:numPr>
          <w:ilvl w:val="0"/>
          <w:numId w:val="1"/>
        </w:numPr>
        <w:ind w:left="-10" w:leftChars="0" w:firstLine="64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青年干渠第三管理站位于呼图壁县以西5公里处，养护树木面积约120亩(含5亩园艺地)，种类有榆树、海棠树、白腊、苹果树等，共计4100棵树，1400颗灌木，树木浇水以渠道水泵抽水形式，主要采用滴灌。</w:t>
      </w:r>
    </w:p>
    <w:p>
      <w:pPr>
        <w:numPr>
          <w:ilvl w:val="0"/>
          <w:numId w:val="1"/>
        </w:numPr>
        <w:ind w:left="-10" w:leftChars="0" w:firstLine="64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大海子水库管理位于呼图壁县以北40公里处，养护树木面积月537亩，种类有榆树、海棠树、杨树等，共计15847棵，树木浇水用井水，主要采用滴灌和沟灌。</w:t>
      </w:r>
    </w:p>
    <w:p>
      <w:pPr>
        <w:numPr>
          <w:ilvl w:val="0"/>
          <w:numId w:val="0"/>
        </w:numPr>
        <w:ind w:left="630" w:leftChars="0"/>
        <w:jc w:val="both"/>
        <w:rPr>
          <w:rFonts w:hint="eastAsia" w:ascii="仿宋_GB2312" w:hAnsi="仿宋_GB2312" w:eastAsia="仿宋_GB2312" w:cs="仿宋_GB2312"/>
          <w:b/>
          <w:bCs/>
          <w:sz w:val="32"/>
          <w:szCs w:val="32"/>
          <w:lang w:val="en-US" w:eastAsia="zh-CN"/>
        </w:rPr>
      </w:pPr>
    </w:p>
    <w:p>
      <w:pPr>
        <w:numPr>
          <w:ilvl w:val="0"/>
          <w:numId w:val="0"/>
        </w:numPr>
        <w:ind w:left="630" w:leftChars="0"/>
        <w:jc w:val="both"/>
        <w:rPr>
          <w:rFonts w:hint="eastAsia" w:ascii="仿宋_GB2312" w:hAnsi="仿宋_GB2312" w:eastAsia="仿宋_GB2312" w:cs="仿宋_GB2312"/>
          <w:b/>
          <w:bCs/>
          <w:sz w:val="32"/>
          <w:szCs w:val="32"/>
          <w:lang w:val="en-US" w:eastAsia="zh-CN"/>
        </w:rPr>
      </w:pPr>
    </w:p>
    <w:p>
      <w:pPr>
        <w:numPr>
          <w:ilvl w:val="0"/>
          <w:numId w:val="0"/>
        </w:numPr>
        <w:ind w:left="630" w:leftChars="0"/>
        <w:jc w:val="both"/>
        <w:rPr>
          <w:rFonts w:hint="eastAsia" w:ascii="仿宋_GB2312" w:hAnsi="仿宋_GB2312" w:eastAsia="仿宋_GB2312" w:cs="仿宋_GB2312"/>
          <w:b/>
          <w:bCs/>
          <w:sz w:val="32"/>
          <w:szCs w:val="32"/>
          <w:lang w:val="en-US" w:eastAsia="zh-CN"/>
        </w:rPr>
      </w:pPr>
    </w:p>
    <w:p>
      <w:pPr>
        <w:numPr>
          <w:ilvl w:val="0"/>
          <w:numId w:val="0"/>
        </w:numPr>
        <w:ind w:left="630"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一、技术要求：</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养护树木应保证在不发生病虫害的前提下，榆树喷药2次，其他种类树木每年必须喷药1次。所有养护树木根据当年的病虫害情况增加喷药次数，确保树木不受病虫害。具体喷药工作由中标单位自行安排（或与招标人协商），在树木养护过程中要确保99%成活率。</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养护树木每年至少刷树2次、修剪3-5次、除草1次，确保林带内无杂草。道路两边树木适当增加修剪、除草次数，确保林带整洁，树木整齐。建立管护台账，由运行管理单位（管护林木所在管理站）与中标单位共同签字确认，作为结算的依据。</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浇水过程中规范使用浇水管道及滴灌带，使用过程中发现部分损害浇水管道、滴灌带应及时维修，确保树木及时浇水。所有养护树木根据树木的长势、土壤情况按需浇水、施肥，天气炎热月份（6-8月）酌情增加浇水次数，确保树木长势良好。</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根据当年的树木养护情况，年底提交树木养护管理工作报告。作为结算的依据。</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中标单位服从运行管理单位的管理，打药、修剪树木、施肥等相关工作及时与运行管理站点联系，做好管理树木考勤工作。</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按照林业管护的工作要求，其他未列入树木养护技术规范、要求的相关内容按行业要求遵照执行。</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管护期间，其中：齐古水库管理站全年的管道、阀门、喷滴头等相关绿化供水配件及耗材在5万元以内，由中标单位承担，全年超过5万元后，超出部分由招标人承担(中标单位故意破坏的由中标人承担）。青年渠首管理站全年的管道、阀门、喷滴头等相关绿化供水配件及耗材在3万元以内，由中标单位承担，全年超过3万元后，超出部分由招标人承担(中标单位故意破坏的由中标人承担）。青年干渠第三管理站、大海子水库管理站全年的管道、阀门、喷滴头等相关绿化供水配件及耗材在1万元以内，由中标单位承担，全年超过1万元后，超出部分由招标人承担(中标单位故意破坏的由中标人承担）。</w:t>
      </w:r>
    </w:p>
    <w:p>
      <w:pPr>
        <w:keepNext w:val="0"/>
        <w:keepLines w:val="0"/>
        <w:pageBreakBefore w:val="0"/>
        <w:widowControl w:val="0"/>
        <w:numPr>
          <w:ilvl w:val="0"/>
          <w:numId w:val="0"/>
        </w:numPr>
        <w:kinsoku/>
        <w:wordWrap/>
        <w:overflowPunct/>
        <w:topLinePunct w:val="0"/>
        <w:autoSpaceDE/>
        <w:autoSpaceDN/>
        <w:bidi w:val="0"/>
        <w:adjustRightInd/>
        <w:snapToGrid/>
        <w:ind w:left="-62" w:leftChars="0" w:firstLine="675" w:firstLineChars="211"/>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具体量及价款由甲、乙双方法人（授权人）、职能科室及甲方管理站点负责人共同签字确认，并作为主张各自权力的依据。</w:t>
      </w: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二、管护日期：</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成交通知书公示期结束后的次日至第二年的相同日期为一年的管护合同日期（或按合同约定）。</w:t>
      </w:r>
    </w:p>
    <w:p>
      <w:pPr>
        <w:numPr>
          <w:ilvl w:val="0"/>
          <w:numId w:val="3"/>
        </w:numPr>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竞价资质要求</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满足《中华人民共和国政府采购法》第二十二条要求。</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具有独立法人资格或其他组织，提供有效的营业执照且经营范围具备绿化管护等与本项目相关的经营范围，信誉良好，有提供本次招标项目需求的能力。</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拟参加本次招标项目的投标人，如在“信誉中国”网（www.creditchina.gov.cn），被例入失信被执行人、重大税收违法案件当事人名单的（尚在处罚期内的），将拒绝其参加本次招标活动，需提供相关证明材料（网络截图）。</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以上10-11项请报价单位将相关资料一并上传。</w:t>
      </w:r>
    </w:p>
    <w:p>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业绩要求</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报价单位应具备近三年（2021年5月-2024年5月）至少1项相关树木养护项目，养护人员具备比较丰富的养护经验和</w:t>
      </w:r>
      <w:r>
        <w:rPr>
          <w:rFonts w:hint="default" w:ascii="仿宋_GB2312" w:hAnsi="仿宋_GB2312" w:eastAsia="仿宋_GB2312" w:cs="仿宋_GB2312"/>
          <w:sz w:val="32"/>
          <w:szCs w:val="32"/>
          <w:lang w:val="en-US" w:eastAsia="zh-CN"/>
        </w:rPr>
        <w:t>近三年</w:t>
      </w:r>
      <w:r>
        <w:rPr>
          <w:rFonts w:hint="eastAsia" w:ascii="仿宋_GB2312" w:hAnsi="仿宋_GB2312" w:eastAsia="仿宋_GB2312" w:cs="仿宋_GB2312"/>
          <w:sz w:val="32"/>
          <w:szCs w:val="32"/>
          <w:lang w:val="en-US" w:eastAsia="zh-CN"/>
        </w:rPr>
        <w:t>至少1</w:t>
      </w:r>
      <w:r>
        <w:rPr>
          <w:rFonts w:hint="default" w:ascii="仿宋_GB2312" w:hAnsi="仿宋_GB2312" w:eastAsia="仿宋_GB2312" w:cs="仿宋_GB2312"/>
          <w:sz w:val="32"/>
          <w:szCs w:val="32"/>
          <w:lang w:val="en-US" w:eastAsia="zh-CN"/>
        </w:rPr>
        <w:t>项树木养护工作</w:t>
      </w:r>
      <w:r>
        <w:rPr>
          <w:rFonts w:hint="eastAsia" w:ascii="仿宋_GB2312" w:hAnsi="仿宋_GB2312" w:eastAsia="仿宋_GB2312" w:cs="仿宋_GB2312"/>
          <w:sz w:val="32"/>
          <w:szCs w:val="32"/>
          <w:lang w:val="en-US" w:eastAsia="zh-CN"/>
        </w:rPr>
        <w:t>。合同金额必须等于或大于本次投标控制价，有效合同随报价文件一并上传至竞价页面。有效业绩多的竞价单位将作为招标人手动选择的依据。</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四、中标单位需向招标人提交履约担保，担保金额为中标价的10%，担保期限至合同终止日前需一直有效。</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投标人注意：恶意投标、围标、串标、虚假投标的单位，招标人将向监管部门进行投诉并保留一切追诉的权利。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其他承诺：投标人其他优惠承诺</w:t>
      </w:r>
      <w:bookmarkStart w:id="0" w:name="_GoBack"/>
      <w:r>
        <w:rPr>
          <w:rFonts w:hint="eastAsia" w:ascii="仿宋_GB2312" w:hAnsi="仿宋_GB2312" w:eastAsia="仿宋_GB2312" w:cs="仿宋_GB2312"/>
          <w:sz w:val="32"/>
          <w:szCs w:val="32"/>
          <w:lang w:val="en-US" w:eastAsia="zh-CN"/>
        </w:rPr>
        <w:t>请投标人法定代表人签字并加盖单位公章一并上传，</w:t>
      </w:r>
      <w:bookmarkEnd w:id="0"/>
      <w:r>
        <w:rPr>
          <w:rFonts w:hint="eastAsia" w:ascii="仿宋_GB2312" w:hAnsi="仿宋_GB2312" w:eastAsia="仿宋_GB2312" w:cs="仿宋_GB2312"/>
          <w:sz w:val="32"/>
          <w:szCs w:val="32"/>
          <w:lang w:val="en-US" w:eastAsia="zh-CN"/>
        </w:rPr>
        <w:t>若中标将作为双方签订合同的附件。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F161A"/>
    <w:multiLevelType w:val="singleLevel"/>
    <w:tmpl w:val="A06F161A"/>
    <w:lvl w:ilvl="0" w:tentative="0">
      <w:start w:val="3"/>
      <w:numFmt w:val="chineseCounting"/>
      <w:suff w:val="nothing"/>
      <w:lvlText w:val="%1、"/>
      <w:lvlJc w:val="left"/>
      <w:rPr>
        <w:rFonts w:hint="eastAsia"/>
      </w:rPr>
    </w:lvl>
  </w:abstractNum>
  <w:abstractNum w:abstractNumId="1">
    <w:nsid w:val="2D87B0A7"/>
    <w:multiLevelType w:val="singleLevel"/>
    <w:tmpl w:val="2D87B0A7"/>
    <w:lvl w:ilvl="0" w:tentative="0">
      <w:start w:val="1"/>
      <w:numFmt w:val="decimal"/>
      <w:suff w:val="nothing"/>
      <w:lvlText w:val="%1、"/>
      <w:lvlJc w:val="left"/>
      <w:pPr>
        <w:ind w:left="-10"/>
      </w:pPr>
    </w:lvl>
  </w:abstractNum>
  <w:abstractNum w:abstractNumId="2">
    <w:nsid w:val="48C144D9"/>
    <w:multiLevelType w:val="singleLevel"/>
    <w:tmpl w:val="48C144D9"/>
    <w:lvl w:ilvl="0" w:tentative="0">
      <w:start w:val="1"/>
      <w:numFmt w:val="decimal"/>
      <w:suff w:val="nothing"/>
      <w:lvlText w:val="%1、"/>
      <w:lvlJc w:val="left"/>
      <w:pPr>
        <w:ind w:left="-10"/>
      </w:pPr>
    </w:lvl>
  </w:abstractNum>
  <w:abstractNum w:abstractNumId="3">
    <w:nsid w:val="54A4E753"/>
    <w:multiLevelType w:val="singleLevel"/>
    <w:tmpl w:val="54A4E75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316EF"/>
    <w:rsid w:val="0C357C96"/>
    <w:rsid w:val="10C1133A"/>
    <w:rsid w:val="14AD374F"/>
    <w:rsid w:val="1D2316EF"/>
    <w:rsid w:val="1DE400B3"/>
    <w:rsid w:val="33A82A15"/>
    <w:rsid w:val="342A230F"/>
    <w:rsid w:val="34CC7464"/>
    <w:rsid w:val="392F1CE1"/>
    <w:rsid w:val="398F7D0A"/>
    <w:rsid w:val="3DF71C39"/>
    <w:rsid w:val="3F8A3C9F"/>
    <w:rsid w:val="425F745F"/>
    <w:rsid w:val="458A2418"/>
    <w:rsid w:val="49524A88"/>
    <w:rsid w:val="577D168B"/>
    <w:rsid w:val="5D1309C3"/>
    <w:rsid w:val="63FC2D5C"/>
    <w:rsid w:val="66203425"/>
    <w:rsid w:val="667C6CAB"/>
    <w:rsid w:val="681605D1"/>
    <w:rsid w:val="70EF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2024-04-06T10:16:00Z</dcterms:created>
  <dc:creator>Administrator</dc:creator>
  <cp:lastModifiedBy>baibinghai</cp:lastModifiedBy>
  <cp:lastPrinted>2024-04-17T05:32:00Z</cp:lastPrinted>
  <dcterms:modified xsi:type="dcterms:W3CDTF">2024-05-28T04:34:33Z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5260C6259B2D4C1DB6EC6266CA193259</vt:lpwstr>
  </property>
</Properties>
</file>