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right="357" w:firstLine="0" w:firstLineChars="0"/>
        <w:jc w:val="center"/>
        <w:rPr>
          <w:rFonts w:ascii="宋体" w:hAnsi="宋体"/>
          <w:b/>
          <w:bCs/>
          <w:sz w:val="32"/>
          <w:szCs w:val="32"/>
        </w:rPr>
      </w:pPr>
      <w:r>
        <w:rPr>
          <w:rFonts w:hint="eastAsia" w:ascii="宋体" w:hAnsi="宋体"/>
          <w:b/>
          <w:bCs/>
          <w:sz w:val="32"/>
          <w:szCs w:val="32"/>
        </w:rPr>
        <w:t>昌吉州融媒体中心新闻发布暨电商直播基地项目招标要求</w:t>
      </w:r>
    </w:p>
    <w:p>
      <w:pPr>
        <w:spacing w:line="480" w:lineRule="exact"/>
        <w:ind w:right="360" w:firstLine="0" w:firstLineChars="0"/>
        <w:rPr>
          <w:rFonts w:ascii="宋体" w:hAnsi="宋体"/>
          <w:szCs w:val="24"/>
        </w:rPr>
      </w:pPr>
    </w:p>
    <w:p>
      <w:pPr>
        <w:spacing w:line="480" w:lineRule="exact"/>
        <w:ind w:right="360" w:firstLine="0" w:firstLineChars="0"/>
        <w:rPr>
          <w:rFonts w:ascii="宋体" w:hAnsi="宋体"/>
          <w:szCs w:val="24"/>
        </w:rPr>
      </w:pPr>
    </w:p>
    <w:p>
      <w:pPr>
        <w:pStyle w:val="2"/>
        <w:spacing w:line="480" w:lineRule="exact"/>
        <w:ind w:left="360" w:right="360"/>
        <w:rPr>
          <w:rFonts w:ascii="宋体" w:hAnsi="宋体"/>
          <w:sz w:val="24"/>
          <w:szCs w:val="24"/>
        </w:rPr>
      </w:pPr>
      <w:r>
        <w:rPr>
          <w:rFonts w:hint="eastAsia" w:ascii="宋体" w:hAnsi="宋体"/>
          <w:sz w:val="24"/>
          <w:szCs w:val="24"/>
        </w:rPr>
        <w:t>项目概述</w:t>
      </w:r>
    </w:p>
    <w:p>
      <w:pPr>
        <w:pStyle w:val="3"/>
        <w:rPr>
          <w:rFonts w:ascii="宋体" w:hAnsi="宋体" w:eastAsia="宋体"/>
          <w:sz w:val="24"/>
          <w:szCs w:val="24"/>
        </w:rPr>
      </w:pPr>
      <w:r>
        <w:rPr>
          <w:rFonts w:hint="eastAsia" w:ascii="宋体" w:hAnsi="宋体" w:eastAsia="宋体"/>
          <w:sz w:val="24"/>
          <w:szCs w:val="24"/>
        </w:rPr>
        <w:t>建设背景</w:t>
      </w:r>
    </w:p>
    <w:p>
      <w:pPr>
        <w:adjustRightInd w:val="0"/>
        <w:snapToGrid w:val="0"/>
        <w:ind w:firstLine="480"/>
        <w:jc w:val="left"/>
        <w:rPr>
          <w:rFonts w:ascii="宋体" w:hAnsi="宋体" w:cs="宋体"/>
          <w:szCs w:val="24"/>
        </w:rPr>
      </w:pPr>
      <w:r>
        <w:rPr>
          <w:rFonts w:hint="eastAsia" w:ascii="宋体" w:hAnsi="宋体" w:cs="宋体"/>
          <w:szCs w:val="24"/>
        </w:rPr>
        <w:t>昌吉州融媒体中心拟建设新闻发布厅，本项目计划将昌吉州融媒体中心A座10层</w:t>
      </w:r>
      <w:r>
        <w:rPr>
          <w:rFonts w:ascii="宋体" w:hAnsi="宋体" w:cs="宋体"/>
          <w:szCs w:val="24"/>
        </w:rPr>
        <w:t>面积为</w:t>
      </w:r>
      <w:r>
        <w:rPr>
          <w:rFonts w:hint="eastAsia" w:ascii="宋体" w:hAnsi="宋体" w:cs="宋体"/>
          <w:szCs w:val="24"/>
        </w:rPr>
        <w:t>1</w:t>
      </w:r>
      <w:r>
        <w:rPr>
          <w:rFonts w:ascii="宋体" w:hAnsi="宋体" w:cs="宋体"/>
          <w:szCs w:val="24"/>
        </w:rPr>
        <w:t>3</w:t>
      </w:r>
      <w:r>
        <w:rPr>
          <w:rFonts w:hint="eastAsia" w:ascii="宋体" w:hAnsi="宋体" w:cs="宋体"/>
          <w:szCs w:val="24"/>
        </w:rPr>
        <w:t>.</w:t>
      </w:r>
      <w:r>
        <w:rPr>
          <w:rFonts w:ascii="宋体" w:hAnsi="宋体" w:cs="宋体"/>
          <w:szCs w:val="24"/>
        </w:rPr>
        <w:t>1</w:t>
      </w:r>
      <w:r>
        <w:rPr>
          <w:rFonts w:hint="eastAsia" w:ascii="宋体" w:hAnsi="宋体" w:cs="宋体"/>
          <w:szCs w:val="24"/>
        </w:rPr>
        <w:t>*</w:t>
      </w:r>
      <w:r>
        <w:rPr>
          <w:rFonts w:ascii="宋体" w:hAnsi="宋体" w:cs="宋体"/>
          <w:szCs w:val="24"/>
        </w:rPr>
        <w:t>10</w:t>
      </w:r>
      <w:r>
        <w:rPr>
          <w:rFonts w:hint="eastAsia" w:ascii="宋体" w:hAnsi="宋体" w:cs="宋体"/>
          <w:szCs w:val="24"/>
        </w:rPr>
        <w:t>.</w:t>
      </w:r>
      <w:r>
        <w:rPr>
          <w:rFonts w:ascii="宋体" w:hAnsi="宋体" w:cs="宋体"/>
          <w:szCs w:val="24"/>
        </w:rPr>
        <w:t>5</w:t>
      </w:r>
      <w:r>
        <w:rPr>
          <w:rFonts w:hint="eastAsia" w:ascii="宋体" w:hAnsi="宋体" w:cs="宋体"/>
          <w:szCs w:val="24"/>
        </w:rPr>
        <w:t>约</w:t>
      </w:r>
      <w:r>
        <w:rPr>
          <w:rFonts w:ascii="宋体" w:hAnsi="宋体" w:cs="宋体"/>
          <w:szCs w:val="24"/>
        </w:rPr>
        <w:t>136.88</w:t>
      </w:r>
      <w:r>
        <w:rPr>
          <w:rFonts w:hint="eastAsia" w:ascii="宋体" w:hAnsi="宋体" w:cs="宋体"/>
          <w:szCs w:val="24"/>
        </w:rPr>
        <w:t>平米的技术用房，改造成昌吉州融媒体中心新闻发布厅，建成后该新闻发布厅主要承担昌吉州政府及有关部门进行重要新闻和信息通报的发布任务，同时还具有举办会议、培训、电视问政等多种功能。新闻发布厅将配置会议音响、LED大屏、影视灯光等声光电设备，并采用4K+5G等先进技术，结合转播车等流动摄录编播设备，实现实时状态下的新闻发布的广播电视网络直播和录制，</w:t>
      </w:r>
      <w:r>
        <w:rPr>
          <w:rFonts w:ascii="宋体" w:hAnsi="宋体" w:cs="宋体"/>
          <w:szCs w:val="24"/>
        </w:rPr>
        <w:t>信号可传输到自治区级</w:t>
      </w:r>
      <w:r>
        <w:rPr>
          <w:rFonts w:hint="eastAsia" w:ascii="宋体" w:hAnsi="宋体" w:cs="宋体"/>
          <w:szCs w:val="24"/>
        </w:rPr>
        <w:t>和</w:t>
      </w:r>
      <w:r>
        <w:rPr>
          <w:rFonts w:ascii="宋体" w:hAnsi="宋体" w:cs="宋体"/>
          <w:szCs w:val="24"/>
        </w:rPr>
        <w:t>地州或县级单位</w:t>
      </w:r>
      <w:r>
        <w:rPr>
          <w:rFonts w:hint="eastAsia" w:ascii="宋体" w:hAnsi="宋体" w:cs="宋体"/>
          <w:szCs w:val="24"/>
        </w:rPr>
        <w:t>。</w:t>
      </w:r>
    </w:p>
    <w:p>
      <w:pPr>
        <w:pStyle w:val="3"/>
        <w:rPr>
          <w:rFonts w:ascii="宋体" w:hAnsi="宋体" w:eastAsia="宋体"/>
          <w:sz w:val="24"/>
          <w:szCs w:val="24"/>
        </w:rPr>
      </w:pPr>
      <w:r>
        <w:rPr>
          <w:rFonts w:hint="eastAsia" w:ascii="宋体" w:hAnsi="宋体" w:eastAsia="宋体"/>
          <w:sz w:val="24"/>
          <w:szCs w:val="24"/>
        </w:rPr>
        <w:t>建设内容</w:t>
      </w:r>
    </w:p>
    <w:p>
      <w:pPr>
        <w:adjustRightInd w:val="0"/>
        <w:snapToGrid w:val="0"/>
        <w:ind w:firstLine="480"/>
        <w:jc w:val="left"/>
        <w:rPr>
          <w:rFonts w:ascii="宋体" w:hAnsi="宋体" w:cs="宋体"/>
          <w:szCs w:val="24"/>
        </w:rPr>
      </w:pPr>
      <w:r>
        <w:rPr>
          <w:rFonts w:hint="eastAsia" w:ascii="宋体" w:hAnsi="宋体" w:cs="宋体"/>
          <w:szCs w:val="24"/>
        </w:rPr>
        <w:t>根据新闻发布厅的实际使用功能要求，拟选择长</w:t>
      </w:r>
      <w:r>
        <w:rPr>
          <w:rFonts w:ascii="宋体" w:hAnsi="宋体" w:cs="宋体"/>
          <w:szCs w:val="24"/>
        </w:rPr>
        <w:t>13.1</w:t>
      </w:r>
      <w:r>
        <w:rPr>
          <w:rFonts w:hint="eastAsia" w:ascii="宋体" w:hAnsi="宋体" w:cs="宋体"/>
          <w:szCs w:val="24"/>
        </w:rPr>
        <w:t>米，宽约1</w:t>
      </w:r>
      <w:r>
        <w:rPr>
          <w:rFonts w:ascii="宋体" w:hAnsi="宋体" w:cs="宋体"/>
          <w:szCs w:val="24"/>
        </w:rPr>
        <w:t>0.5</w:t>
      </w:r>
      <w:r>
        <w:rPr>
          <w:rFonts w:hint="eastAsia" w:ascii="宋体" w:hAnsi="宋体" w:cs="宋体"/>
          <w:szCs w:val="24"/>
        </w:rPr>
        <w:t>米，面积约</w:t>
      </w:r>
      <w:r>
        <w:rPr>
          <w:rFonts w:ascii="宋体" w:hAnsi="宋体" w:cs="宋体"/>
          <w:szCs w:val="24"/>
        </w:rPr>
        <w:t>136.88</w:t>
      </w:r>
      <w:r>
        <w:rPr>
          <w:rFonts w:hint="eastAsia" w:ascii="宋体" w:hAnsi="宋体" w:cs="宋体"/>
          <w:szCs w:val="24"/>
        </w:rPr>
        <w:t>平方米的技术用房改造成昌吉州融媒体中心新闻发布厅，新闻发布厅整体风格务求严肃、正式、简洁大方，充分考虑昌吉地域特色，配置的会议音响、LED大屏、影视灯光等声光电设备硬件的性能要达到超高清广播电视播出标准。</w:t>
      </w:r>
    </w:p>
    <w:p>
      <w:pPr>
        <w:ind w:firstLine="480"/>
        <w:rPr>
          <w:rFonts w:ascii="宋体" w:hAnsi="宋体" w:cs="宋体"/>
          <w:szCs w:val="24"/>
        </w:rPr>
      </w:pPr>
      <w:r>
        <w:rPr>
          <w:rFonts w:hint="eastAsia" w:ascii="宋体" w:hAnsi="宋体" w:cs="宋体"/>
          <w:szCs w:val="24"/>
        </w:rPr>
        <w:t>新闻发布厅中设置新闻发布主席台和现场记者席。新闻发布主席台采用木地板主席台，满足新闻发布、会议、培训、电视问政等多种形式活动的主席台发布人员使用和电视录制的需要，主席台宽</w:t>
      </w:r>
      <w:r>
        <w:rPr>
          <w:rFonts w:ascii="宋体" w:hAnsi="宋体" w:cs="宋体"/>
          <w:szCs w:val="24"/>
        </w:rPr>
        <w:t>7.9</w:t>
      </w:r>
      <w:r>
        <w:rPr>
          <w:rFonts w:hint="eastAsia" w:ascii="宋体" w:hAnsi="宋体" w:cs="宋体"/>
          <w:szCs w:val="24"/>
        </w:rPr>
        <w:t>米，深</w:t>
      </w:r>
      <w:r>
        <w:rPr>
          <w:rFonts w:ascii="宋体" w:hAnsi="宋体" w:cs="宋体"/>
          <w:szCs w:val="24"/>
        </w:rPr>
        <w:t>3.4</w:t>
      </w:r>
      <w:r>
        <w:rPr>
          <w:rFonts w:hint="eastAsia" w:ascii="宋体" w:hAnsi="宋体" w:cs="宋体"/>
          <w:szCs w:val="24"/>
        </w:rPr>
        <w:t>米，面积不小于</w:t>
      </w:r>
      <w:r>
        <w:rPr>
          <w:rFonts w:ascii="宋体" w:hAnsi="宋体" w:cs="宋体"/>
          <w:szCs w:val="24"/>
        </w:rPr>
        <w:t>26.86</w:t>
      </w:r>
      <w:r>
        <w:rPr>
          <w:rFonts w:hint="eastAsia" w:ascii="宋体" w:hAnsi="宋体" w:cs="宋体"/>
          <w:szCs w:val="24"/>
        </w:rPr>
        <w:t>平方米。主席台分两步台阶，每步高度1</w:t>
      </w:r>
      <w:r>
        <w:rPr>
          <w:rFonts w:ascii="宋体" w:hAnsi="宋体" w:cs="宋体"/>
          <w:szCs w:val="24"/>
        </w:rPr>
        <w:t>5cm</w:t>
      </w:r>
      <w:r>
        <w:rPr>
          <w:rFonts w:hint="eastAsia" w:ascii="宋体" w:hAnsi="宋体" w:cs="宋体"/>
          <w:szCs w:val="24"/>
        </w:rPr>
        <w:t>，左右宽度1米，每步深度3</w:t>
      </w:r>
      <w:r>
        <w:rPr>
          <w:rFonts w:ascii="宋体" w:hAnsi="宋体" w:cs="宋体"/>
          <w:szCs w:val="24"/>
        </w:rPr>
        <w:t>0cm</w:t>
      </w:r>
      <w:r>
        <w:rPr>
          <w:rFonts w:hint="eastAsia" w:ascii="宋体" w:hAnsi="宋体" w:cs="宋体"/>
          <w:szCs w:val="24"/>
        </w:rPr>
        <w:t>，可容纳不少于7人同台举行新闻发布会。现场记者席采用活动桌椅，按不同活动的实际需要，灵活的布置活动会议桌及会议椅，现场记者席可容纳不少于</w:t>
      </w:r>
      <w:r>
        <w:rPr>
          <w:rFonts w:ascii="宋体" w:hAnsi="宋体" w:cs="宋体"/>
          <w:szCs w:val="24"/>
        </w:rPr>
        <w:t>54</w:t>
      </w:r>
      <w:r>
        <w:rPr>
          <w:rFonts w:hint="eastAsia" w:ascii="宋体" w:hAnsi="宋体" w:cs="宋体"/>
          <w:szCs w:val="24"/>
        </w:rPr>
        <w:t>名记者同时工作，记者席最后排设置活动编辑控制桌，后侧墙面预留有电源、网络、视频、音频等接口，满足声光电控制系统设备和流动摄录编播设备即时接入，即插即用。</w:t>
      </w:r>
    </w:p>
    <w:p>
      <w:pPr>
        <w:numPr>
          <w:ilvl w:val="0"/>
          <w:numId w:val="3"/>
        </w:numPr>
        <w:adjustRightInd w:val="0"/>
        <w:snapToGrid w:val="0"/>
        <w:ind w:left="-142" w:firstLine="142" w:firstLineChars="0"/>
        <w:contextualSpacing w:val="0"/>
        <w:jc w:val="left"/>
        <w:rPr>
          <w:rFonts w:ascii="宋体" w:hAnsi="宋体" w:cs="宋体"/>
          <w:szCs w:val="24"/>
        </w:rPr>
      </w:pPr>
      <w:r>
        <w:rPr>
          <w:rFonts w:hint="eastAsia" w:ascii="宋体" w:hAnsi="宋体" w:cs="宋体"/>
          <w:szCs w:val="24"/>
        </w:rPr>
        <w:t>会议、音响扩声系统</w:t>
      </w:r>
    </w:p>
    <w:p>
      <w:pPr>
        <w:adjustRightInd w:val="0"/>
        <w:snapToGrid w:val="0"/>
        <w:ind w:firstLine="480"/>
        <w:jc w:val="left"/>
        <w:rPr>
          <w:rFonts w:ascii="宋体" w:hAnsi="宋体" w:cs="宋体"/>
          <w:szCs w:val="24"/>
        </w:rPr>
      </w:pPr>
      <w:r>
        <w:rPr>
          <w:rFonts w:hint="eastAsia" w:ascii="宋体" w:hAnsi="宋体" w:cs="宋体"/>
          <w:szCs w:val="24"/>
        </w:rPr>
        <w:t>主席台设置数字有线会议系统，含数字会议主机1套，主席台会议话筒7套，主席台台面设置预埋地插盒，会议系统采用手拉手方式配置会议话筒，即插即用。记者席则采用2套无线手持话筒，用于现场记者提问及交流。扩声音响系统以语言类扩声为主，</w:t>
      </w:r>
      <w:r>
        <w:rPr>
          <w:rFonts w:hint="eastAsia" w:ascii="宋体" w:hAnsi="宋体" w:cs="宋体"/>
          <w:color w:val="FF0000"/>
          <w:szCs w:val="24"/>
        </w:rPr>
        <w:t>主扩声采用全频音箱搭</w:t>
      </w:r>
      <w:r>
        <w:rPr>
          <w:rFonts w:hint="eastAsia" w:ascii="宋体" w:hAnsi="宋体" w:cs="宋体"/>
          <w:color w:val="FF0000"/>
          <w:szCs w:val="24"/>
          <w:lang w:val="en-US" w:eastAsia="zh-CN"/>
        </w:rPr>
        <w:t>整列</w:t>
      </w:r>
      <w:r>
        <w:rPr>
          <w:rFonts w:hint="eastAsia" w:ascii="宋体" w:hAnsi="宋体" w:cs="宋体"/>
          <w:color w:val="FF0000"/>
          <w:szCs w:val="24"/>
        </w:rPr>
        <w:t>组合方式</w:t>
      </w:r>
      <w:r>
        <w:rPr>
          <w:rFonts w:hint="eastAsia" w:ascii="宋体" w:hAnsi="宋体" w:cs="宋体"/>
          <w:szCs w:val="24"/>
        </w:rPr>
        <w:t>，主扩声音响吊装安装，均匀覆盖记者席，</w:t>
      </w:r>
      <w:r>
        <w:rPr>
          <w:rFonts w:hint="eastAsia" w:ascii="宋体" w:hAnsi="宋体" w:cs="宋体"/>
          <w:color w:val="FF0000"/>
          <w:szCs w:val="24"/>
        </w:rPr>
        <w:t>记者席后区设置反听音箱，满足</w:t>
      </w:r>
      <w:r>
        <w:rPr>
          <w:rFonts w:hint="eastAsia" w:ascii="宋体" w:hAnsi="宋体" w:cs="宋体"/>
          <w:color w:val="FF0000"/>
          <w:szCs w:val="24"/>
          <w:lang w:val="en-US" w:eastAsia="zh-CN"/>
        </w:rPr>
        <w:t>主席台</w:t>
      </w:r>
      <w:r>
        <w:rPr>
          <w:rFonts w:hint="eastAsia" w:ascii="宋体" w:hAnsi="宋体" w:cs="宋体"/>
          <w:color w:val="FF0000"/>
          <w:szCs w:val="24"/>
        </w:rPr>
        <w:t>人员的实时监听需求</w:t>
      </w:r>
      <w:r>
        <w:rPr>
          <w:rFonts w:hint="eastAsia" w:ascii="宋体" w:hAnsi="宋体" w:cs="宋体"/>
          <w:szCs w:val="24"/>
        </w:rPr>
        <w:t>。会议音响控制系统采用数字调音台，便于兼容接入转播车或流动摄录编播的数字音频控制系统，现场还配置反馈抑制器等周边音频设备保障效果。</w:t>
      </w:r>
    </w:p>
    <w:p>
      <w:pPr>
        <w:numPr>
          <w:ilvl w:val="0"/>
          <w:numId w:val="3"/>
        </w:numPr>
        <w:adjustRightInd w:val="0"/>
        <w:snapToGrid w:val="0"/>
        <w:ind w:left="0" w:firstLine="0" w:firstLineChars="0"/>
        <w:contextualSpacing w:val="0"/>
        <w:jc w:val="left"/>
        <w:rPr>
          <w:rFonts w:ascii="宋体" w:hAnsi="宋体" w:cs="宋体"/>
          <w:szCs w:val="24"/>
        </w:rPr>
      </w:pPr>
      <w:r>
        <w:rPr>
          <w:rFonts w:hint="eastAsia" w:ascii="宋体" w:hAnsi="宋体" w:cs="宋体"/>
          <w:szCs w:val="24"/>
        </w:rPr>
        <w:t>LED屏幕系统</w:t>
      </w:r>
    </w:p>
    <w:p>
      <w:pPr>
        <w:adjustRightInd w:val="0"/>
        <w:snapToGrid w:val="0"/>
        <w:ind w:firstLine="480"/>
        <w:jc w:val="left"/>
        <w:rPr>
          <w:rFonts w:hint="eastAsia" w:ascii="宋体" w:hAnsi="宋体" w:cs="宋体"/>
          <w:szCs w:val="24"/>
        </w:rPr>
      </w:pPr>
      <w:r>
        <w:rPr>
          <w:rFonts w:hint="eastAsia" w:ascii="宋体" w:hAnsi="宋体" w:cs="宋体"/>
          <w:szCs w:val="24"/>
        </w:rPr>
        <w:t>主席台设置中央主背景大屏，采用≤P1.8</w:t>
      </w:r>
      <w:r>
        <w:rPr>
          <w:rFonts w:ascii="宋体" w:hAnsi="宋体" w:cs="宋体"/>
          <w:szCs w:val="24"/>
        </w:rPr>
        <w:t>75</w:t>
      </w:r>
      <w:r>
        <w:rPr>
          <w:rFonts w:hint="eastAsia" w:ascii="宋体" w:hAnsi="宋体" w:cs="宋体"/>
          <w:szCs w:val="24"/>
        </w:rPr>
        <w:t>规格，满足超高清视频画面显示与影视录制的技术指标要求。主背景大屏显示画面宽</w:t>
      </w:r>
      <w:r>
        <w:rPr>
          <w:rFonts w:ascii="宋体" w:hAnsi="宋体" w:cs="宋体"/>
          <w:szCs w:val="24"/>
        </w:rPr>
        <w:t>5</w:t>
      </w:r>
      <w:r>
        <w:rPr>
          <w:rFonts w:hint="eastAsia" w:ascii="宋体" w:hAnsi="宋体" w:cs="宋体"/>
          <w:szCs w:val="24"/>
        </w:rPr>
        <w:t>.</w:t>
      </w:r>
      <w:r>
        <w:rPr>
          <w:rFonts w:ascii="宋体" w:hAnsi="宋体" w:cs="宋体"/>
          <w:szCs w:val="24"/>
        </w:rPr>
        <w:t>76</w:t>
      </w:r>
      <w:r>
        <w:rPr>
          <w:rFonts w:hint="eastAsia" w:ascii="宋体" w:hAnsi="宋体" w:cs="宋体"/>
          <w:szCs w:val="24"/>
        </w:rPr>
        <w:t>米，高</w:t>
      </w:r>
      <w:r>
        <w:rPr>
          <w:rFonts w:ascii="宋体" w:hAnsi="宋体" w:cs="宋体"/>
          <w:szCs w:val="24"/>
        </w:rPr>
        <w:t>3</w:t>
      </w:r>
      <w:r>
        <w:rPr>
          <w:rFonts w:hint="eastAsia" w:ascii="宋体" w:hAnsi="宋体" w:cs="宋体"/>
          <w:szCs w:val="24"/>
        </w:rPr>
        <w:t>.</w:t>
      </w:r>
      <w:r>
        <w:rPr>
          <w:rFonts w:ascii="宋体" w:hAnsi="宋体" w:cs="宋体"/>
          <w:szCs w:val="24"/>
        </w:rPr>
        <w:t>36</w:t>
      </w:r>
      <w:r>
        <w:rPr>
          <w:rFonts w:hint="eastAsia" w:ascii="宋体" w:hAnsi="宋体" w:cs="宋体"/>
          <w:szCs w:val="24"/>
        </w:rPr>
        <w:t>米，面积</w:t>
      </w:r>
      <w:r>
        <w:rPr>
          <w:rFonts w:ascii="宋体" w:hAnsi="宋体" w:cs="宋体"/>
          <w:szCs w:val="24"/>
        </w:rPr>
        <w:t>19</w:t>
      </w:r>
      <w:r>
        <w:rPr>
          <w:rFonts w:hint="eastAsia" w:ascii="宋体" w:hAnsi="宋体" w:cs="宋体"/>
          <w:szCs w:val="24"/>
        </w:rPr>
        <w:t>.</w:t>
      </w:r>
      <w:r>
        <w:rPr>
          <w:rFonts w:ascii="宋体" w:hAnsi="宋体" w:cs="宋体"/>
          <w:szCs w:val="24"/>
        </w:rPr>
        <w:t>35</w:t>
      </w:r>
      <w:r>
        <w:rPr>
          <w:rFonts w:hint="eastAsia" w:ascii="宋体" w:hAnsi="宋体" w:cs="宋体"/>
          <w:szCs w:val="24"/>
        </w:rPr>
        <w:t>平米，离主席台面0</w:t>
      </w:r>
      <w:r>
        <w:rPr>
          <w:rFonts w:ascii="宋体" w:hAnsi="宋体" w:cs="宋体"/>
          <w:szCs w:val="24"/>
        </w:rPr>
        <w:t>.4</w:t>
      </w:r>
      <w:r>
        <w:rPr>
          <w:rFonts w:hint="eastAsia" w:ascii="宋体" w:hAnsi="宋体" w:cs="宋体"/>
          <w:szCs w:val="24"/>
        </w:rPr>
        <w:t>米，主要用于新闻发布、会议、培训、电视问政等活动使用时的背景画面显示和视频内容播放等需求。</w:t>
      </w:r>
    </w:p>
    <w:p>
      <w:pPr>
        <w:numPr>
          <w:ilvl w:val="0"/>
          <w:numId w:val="3"/>
        </w:numPr>
        <w:adjustRightInd w:val="0"/>
        <w:snapToGrid w:val="0"/>
        <w:ind w:left="0" w:firstLine="0" w:firstLineChars="0"/>
        <w:contextualSpacing w:val="0"/>
        <w:jc w:val="left"/>
        <w:rPr>
          <w:rFonts w:hint="eastAsia" w:ascii="宋体" w:hAnsi="宋体" w:cs="宋体"/>
          <w:color w:val="FF0000"/>
          <w:szCs w:val="24"/>
        </w:rPr>
      </w:pPr>
      <w:r>
        <w:rPr>
          <w:rFonts w:hint="eastAsia" w:ascii="宋体" w:hAnsi="宋体" w:cs="宋体"/>
          <w:color w:val="FF0000"/>
          <w:szCs w:val="24"/>
        </w:rPr>
        <w:t>LED灯光、吊杆、综合布线</w:t>
      </w:r>
    </w:p>
    <w:p>
      <w:pPr>
        <w:adjustRightInd w:val="0"/>
        <w:snapToGrid w:val="0"/>
        <w:ind w:firstLine="480"/>
        <w:jc w:val="left"/>
        <w:rPr>
          <w:rFonts w:ascii="宋体" w:hAnsi="宋体" w:cs="宋体"/>
          <w:szCs w:val="24"/>
        </w:rPr>
      </w:pPr>
      <w:r>
        <w:rPr>
          <w:rFonts w:hint="eastAsia" w:ascii="宋体" w:hAnsi="宋体" w:cs="宋体"/>
          <w:szCs w:val="24"/>
        </w:rPr>
        <w:t>主席台新闻发布席采用三点式专业影视摄录布光方式布置专业灯光设备，设置面光</w:t>
      </w:r>
      <w:r>
        <w:rPr>
          <w:rFonts w:ascii="宋体" w:hAnsi="宋体" w:cs="宋体"/>
          <w:szCs w:val="24"/>
        </w:rPr>
        <w:t>1</w:t>
      </w:r>
      <w:r>
        <w:rPr>
          <w:rFonts w:hint="eastAsia" w:ascii="宋体" w:hAnsi="宋体" w:cs="宋体"/>
          <w:szCs w:val="24"/>
        </w:rPr>
        <w:t>道，逆光1道，左右侧光2道呈左右对称，基础光均采用200W-LED影视聚光灯，提供聚光和轮廓光投射，主席台新闻发布席还配置会议光</w:t>
      </w:r>
      <w:r>
        <w:rPr>
          <w:rFonts w:ascii="宋体" w:hAnsi="宋体" w:cs="宋体"/>
          <w:szCs w:val="24"/>
        </w:rPr>
        <w:t>2</w:t>
      </w:r>
      <w:r>
        <w:rPr>
          <w:rFonts w:hint="eastAsia" w:ascii="宋体" w:hAnsi="宋体" w:cs="宋体"/>
          <w:szCs w:val="24"/>
        </w:rPr>
        <w:t>道，记者席配置配置会议光</w:t>
      </w:r>
      <w:r>
        <w:rPr>
          <w:rFonts w:ascii="宋体" w:hAnsi="宋体" w:cs="宋体"/>
          <w:szCs w:val="24"/>
        </w:rPr>
        <w:t>2</w:t>
      </w:r>
      <w:r>
        <w:rPr>
          <w:rFonts w:hint="eastAsia" w:ascii="宋体" w:hAnsi="宋体" w:cs="宋体"/>
          <w:szCs w:val="24"/>
        </w:rPr>
        <w:t>道，150W-LED影视柔光灯，提供均匀的平投柔光投射。全部LED影视灯具综合光照度大于1500LUX，色温5600K，显色指数≥95，满足超高清影视布光技术指标要求。</w:t>
      </w:r>
    </w:p>
    <w:p>
      <w:pPr>
        <w:adjustRightInd w:val="0"/>
        <w:snapToGrid w:val="0"/>
        <w:ind w:firstLine="480"/>
        <w:jc w:val="left"/>
        <w:rPr>
          <w:rFonts w:ascii="宋体" w:hAnsi="宋体" w:cs="宋体"/>
          <w:szCs w:val="24"/>
        </w:rPr>
      </w:pPr>
      <w:r>
        <w:rPr>
          <w:rFonts w:hint="eastAsia" w:ascii="宋体" w:hAnsi="宋体" w:cs="宋体"/>
          <w:szCs w:val="24"/>
        </w:rPr>
        <w:t>主席台配置面光吊杆1道、逆光吊杆1道，左右侧光吊杆各1道，顶光</w:t>
      </w:r>
      <w:r>
        <w:rPr>
          <w:rFonts w:hint="eastAsia" w:ascii="宋体" w:hAnsi="宋体" w:cs="宋体"/>
          <w:szCs w:val="24"/>
          <w:lang w:val="en-US" w:eastAsia="zh-CN"/>
        </w:rPr>
        <w:t>及观众席</w:t>
      </w:r>
      <w:r>
        <w:rPr>
          <w:rFonts w:hint="eastAsia" w:ascii="宋体" w:hAnsi="宋体" w:cs="宋体"/>
          <w:szCs w:val="24"/>
        </w:rPr>
        <w:t>吊杆2道，满足上述LED影视灯具的天花挂装需求。</w:t>
      </w:r>
    </w:p>
    <w:p>
      <w:pPr>
        <w:spacing w:line="440" w:lineRule="exact"/>
        <w:ind w:firstLine="480"/>
        <w:rPr>
          <w:rFonts w:ascii="宋体" w:hAnsi="宋体" w:cs="宋体"/>
          <w:szCs w:val="24"/>
        </w:rPr>
      </w:pPr>
      <w:r>
        <w:rPr>
          <w:rFonts w:hint="eastAsia" w:ascii="宋体" w:hAnsi="宋体" w:cs="宋体"/>
          <w:szCs w:val="24"/>
        </w:rPr>
        <w:t>采用数字灯控综合布线系统，设置主控调光台用于调光和现场灯光编辑控制，设置场景控制面板方便一键式的效果程序调用，同时还作为主控调光台的备份保障系统安全，综合布线采用单灯单回路配节方式，避免串扰，末端设置信号插座盒、电源插座盒，即插即用</w:t>
      </w:r>
      <w:r>
        <w:rPr>
          <w:rFonts w:hint="eastAsia" w:ascii="宋体" w:hAnsi="宋体" w:cs="宋体"/>
          <w:szCs w:val="24"/>
          <w:lang w:eastAsia="zh-CN"/>
        </w:rPr>
        <w:t>，</w:t>
      </w:r>
      <w:r>
        <w:rPr>
          <w:rFonts w:hint="eastAsia" w:ascii="宋体" w:hAnsi="宋体" w:cs="宋体"/>
          <w:szCs w:val="24"/>
        </w:rPr>
        <w:t>本项目需进行现场踏勘，投标人需现场踏勘后根据项目实际情况提供详细的设计方案、实施方案、售后服务方案、培训方案、1:</w:t>
      </w:r>
      <w:r>
        <w:rPr>
          <w:rFonts w:ascii="宋体" w:hAnsi="宋体" w:cs="宋体"/>
          <w:szCs w:val="24"/>
        </w:rPr>
        <w:t>1</w:t>
      </w:r>
      <w:r>
        <w:rPr>
          <w:rFonts w:hint="eastAsia" w:ascii="宋体" w:hAnsi="宋体" w:cs="宋体"/>
          <w:szCs w:val="24"/>
        </w:rPr>
        <w:t>施工图纸等。</w:t>
      </w:r>
    </w:p>
    <w:p>
      <w:pPr>
        <w:spacing w:line="440" w:lineRule="exact"/>
        <w:ind w:firstLine="480"/>
        <w:rPr>
          <w:rFonts w:ascii="宋体" w:hAnsi="宋体" w:cs="宋体"/>
          <w:szCs w:val="24"/>
        </w:rPr>
      </w:pPr>
      <w:r>
        <w:rPr>
          <w:rFonts w:hint="eastAsia" w:ascii="宋体" w:hAnsi="宋体" w:cs="宋体"/>
          <w:szCs w:val="24"/>
        </w:rPr>
        <w:t>拟建A座1</w:t>
      </w:r>
      <w:r>
        <w:rPr>
          <w:rFonts w:ascii="宋体" w:hAnsi="宋体" w:cs="宋体"/>
          <w:szCs w:val="24"/>
        </w:rPr>
        <w:t>0</w:t>
      </w:r>
      <w:r>
        <w:rPr>
          <w:rFonts w:hint="eastAsia" w:ascii="宋体" w:hAnsi="宋体" w:cs="宋体"/>
          <w:szCs w:val="24"/>
        </w:rPr>
        <w:t>楼新闻发布厅到B座4楼播控中心需要敷设音视频及光纤线缆。投标企业签订合同前需提供主要设备样品进行功能及指标测试，若达不到招标要求，取消中标资格。</w:t>
      </w:r>
      <w:r>
        <w:rPr>
          <w:rFonts w:hint="eastAsia" w:ascii="宋体" w:hAnsi="宋体"/>
          <w:szCs w:val="24"/>
        </w:rPr>
        <w:t>主要设备专业影视灯具、L</w:t>
      </w:r>
      <w:r>
        <w:rPr>
          <w:rFonts w:ascii="宋体" w:hAnsi="宋体"/>
          <w:szCs w:val="24"/>
        </w:rPr>
        <w:t>ED</w:t>
      </w:r>
      <w:r>
        <w:rPr>
          <w:rFonts w:hint="eastAsia" w:ascii="宋体" w:hAnsi="宋体"/>
          <w:szCs w:val="24"/>
        </w:rPr>
        <w:t>大屏、导控摄录等设备需提供质量检测报告。</w:t>
      </w:r>
    </w:p>
    <w:p>
      <w:pPr>
        <w:pStyle w:val="3"/>
        <w:rPr>
          <w:rFonts w:ascii="宋体" w:hAnsi="宋体" w:eastAsia="宋体"/>
          <w:sz w:val="24"/>
          <w:szCs w:val="24"/>
        </w:rPr>
      </w:pPr>
      <w:r>
        <w:rPr>
          <w:rFonts w:hint="eastAsia" w:ascii="宋体" w:hAnsi="宋体" w:eastAsia="宋体"/>
          <w:sz w:val="24"/>
          <w:szCs w:val="24"/>
        </w:rPr>
        <w:t>项目所需标准和规范要求</w:t>
      </w:r>
    </w:p>
    <w:p>
      <w:pPr>
        <w:spacing w:line="440" w:lineRule="exact"/>
        <w:ind w:firstLine="480"/>
        <w:rPr>
          <w:rFonts w:hint="eastAsia" w:ascii="宋体" w:hAnsi="宋体" w:cs="宋体"/>
          <w:szCs w:val="24"/>
        </w:rPr>
      </w:pPr>
      <w:r>
        <w:rPr>
          <w:rFonts w:hint="eastAsia" w:ascii="宋体" w:hAnsi="宋体" w:cs="宋体"/>
          <w:szCs w:val="24"/>
        </w:rPr>
        <w:t>要求达到广电行业高清晰度演播室相关标准，必须遵循并不限于以下相关技术标准及规范要求。</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《民用建筑电气设计标准》GB51348-2019</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《低压配电设计规范》GB50054-2011</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《供配电系统设计规范》GB50052-2009</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《智能建筑设计标准》GB50314-2015</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《综合布线系统工程设计规范》GB50311-2016</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《建筑照明设计标准》GB50034-2013</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《电气火灾监控系统技术规程》XJJ058-2013</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《建筑设计防火规范》GB50016-2014（2018版）</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《民用建筑电气防火设计规程》XJJ068-2014</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《建筑机电工程抗震设计规范》GB50981-2014</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《火灾自动报警系统设计规范》GB50116-2013</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《建筑内部装修防火设计规范》GB50222-2017</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《建筑物防雷设计规范》GB50057-2010</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《电力工程电缆设计规范》GB50217-2018</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《通用用电设备配电设计规范》GB50055-2011</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《钢结构设计规范》GB50017—2003</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2.2 专业广播电视工艺规范及标准</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《县级融媒体中心省级技术平台规范要求》GY/T321-2019</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《电视台融合媒体平台建设技术白皮书》</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《广播电视台融合媒体互动技术平台白皮书》</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《县级融媒体中心建设规范》</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《县级融媒体中心网络安全规范》</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《县级融媒体中心监测监管规范》</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《县级融媒体中心运行维护规范》</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《广播电影电视工程建设项目前期文件编审规程》GYT5002-2015</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《广播电影电视工程设计文件档案管理规范》GYT5081-2009</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《广播电影电视工程建设项目管理规范》GYT5091-2015</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《电视演播室灯光系统设计规范》GY5045－2006</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《电影摄影棚灯光系统设计规范》GY5066-2000</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《电影电视用白光LED灯具技术要求和测量办法》GYT302-2016</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《电视演播室灯光系统施工及验收规范》GY5070-2013</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《超高清晰度电视系统节目制作和交换参数值》GY/T307-2017</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《广播电视中心制作播出专用局域网工程技术规范》GYT5090-2015</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《省级广播电视安全播出指挥调度中心工程技术规范》GYT5083-2010</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《广播电视工程工艺接地技术规范》GYT5084-2011</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《广播电影电视建筑设计防火标准》GY5067-2017</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《电视中心制作系统运行维护规程》GY/T152-2000</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《广播电影电视工程技术用房一般照明设计规范》GYT5061-2007</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《广播电视工程监理规范》GY5080-2008</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《广播电影电视工程建设项目竣工验收工作规程》GYT5006-2010</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《电子调光设备通用技术条件》GB/T13582-1992</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《电子调光设备性能参数与测试方法》GB/T14218-1993</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《电子调光设备无线电骚扰特性限值及测量方法》GB1573-1995</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《舞台灯光、电视、电影及摄影场所（室内外）用灯具安全要求》GB7000.15-2000</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《舞台灯具光度测试与标注》WH/T26-2007</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《舞台灯光图符代号及制图规则》WH-0202-1995</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《舞台调光设备术语标准》WH/T0203-96</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《扩声、会议系统安装工程施工及验收规范》GY5055-2008</w:t>
      </w:r>
    </w:p>
    <w:p>
      <w:pPr>
        <w:numPr>
          <w:ilvl w:val="0"/>
          <w:numId w:val="4"/>
        </w:numPr>
        <w:spacing w:line="440" w:lineRule="exact"/>
        <w:ind w:left="420" w:leftChars="0" w:hanging="420" w:firstLineChars="0"/>
        <w:rPr>
          <w:rFonts w:hint="eastAsia" w:ascii="宋体" w:hAnsi="宋体" w:cs="宋体"/>
          <w:color w:val="FF0000"/>
          <w:szCs w:val="24"/>
        </w:rPr>
      </w:pPr>
      <w:r>
        <w:rPr>
          <w:rFonts w:hint="eastAsia" w:ascii="宋体" w:hAnsi="宋体" w:cs="宋体"/>
          <w:color w:val="FF0000"/>
          <w:szCs w:val="24"/>
        </w:rPr>
        <w:t>《厅堂扩声系统设计规范》GB50371-2006</w:t>
      </w:r>
    </w:p>
    <w:p>
      <w:pPr>
        <w:spacing w:line="440" w:lineRule="exact"/>
        <w:ind w:left="0" w:leftChars="0" w:firstLine="0" w:firstLineChars="0"/>
        <w:rPr>
          <w:rFonts w:hint="eastAsia" w:ascii="宋体" w:hAnsi="宋体" w:cs="宋体"/>
          <w:color w:val="FF0000"/>
          <w:szCs w:val="24"/>
        </w:rPr>
      </w:pPr>
      <w:r>
        <w:rPr>
          <w:rFonts w:hint="eastAsia" w:ascii="宋体" w:hAnsi="宋体" w:cs="宋体"/>
          <w:color w:val="FF0000"/>
          <w:szCs w:val="24"/>
        </w:rPr>
        <w:t>上述标准和规范有更新版本的，按照最新版本执行。</w:t>
      </w:r>
    </w:p>
    <w:p>
      <w:pPr>
        <w:pStyle w:val="2"/>
        <w:spacing w:line="480" w:lineRule="exact"/>
        <w:ind w:left="360" w:right="360"/>
        <w:rPr>
          <w:rFonts w:ascii="宋体" w:hAnsi="宋体"/>
          <w:sz w:val="24"/>
          <w:szCs w:val="24"/>
        </w:rPr>
      </w:pPr>
      <w:r>
        <w:rPr>
          <w:rFonts w:hint="eastAsia" w:ascii="宋体" w:hAnsi="宋体"/>
          <w:sz w:val="24"/>
          <w:szCs w:val="24"/>
        </w:rPr>
        <w:t>售后服务要求</w:t>
      </w:r>
    </w:p>
    <w:p>
      <w:pPr>
        <w:pStyle w:val="7"/>
        <w:spacing w:line="440" w:lineRule="exact"/>
        <w:rPr>
          <w:rFonts w:hAnsi="宋体" w:cs="微软雅黑"/>
        </w:rPr>
      </w:pPr>
      <w:r>
        <w:rPr>
          <w:rFonts w:hint="eastAsia" w:hAnsi="宋体" w:cs="微软雅黑"/>
        </w:rPr>
        <w:t>（1）投标人须到采购单位提供的现场免费安装、调试设备，进行操作试验，直至运行正常，为仪器操作人员提供操作及维护培训。在质保期内出现故障时，中标投标人在接到故障报修电话后，2小时内响应，4小时内到达现场解决故障，如当日无法修复，安装备品备件供甲方使用(具体服务可参考各设备技术参数的相关要求)；为保证设备的正常运行，须提供7*24小时的本地化售后服务。</w:t>
      </w:r>
    </w:p>
    <w:p>
      <w:pPr>
        <w:pStyle w:val="7"/>
        <w:spacing w:line="440" w:lineRule="exact"/>
        <w:rPr>
          <w:rFonts w:hAnsi="宋体" w:cs="微软雅黑"/>
        </w:rPr>
      </w:pPr>
      <w:r>
        <w:rPr>
          <w:rFonts w:hint="eastAsia" w:hAnsi="宋体" w:cs="微软雅黑"/>
        </w:rPr>
        <w:t>（2）在质保期内，派遣维修或技术人员巡访设备使用单位，协助并指导运维人员进行日常维护保养工作，并与直接使用人交流设备使用相关事宜。</w:t>
      </w:r>
    </w:p>
    <w:p>
      <w:pPr>
        <w:spacing w:line="440" w:lineRule="exact"/>
        <w:ind w:firstLine="424" w:firstLineChars="177"/>
        <w:rPr>
          <w:rFonts w:ascii="宋体" w:hAnsi="宋体" w:cs="微软雅黑"/>
          <w:bCs/>
          <w:szCs w:val="24"/>
        </w:rPr>
      </w:pPr>
      <w:r>
        <w:rPr>
          <w:rFonts w:hint="eastAsia" w:ascii="宋体" w:hAnsi="宋体" w:cs="微软雅黑"/>
          <w:bCs/>
          <w:color w:val="FF0000"/>
          <w:szCs w:val="24"/>
        </w:rPr>
        <w:t>（</w:t>
      </w:r>
      <w:r>
        <w:rPr>
          <w:rFonts w:hint="eastAsia" w:ascii="宋体" w:hAnsi="宋体" w:cs="微软雅黑"/>
          <w:bCs/>
          <w:szCs w:val="24"/>
        </w:rPr>
        <w:t>3）投标人提供针对本项目人员的培训方案，要求培训方案写明培训课时、讲师人数、培训人次、培训内容，原则上要求培训不少于</w:t>
      </w:r>
      <w:r>
        <w:rPr>
          <w:rFonts w:ascii="宋体" w:hAnsi="宋体" w:cs="微软雅黑"/>
          <w:bCs/>
          <w:szCs w:val="24"/>
        </w:rPr>
        <w:t>12</w:t>
      </w:r>
      <w:r>
        <w:rPr>
          <w:rFonts w:hint="eastAsia" w:ascii="宋体" w:hAnsi="宋体" w:cs="微软雅黑"/>
          <w:bCs/>
          <w:szCs w:val="24"/>
        </w:rPr>
        <w:t>课时，培训讲师不少于1人，人次不少于20人/次。</w:t>
      </w:r>
    </w:p>
    <w:p>
      <w:pPr>
        <w:spacing w:line="440" w:lineRule="exact"/>
        <w:ind w:firstLine="424" w:firstLineChars="177"/>
        <w:rPr>
          <w:rFonts w:ascii="宋体" w:hAnsi="宋体" w:cs="微软雅黑"/>
          <w:szCs w:val="24"/>
        </w:rPr>
      </w:pPr>
      <w:r>
        <w:rPr>
          <w:rFonts w:hint="eastAsia" w:ascii="宋体" w:hAnsi="宋体" w:cs="微软雅黑"/>
          <w:bCs/>
          <w:szCs w:val="24"/>
        </w:rPr>
        <w:t>（4）投标人具有提供本地化售后服务的能力，并安排每年设备巡检不少于4次，以保证所投设备在本单位正常运转。</w:t>
      </w:r>
    </w:p>
    <w:p>
      <w:pPr>
        <w:pStyle w:val="7"/>
        <w:spacing w:line="440" w:lineRule="exact"/>
        <w:rPr>
          <w:rFonts w:hAnsi="宋体" w:cs="微软雅黑"/>
        </w:rPr>
      </w:pPr>
      <w:r>
        <w:rPr>
          <w:rFonts w:hint="eastAsia" w:hAnsi="宋体" w:cs="微软雅黑"/>
        </w:rPr>
        <w:t>（5）投标人必须积极配采购人共同参与项目验收。主动向采购单位有关技术人员在使用现场提供全套技术指导及培训。</w:t>
      </w:r>
    </w:p>
    <w:p>
      <w:pPr>
        <w:pStyle w:val="7"/>
        <w:spacing w:line="440" w:lineRule="exact"/>
        <w:rPr>
          <w:rFonts w:hAnsi="宋体" w:cs="微软雅黑"/>
        </w:rPr>
      </w:pPr>
      <w:r>
        <w:rPr>
          <w:rFonts w:hint="eastAsia" w:hAnsi="宋体" w:cs="微软雅黑"/>
        </w:rPr>
        <w:t>（6）投标人应派相关技术人员到现场进行指导安装，解决安装过程中的相关问题。</w:t>
      </w:r>
    </w:p>
    <w:p>
      <w:pPr>
        <w:pStyle w:val="7"/>
        <w:spacing w:line="440" w:lineRule="exact"/>
        <w:rPr>
          <w:rFonts w:hAnsi="宋体" w:cs="微软雅黑"/>
        </w:rPr>
      </w:pPr>
      <w:r>
        <w:rPr>
          <w:rFonts w:hint="eastAsia" w:hAnsi="宋体" w:cs="微软雅黑"/>
        </w:rPr>
        <w:t>（7）售后服务承诺：投标人应对质保期内及其以后的服务做出承诺，并具有切实可行的措施,不能及时兑现服务承诺内容而影响使用方使用，投标人应怎样给予补偿，维修人员应是投标人派出的具有一定专业技术水平的人员，并具有投标人的法人授权委托，并在相应文件中均应明确说明。</w:t>
      </w:r>
    </w:p>
    <w:p>
      <w:pPr>
        <w:pStyle w:val="7"/>
        <w:spacing w:line="440" w:lineRule="exact"/>
        <w:rPr>
          <w:rFonts w:hAnsi="宋体" w:cs="微软雅黑"/>
        </w:rPr>
      </w:pPr>
      <w:r>
        <w:rPr>
          <w:rFonts w:hint="eastAsia" w:hAnsi="宋体" w:cs="微软雅黑"/>
        </w:rPr>
        <w:t>（8）备品备件：所投产品均须提供备品备件，投标人根据自身所投产品提供相对应的部件之间及设备之间的连线或接插件，均视为备品备件的种类。列明备品备件的种类、数量、价格，在质保期外，投标人应当按低于市场价标准提供设备配件。</w:t>
      </w:r>
    </w:p>
    <w:p>
      <w:pPr>
        <w:pStyle w:val="7"/>
        <w:spacing w:line="440" w:lineRule="exact"/>
        <w:rPr>
          <w:rFonts w:hAnsi="宋体" w:cs="微软雅黑"/>
        </w:rPr>
      </w:pPr>
      <w:r>
        <w:rPr>
          <w:rFonts w:hint="eastAsia" w:hAnsi="宋体" w:cs="微软雅黑"/>
        </w:rPr>
        <w:t>（9）如有未尽事宜或收到服务需求不合要求情况，可双方协商决定，但决定权在购买方，购买方有权利退回所购买产品。</w:t>
      </w:r>
    </w:p>
    <w:p>
      <w:pPr>
        <w:ind w:firstLine="480"/>
        <w:rPr>
          <w:rFonts w:ascii="宋体" w:hAnsi="宋体"/>
          <w:szCs w:val="24"/>
        </w:rPr>
      </w:pPr>
    </w:p>
    <w:p>
      <w:pPr>
        <w:pStyle w:val="2"/>
        <w:spacing w:line="480" w:lineRule="exact"/>
        <w:ind w:left="360" w:right="360"/>
        <w:rPr>
          <w:rFonts w:ascii="宋体" w:hAnsi="宋体"/>
          <w:sz w:val="24"/>
          <w:szCs w:val="24"/>
        </w:rPr>
      </w:pPr>
      <w:r>
        <w:rPr>
          <w:rFonts w:hint="eastAsia" w:ascii="宋体" w:hAnsi="宋体"/>
          <w:sz w:val="24"/>
          <w:szCs w:val="24"/>
        </w:rPr>
        <w:t>商务要求</w:t>
      </w:r>
    </w:p>
    <w:p>
      <w:pPr>
        <w:ind w:firstLine="480"/>
        <w:rPr>
          <w:rFonts w:ascii="宋体" w:hAnsi="宋体" w:cs="宋体"/>
          <w:szCs w:val="24"/>
        </w:rPr>
      </w:pPr>
      <w:r>
        <w:rPr>
          <w:rFonts w:hint="eastAsia" w:ascii="宋体" w:hAnsi="宋体"/>
          <w:szCs w:val="24"/>
        </w:rPr>
        <w:t>1.资质要求：</w:t>
      </w:r>
      <w:r>
        <w:rPr>
          <w:rFonts w:hint="eastAsia" w:ascii="宋体" w:hAnsi="宋体" w:cs="宋体"/>
          <w:szCs w:val="24"/>
        </w:rPr>
        <w:t>合格供应商应具备以下资质证书（电子与智能化工程专业承包贰级及以上和建筑装修装饰工程专业承包贰级及以上资质）（原件扫描件）</w:t>
      </w:r>
    </w:p>
    <w:p>
      <w:pPr>
        <w:spacing w:line="480" w:lineRule="exact"/>
        <w:ind w:firstLine="480"/>
        <w:rPr>
          <w:rFonts w:ascii="宋体" w:hAnsi="宋体"/>
          <w:szCs w:val="24"/>
        </w:rPr>
      </w:pPr>
      <w:r>
        <w:rPr>
          <w:rFonts w:hint="eastAsia" w:ascii="宋体" w:hAnsi="宋体"/>
          <w:szCs w:val="24"/>
        </w:rPr>
        <w:t>2、交货时间：合同签订后</w:t>
      </w:r>
      <w:r>
        <w:rPr>
          <w:rFonts w:ascii="宋体" w:hAnsi="宋体"/>
          <w:szCs w:val="24"/>
        </w:rPr>
        <w:t>35</w:t>
      </w:r>
      <w:r>
        <w:rPr>
          <w:rFonts w:hint="eastAsia" w:ascii="宋体" w:hAnsi="宋体"/>
          <w:szCs w:val="24"/>
        </w:rPr>
        <w:t>日历</w:t>
      </w:r>
      <w:bookmarkStart w:id="0" w:name="_Hlk161412907"/>
      <w:r>
        <w:rPr>
          <w:rFonts w:hint="eastAsia" w:ascii="宋体" w:hAnsi="宋体"/>
          <w:szCs w:val="24"/>
        </w:rPr>
        <w:t>日</w:t>
      </w:r>
      <w:bookmarkEnd w:id="0"/>
      <w:r>
        <w:rPr>
          <w:rFonts w:hint="eastAsia" w:ascii="宋体" w:hAnsi="宋体"/>
          <w:szCs w:val="24"/>
        </w:rPr>
        <w:t>内完成交货，并根据采购人项目进度安排完成安装调试工作。</w:t>
      </w:r>
    </w:p>
    <w:p>
      <w:pPr>
        <w:spacing w:line="480" w:lineRule="exact"/>
        <w:ind w:firstLine="480"/>
        <w:rPr>
          <w:rFonts w:ascii="宋体" w:hAnsi="宋体"/>
          <w:szCs w:val="24"/>
        </w:rPr>
      </w:pPr>
      <w:r>
        <w:rPr>
          <w:rFonts w:ascii="宋体" w:hAnsi="宋体"/>
          <w:szCs w:val="24"/>
        </w:rPr>
        <w:t>3</w:t>
      </w:r>
      <w:r>
        <w:rPr>
          <w:rFonts w:hint="eastAsia" w:ascii="宋体" w:hAnsi="宋体"/>
          <w:szCs w:val="24"/>
        </w:rPr>
        <w:t>.交货地点：昌吉州融媒体中心(新疆昌吉市南公园西路129号)</w:t>
      </w:r>
    </w:p>
    <w:p>
      <w:pPr>
        <w:spacing w:line="480" w:lineRule="exact"/>
        <w:ind w:firstLine="480"/>
        <w:rPr>
          <w:rFonts w:hint="eastAsia" w:ascii="宋体" w:hAnsi="宋体"/>
          <w:szCs w:val="24"/>
        </w:rPr>
      </w:pPr>
      <w:r>
        <w:rPr>
          <w:rFonts w:ascii="宋体" w:hAnsi="宋体"/>
          <w:szCs w:val="24"/>
        </w:rPr>
        <w:t>4</w:t>
      </w:r>
      <w:r>
        <w:rPr>
          <w:rFonts w:hint="eastAsia" w:ascii="宋体" w:hAnsi="宋体"/>
          <w:szCs w:val="24"/>
        </w:rPr>
        <w:t>.资金支付期限及付款比例：</w:t>
      </w:r>
      <w:bookmarkStart w:id="1" w:name="_Hlk60998075"/>
      <w:r>
        <w:rPr>
          <w:rFonts w:hint="eastAsia" w:ascii="宋体" w:hAnsi="宋体"/>
          <w:szCs w:val="24"/>
        </w:rPr>
        <w:t>合同签订后付合同总价的</w:t>
      </w:r>
      <w:r>
        <w:rPr>
          <w:rFonts w:ascii="宋体" w:hAnsi="宋体"/>
          <w:szCs w:val="24"/>
        </w:rPr>
        <w:t>3</w:t>
      </w:r>
      <w:r>
        <w:rPr>
          <w:rFonts w:hint="eastAsia" w:ascii="宋体" w:hAnsi="宋体"/>
          <w:szCs w:val="24"/>
        </w:rPr>
        <w:t>0%的预付款，设备到货验收合格付合同总价的</w:t>
      </w:r>
      <w:r>
        <w:rPr>
          <w:rFonts w:hint="eastAsia" w:ascii="宋体" w:hAnsi="宋体"/>
          <w:szCs w:val="24"/>
          <w:lang w:val="en-US" w:eastAsia="zh-CN"/>
        </w:rPr>
        <w:t>4</w:t>
      </w:r>
      <w:r>
        <w:rPr>
          <w:rFonts w:hint="eastAsia" w:ascii="宋体" w:hAnsi="宋体"/>
          <w:szCs w:val="24"/>
        </w:rPr>
        <w:t>0%，项目最终验收合格支付合同总价的</w:t>
      </w:r>
      <w:r>
        <w:rPr>
          <w:rFonts w:hint="eastAsia" w:ascii="宋体" w:hAnsi="宋体"/>
          <w:szCs w:val="24"/>
          <w:lang w:val="en-US" w:eastAsia="zh-CN"/>
        </w:rPr>
        <w:t>3</w:t>
      </w:r>
      <w:r>
        <w:rPr>
          <w:rFonts w:hint="eastAsia" w:ascii="宋体" w:hAnsi="宋体"/>
          <w:szCs w:val="24"/>
        </w:rPr>
        <w:t>0%。</w:t>
      </w:r>
      <w:bookmarkEnd w:id="1"/>
    </w:p>
    <w:p>
      <w:pPr>
        <w:spacing w:line="480" w:lineRule="exact"/>
        <w:ind w:firstLine="480"/>
        <w:rPr>
          <w:rFonts w:ascii="宋体" w:hAnsi="宋体"/>
          <w:szCs w:val="24"/>
        </w:rPr>
      </w:pPr>
      <w:r>
        <w:rPr>
          <w:rFonts w:ascii="宋体" w:hAnsi="宋体"/>
          <w:szCs w:val="24"/>
        </w:rPr>
        <w:t>5</w:t>
      </w:r>
      <w:r>
        <w:rPr>
          <w:rFonts w:hint="eastAsia" w:ascii="宋体" w:hAnsi="宋体"/>
          <w:szCs w:val="24"/>
        </w:rPr>
        <w:t>.验收方案：</w:t>
      </w:r>
    </w:p>
    <w:p>
      <w:pPr>
        <w:spacing w:line="480" w:lineRule="exact"/>
        <w:ind w:firstLine="480"/>
        <w:rPr>
          <w:rFonts w:ascii="宋体" w:hAnsi="宋体"/>
          <w:szCs w:val="24"/>
        </w:rPr>
      </w:pPr>
      <w:r>
        <w:rPr>
          <w:rFonts w:hint="eastAsia" w:ascii="宋体" w:hAnsi="宋体"/>
          <w:szCs w:val="24"/>
        </w:rPr>
        <w:t>（1）履约验收的主体：采购人</w:t>
      </w:r>
    </w:p>
    <w:p>
      <w:pPr>
        <w:spacing w:line="480" w:lineRule="exact"/>
        <w:ind w:firstLine="480"/>
        <w:rPr>
          <w:rFonts w:ascii="宋体" w:hAnsi="宋体"/>
          <w:szCs w:val="24"/>
        </w:rPr>
      </w:pPr>
      <w:r>
        <w:rPr>
          <w:rFonts w:hint="eastAsia" w:ascii="宋体" w:hAnsi="宋体"/>
          <w:szCs w:val="24"/>
        </w:rPr>
        <w:t>（2）邀请验收对象：专家</w:t>
      </w:r>
    </w:p>
    <w:p>
      <w:pPr>
        <w:spacing w:line="480" w:lineRule="exact"/>
        <w:ind w:firstLine="480"/>
        <w:rPr>
          <w:rFonts w:ascii="宋体" w:hAnsi="宋体"/>
          <w:szCs w:val="24"/>
        </w:rPr>
      </w:pPr>
      <w:r>
        <w:rPr>
          <w:rFonts w:hint="eastAsia" w:ascii="宋体" w:hAnsi="宋体"/>
          <w:szCs w:val="24"/>
        </w:rPr>
        <w:t>（3）验收时间：货物在采购人通知到货后5日内由双方进行到货验收，中标供应商应提供货物清单，双方对货物核对无误，通电运行正常，出具双方签署的货物交接清单后，视为到货验收合格。到货验收合格后，进入货物试用期，试用期为1个月，试用期间发生质量问题，更换修复后试用期相应顺延。试用期满，货物使用正常，经采购人认可项目具备验收条件后5日内，由双方共同按照政府采购验收相关规定进行项目最终验收。</w:t>
      </w:r>
    </w:p>
    <w:p>
      <w:pPr>
        <w:spacing w:line="480" w:lineRule="exact"/>
        <w:ind w:firstLine="480"/>
        <w:rPr>
          <w:rFonts w:ascii="宋体" w:hAnsi="宋体"/>
          <w:szCs w:val="24"/>
        </w:rPr>
      </w:pPr>
      <w:r>
        <w:rPr>
          <w:rFonts w:hint="eastAsia" w:ascii="宋体" w:hAnsi="宋体"/>
          <w:szCs w:val="24"/>
        </w:rPr>
        <w:t>（4）验收方式：自行验收</w:t>
      </w:r>
    </w:p>
    <w:p>
      <w:pPr>
        <w:spacing w:line="480" w:lineRule="exact"/>
        <w:ind w:firstLine="480"/>
        <w:rPr>
          <w:rFonts w:ascii="宋体" w:hAnsi="宋体"/>
          <w:szCs w:val="24"/>
        </w:rPr>
      </w:pPr>
      <w:r>
        <w:rPr>
          <w:rFonts w:hint="eastAsia" w:ascii="宋体" w:hAnsi="宋体"/>
          <w:szCs w:val="24"/>
        </w:rPr>
        <w:t xml:space="preserve">（5）验收程序：分段验收 </w:t>
      </w:r>
    </w:p>
    <w:p>
      <w:pPr>
        <w:spacing w:line="480" w:lineRule="exact"/>
        <w:ind w:firstLine="480"/>
        <w:rPr>
          <w:rFonts w:ascii="宋体" w:hAnsi="宋体"/>
          <w:szCs w:val="24"/>
        </w:rPr>
      </w:pPr>
      <w:r>
        <w:rPr>
          <w:rFonts w:hint="eastAsia" w:ascii="宋体" w:hAnsi="宋体"/>
          <w:szCs w:val="24"/>
        </w:rPr>
        <w:t>（6）验收内容：招标文件的要求、投标人的投标文件及承诺与本项目合同约定。</w:t>
      </w:r>
    </w:p>
    <w:p>
      <w:pPr>
        <w:spacing w:line="480" w:lineRule="exact"/>
        <w:ind w:firstLine="480"/>
        <w:rPr>
          <w:rFonts w:hint="eastAsia" w:ascii="宋体" w:hAnsi="宋体"/>
          <w:szCs w:val="24"/>
        </w:rPr>
      </w:pPr>
      <w:r>
        <w:rPr>
          <w:rFonts w:hint="eastAsia" w:ascii="宋体" w:hAnsi="宋体"/>
          <w:szCs w:val="24"/>
        </w:rPr>
        <w:t>（7）验收标准：按国家（行业）有关规定以及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spacing w:line="400" w:lineRule="exact"/>
        <w:ind w:firstLine="480"/>
        <w:rPr>
          <w:rFonts w:hint="default"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lang w:val="en-US" w:eastAsia="zh-CN"/>
          <w14:textFill>
            <w14:solidFill>
              <w14:schemeClr w14:val="tx1"/>
            </w14:solidFill>
          </w14:textFill>
        </w:rPr>
        <w:t>6.</w:t>
      </w:r>
      <w:r>
        <w:rPr>
          <w:rFonts w:hint="eastAsia" w:ascii="仿宋" w:hAnsi="仿宋" w:eastAsia="仿宋"/>
          <w:color w:val="000000" w:themeColor="text1"/>
          <w:szCs w:val="24"/>
          <w14:textFill>
            <w14:solidFill>
              <w14:schemeClr w14:val="tx1"/>
            </w14:solidFill>
          </w14:textFill>
        </w:rPr>
        <w:t>踏勘要求：本项目需要进行集中现场踏勘，踏勘联系人：</w:t>
      </w:r>
      <w:r>
        <w:rPr>
          <w:rFonts w:hint="eastAsia" w:ascii="仿宋" w:hAnsi="仿宋" w:eastAsia="仿宋"/>
          <w:color w:val="000000" w:themeColor="text1"/>
          <w:szCs w:val="24"/>
          <w:lang w:val="en-US" w:eastAsia="zh-CN"/>
          <w14:textFill>
            <w14:solidFill>
              <w14:schemeClr w14:val="tx1"/>
            </w14:solidFill>
          </w14:textFill>
        </w:rPr>
        <w:t>马伟</w:t>
      </w:r>
      <w:r>
        <w:rPr>
          <w:rFonts w:hint="eastAsia" w:ascii="仿宋" w:hAnsi="仿宋" w:eastAsia="仿宋"/>
          <w:color w:val="000000" w:themeColor="text1"/>
          <w:szCs w:val="24"/>
          <w14:textFill>
            <w14:solidFill>
              <w14:schemeClr w14:val="tx1"/>
            </w14:solidFill>
          </w14:textFill>
        </w:rPr>
        <w:t>，联系电话：</w:t>
      </w:r>
      <w:r>
        <w:rPr>
          <w:rFonts w:hint="eastAsia" w:ascii="仿宋" w:hAnsi="仿宋" w:eastAsia="仿宋"/>
          <w:color w:val="000000" w:themeColor="text1"/>
          <w:szCs w:val="24"/>
          <w:lang w:val="en-US" w:eastAsia="zh-CN"/>
          <w14:textFill>
            <w14:solidFill>
              <w14:schemeClr w14:val="tx1"/>
            </w14:solidFill>
          </w14:textFill>
        </w:rPr>
        <w:t>13999359883</w:t>
      </w:r>
      <w:r>
        <w:rPr>
          <w:rFonts w:hint="eastAsia" w:ascii="仿宋" w:hAnsi="仿宋" w:eastAsia="仿宋"/>
          <w:color w:val="000000" w:themeColor="text1"/>
          <w:szCs w:val="24"/>
          <w14:textFill>
            <w14:solidFill>
              <w14:schemeClr w14:val="tx1"/>
            </w14:solidFill>
          </w14:textFill>
        </w:rPr>
        <w:t>；踏勘集合地点：昌吉市南公园西路129号传媒大厦</w:t>
      </w:r>
      <w:r>
        <w:rPr>
          <w:rFonts w:hint="eastAsia" w:ascii="仿宋" w:hAnsi="仿宋" w:eastAsia="仿宋"/>
          <w:color w:val="000000" w:themeColor="text1"/>
          <w:szCs w:val="24"/>
          <w:lang w:val="en-US" w:eastAsia="zh-CN"/>
          <w14:textFill>
            <w14:solidFill>
              <w14:schemeClr w14:val="tx1"/>
            </w14:solidFill>
          </w14:textFill>
        </w:rPr>
        <w:t>A</w:t>
      </w:r>
      <w:r>
        <w:rPr>
          <w:rFonts w:hint="eastAsia" w:ascii="仿宋" w:hAnsi="仿宋" w:eastAsia="仿宋"/>
          <w:color w:val="000000" w:themeColor="text1"/>
          <w:szCs w:val="24"/>
          <w14:textFill>
            <w14:solidFill>
              <w14:schemeClr w14:val="tx1"/>
            </w14:solidFill>
          </w14:textFill>
        </w:rPr>
        <w:t>座</w:t>
      </w:r>
      <w:r>
        <w:rPr>
          <w:rFonts w:hint="eastAsia" w:ascii="仿宋" w:hAnsi="仿宋" w:eastAsia="仿宋"/>
          <w:color w:val="000000" w:themeColor="text1"/>
          <w:szCs w:val="24"/>
          <w:lang w:val="en-US" w:eastAsia="zh-CN"/>
          <w14:textFill>
            <w14:solidFill>
              <w14:schemeClr w14:val="tx1"/>
            </w14:solidFill>
          </w14:textFill>
        </w:rPr>
        <w:t>10</w:t>
      </w:r>
      <w:r>
        <w:rPr>
          <w:rFonts w:hint="eastAsia" w:ascii="仿宋" w:hAnsi="仿宋" w:eastAsia="仿宋"/>
          <w:color w:val="000000" w:themeColor="text1"/>
          <w:szCs w:val="24"/>
          <w14:textFill>
            <w14:solidFill>
              <w14:schemeClr w14:val="tx1"/>
            </w14:solidFill>
          </w14:textFill>
        </w:rPr>
        <w:t>楼；踏勘时间：</w:t>
      </w:r>
      <w:r>
        <w:rPr>
          <w:rFonts w:hint="eastAsia" w:ascii="仿宋" w:hAnsi="仿宋" w:eastAsia="仿宋"/>
          <w:color w:val="000000" w:themeColor="text1"/>
          <w:szCs w:val="24"/>
          <w:lang w:val="en-US" w:eastAsia="zh-CN"/>
          <w14:textFill>
            <w14:solidFill>
              <w14:schemeClr w14:val="tx1"/>
            </w14:solidFill>
          </w14:textFill>
        </w:rPr>
        <w:t>2024年6月4</w:t>
      </w:r>
      <w:bookmarkStart w:id="2" w:name="_GoBack"/>
      <w:bookmarkEnd w:id="2"/>
      <w:r>
        <w:rPr>
          <w:rFonts w:hint="eastAsia" w:ascii="仿宋" w:hAnsi="仿宋" w:eastAsia="仿宋"/>
          <w:color w:val="000000" w:themeColor="text1"/>
          <w:szCs w:val="24"/>
          <w:lang w:val="en-US" w:eastAsia="zh-CN"/>
          <w14:textFill>
            <w14:solidFill>
              <w14:schemeClr w14:val="tx1"/>
            </w14:solidFill>
          </w14:textFill>
        </w:rPr>
        <w:t>日下午4点-5点</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lang w:val="en-US" w:eastAsia="zh-CN"/>
          <w14:textFill>
            <w14:solidFill>
              <w14:schemeClr w14:val="tx1"/>
            </w14:solidFill>
          </w14:textFill>
        </w:rPr>
        <w:t>踏勘时长一小时，</w:t>
      </w:r>
      <w:r>
        <w:rPr>
          <w:rFonts w:hint="eastAsia" w:ascii="仿宋" w:hAnsi="仿宋" w:eastAsia="仿宋"/>
          <w:color w:val="000000" w:themeColor="text1"/>
          <w:szCs w:val="24"/>
          <w14:textFill>
            <w14:solidFill>
              <w14:schemeClr w14:val="tx1"/>
            </w14:solidFill>
          </w14:textFill>
        </w:rPr>
        <w:t>现场踏勘后领取踏勘证明，无现场踏勘证明不得参与投标</w:t>
      </w:r>
      <w:r>
        <w:rPr>
          <w:rFonts w:hint="eastAsia" w:ascii="仿宋" w:hAnsi="仿宋" w:eastAsia="仿宋"/>
          <w:color w:val="000000" w:themeColor="text1"/>
          <w:szCs w:val="24"/>
          <w:lang w:eastAsia="zh-CN"/>
          <w14:textFill>
            <w14:solidFill>
              <w14:schemeClr w14:val="tx1"/>
            </w14:solidFill>
          </w14:textFill>
        </w:rPr>
        <w:t>，</w:t>
      </w:r>
      <w:r>
        <w:rPr>
          <w:rFonts w:hint="eastAsia" w:ascii="仿宋" w:hAnsi="仿宋" w:eastAsia="仿宋"/>
          <w:color w:val="000000" w:themeColor="text1"/>
          <w:szCs w:val="24"/>
          <w:lang w:val="en-US" w:eastAsia="zh-CN"/>
          <w14:textFill>
            <w14:solidFill>
              <w14:schemeClr w14:val="tx1"/>
            </w14:solidFill>
          </w14:textFill>
        </w:rPr>
        <w:t>集中踏勘过期不候。</w:t>
      </w:r>
    </w:p>
    <w:p>
      <w:pPr>
        <w:spacing w:line="480" w:lineRule="exact"/>
        <w:ind w:firstLine="480"/>
        <w:rPr>
          <w:rFonts w:hint="eastAsia" w:ascii="宋体" w:hAnsi="宋体"/>
          <w:szCs w:val="24"/>
        </w:rPr>
      </w:pPr>
    </w:p>
    <w:sectPr>
      <w:pgSz w:w="11906" w:h="16838"/>
      <w:pgMar w:top="1588" w:right="1701" w:bottom="1588" w:left="1701"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9098A"/>
    <w:multiLevelType w:val="singleLevel"/>
    <w:tmpl w:val="D289098A"/>
    <w:lvl w:ilvl="0" w:tentative="0">
      <w:start w:val="1"/>
      <w:numFmt w:val="bullet"/>
      <w:lvlText w:val=""/>
      <w:lvlJc w:val="left"/>
      <w:pPr>
        <w:ind w:left="704" w:hanging="420"/>
      </w:pPr>
      <w:rPr>
        <w:rFonts w:hint="default" w:ascii="Wingdings" w:hAnsi="Wingdings"/>
      </w:rPr>
    </w:lvl>
  </w:abstractNum>
  <w:abstractNum w:abstractNumId="1">
    <w:nsid w:val="16A27AC3"/>
    <w:multiLevelType w:val="multilevel"/>
    <w:tmpl w:val="16A27AC3"/>
    <w:lvl w:ilvl="0" w:tentative="0">
      <w:start w:val="1"/>
      <w:numFmt w:val="chineseCountingThousand"/>
      <w:pStyle w:val="2"/>
      <w:lvlText w:val="第%1章"/>
      <w:lvlJc w:val="left"/>
      <w:pPr>
        <w:ind w:left="305" w:hanging="425"/>
      </w:pPr>
      <w:rPr>
        <w:rFonts w:hint="default" w:ascii="Times New Roman" w:hAnsi="Times New Roman" w:eastAsia="宋体"/>
        <w:b w:val="0"/>
        <w:i w:val="0"/>
        <w:sz w:val="32"/>
        <w:szCs w:val="32"/>
      </w:rPr>
    </w:lvl>
    <w:lvl w:ilvl="1" w:tentative="0">
      <w:start w:val="1"/>
      <w:numFmt w:val="decimal"/>
      <w:pStyle w:val="3"/>
      <w:isLgl/>
      <w:lvlText w:val="%1.%2"/>
      <w:lvlJc w:val="left"/>
      <w:pPr>
        <w:ind w:left="708" w:hanging="425"/>
      </w:pPr>
      <w:rPr>
        <w:rFonts w:hint="default" w:ascii="Times New Roman" w:hAnsi="Times New Roman" w:eastAsia="宋体"/>
        <w:b w:val="0"/>
        <w:i w:val="0"/>
        <w:sz w:val="30"/>
      </w:rPr>
    </w:lvl>
    <w:lvl w:ilvl="2" w:tentative="0">
      <w:start w:val="1"/>
      <w:numFmt w:val="decimal"/>
      <w:pStyle w:val="4"/>
      <w:isLgl/>
      <w:lvlText w:val="%1.%2.%3"/>
      <w:lvlJc w:val="left"/>
      <w:pPr>
        <w:ind w:left="993" w:hanging="425"/>
      </w:pPr>
      <w:rPr>
        <w:rFonts w:hint="default" w:ascii="Times New Roman" w:hAnsi="Times New Roman" w:eastAsia="宋体"/>
        <w:b w:val="0"/>
        <w:i w:val="0"/>
        <w:sz w:val="28"/>
      </w:rPr>
    </w:lvl>
    <w:lvl w:ilvl="3" w:tentative="0">
      <w:start w:val="1"/>
      <w:numFmt w:val="decimal"/>
      <w:pStyle w:val="5"/>
      <w:isLgl/>
      <w:lvlText w:val="%1.%2.%3.%4"/>
      <w:lvlJc w:val="left"/>
      <w:pPr>
        <w:ind w:left="1277" w:hanging="425"/>
      </w:pPr>
      <w:rPr>
        <w:rFonts w:hint="default" w:ascii="Times New Roman" w:hAnsi="Times New Roman" w:eastAsia="宋体"/>
        <w:b w:val="0"/>
        <w:i w:val="0"/>
        <w:sz w:val="28"/>
      </w:rPr>
    </w:lvl>
    <w:lvl w:ilvl="4" w:tentative="0">
      <w:start w:val="1"/>
      <w:numFmt w:val="decimal"/>
      <w:pStyle w:val="6"/>
      <w:isLgl/>
      <w:lvlText w:val="%1.%2.%3.%4.%5"/>
      <w:lvlJc w:val="left"/>
      <w:pPr>
        <w:ind w:left="1561" w:hanging="425"/>
      </w:pPr>
      <w:rPr>
        <w:rFonts w:hint="default" w:ascii="Times New Roman" w:hAnsi="Times New Roman" w:eastAsia="宋体"/>
        <w:b w:val="0"/>
        <w:i w:val="0"/>
        <w:sz w:val="28"/>
      </w:rPr>
    </w:lvl>
    <w:lvl w:ilvl="5" w:tentative="0">
      <w:start w:val="1"/>
      <w:numFmt w:val="decimal"/>
      <w:lvlText w:val="%1.%2.%3.%4.%5.%6"/>
      <w:lvlJc w:val="left"/>
      <w:pPr>
        <w:ind w:left="1845" w:hanging="425"/>
      </w:pPr>
      <w:rPr>
        <w:rFonts w:hint="eastAsia"/>
      </w:rPr>
    </w:lvl>
    <w:lvl w:ilvl="6" w:tentative="0">
      <w:start w:val="1"/>
      <w:numFmt w:val="decimal"/>
      <w:lvlText w:val="%1.%2.%3.%4.%5.%6.%7"/>
      <w:lvlJc w:val="left"/>
      <w:pPr>
        <w:ind w:left="2129" w:hanging="425"/>
      </w:pPr>
      <w:rPr>
        <w:rFonts w:hint="eastAsia"/>
      </w:rPr>
    </w:lvl>
    <w:lvl w:ilvl="7" w:tentative="0">
      <w:start w:val="1"/>
      <w:numFmt w:val="decimal"/>
      <w:lvlText w:val="%1.%2.%3.%4.%5.%6.%7.%8"/>
      <w:lvlJc w:val="left"/>
      <w:pPr>
        <w:ind w:left="2413" w:hanging="425"/>
      </w:pPr>
      <w:rPr>
        <w:rFonts w:hint="eastAsia"/>
      </w:rPr>
    </w:lvl>
    <w:lvl w:ilvl="8" w:tentative="0">
      <w:start w:val="1"/>
      <w:numFmt w:val="decimal"/>
      <w:lvlText w:val="%1.%2.%3.%4.%5.%6.%7.%8.%9"/>
      <w:lvlJc w:val="left"/>
      <w:pPr>
        <w:ind w:left="2697" w:hanging="425"/>
      </w:pPr>
      <w:rPr>
        <w:rFonts w:hint="eastAsia"/>
      </w:rPr>
    </w:lvl>
  </w:abstractNum>
  <w:abstractNum w:abstractNumId="2">
    <w:nsid w:val="2CB46AC3"/>
    <w:multiLevelType w:val="singleLevel"/>
    <w:tmpl w:val="2CB46AC3"/>
    <w:lvl w:ilvl="0" w:tentative="0">
      <w:start w:val="1"/>
      <w:numFmt w:val="bullet"/>
      <w:lvlText w:val=""/>
      <w:lvlJc w:val="left"/>
      <w:pPr>
        <w:ind w:left="420" w:hanging="420"/>
      </w:pPr>
      <w:rPr>
        <w:rFonts w:hint="default" w:ascii="Wingdings" w:hAnsi="Wingdings"/>
      </w:rPr>
    </w:lvl>
  </w:abstractNum>
  <w:abstractNum w:abstractNumId="3">
    <w:nsid w:val="7EB12141"/>
    <w:multiLevelType w:val="multilevel"/>
    <w:tmpl w:val="7EB12141"/>
    <w:lvl w:ilvl="0" w:tentative="0">
      <w:start w:val="1"/>
      <w:numFmt w:val="bullet"/>
      <w:pStyle w:val="2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N2ZmOTQwNzlkNDcyMTIzYjRlMDdiZGY2NmJhMDQifQ=="/>
    <w:docVar w:name="KSO_WPS_MARK_KEY" w:val="ec3e0816-793e-4497-b21d-54baadffcd0c"/>
  </w:docVars>
  <w:rsids>
    <w:rsidRoot w:val="00172A27"/>
    <w:rsid w:val="00007A00"/>
    <w:rsid w:val="00012995"/>
    <w:rsid w:val="00013FD0"/>
    <w:rsid w:val="00017309"/>
    <w:rsid w:val="00017789"/>
    <w:rsid w:val="00020476"/>
    <w:rsid w:val="000344DD"/>
    <w:rsid w:val="00034A9E"/>
    <w:rsid w:val="00034E41"/>
    <w:rsid w:val="00037634"/>
    <w:rsid w:val="00040732"/>
    <w:rsid w:val="000428AA"/>
    <w:rsid w:val="0004679E"/>
    <w:rsid w:val="00051346"/>
    <w:rsid w:val="000601FF"/>
    <w:rsid w:val="000602D8"/>
    <w:rsid w:val="00060A48"/>
    <w:rsid w:val="00063BF7"/>
    <w:rsid w:val="000731E7"/>
    <w:rsid w:val="00073F68"/>
    <w:rsid w:val="0007616D"/>
    <w:rsid w:val="00076EF5"/>
    <w:rsid w:val="000773E0"/>
    <w:rsid w:val="0008270C"/>
    <w:rsid w:val="000864BF"/>
    <w:rsid w:val="000875D6"/>
    <w:rsid w:val="000878E7"/>
    <w:rsid w:val="0009418F"/>
    <w:rsid w:val="000965DD"/>
    <w:rsid w:val="000A0B0D"/>
    <w:rsid w:val="000A167C"/>
    <w:rsid w:val="000A2D46"/>
    <w:rsid w:val="000A4CB9"/>
    <w:rsid w:val="000A7395"/>
    <w:rsid w:val="000B0712"/>
    <w:rsid w:val="000B153B"/>
    <w:rsid w:val="000B20DF"/>
    <w:rsid w:val="000B3014"/>
    <w:rsid w:val="000B41EB"/>
    <w:rsid w:val="000B50CA"/>
    <w:rsid w:val="000B58C7"/>
    <w:rsid w:val="000B5E15"/>
    <w:rsid w:val="000C039D"/>
    <w:rsid w:val="000C0C2A"/>
    <w:rsid w:val="000C34B6"/>
    <w:rsid w:val="000C4127"/>
    <w:rsid w:val="000C4FEC"/>
    <w:rsid w:val="000C655B"/>
    <w:rsid w:val="000D20CA"/>
    <w:rsid w:val="000D31B9"/>
    <w:rsid w:val="000E1B75"/>
    <w:rsid w:val="000E20A6"/>
    <w:rsid w:val="000E52AF"/>
    <w:rsid w:val="000E5B18"/>
    <w:rsid w:val="000E6D01"/>
    <w:rsid w:val="000F1D2D"/>
    <w:rsid w:val="000F1DCB"/>
    <w:rsid w:val="000F3F9A"/>
    <w:rsid w:val="000F5B0E"/>
    <w:rsid w:val="000F7B6E"/>
    <w:rsid w:val="001003D5"/>
    <w:rsid w:val="00105E7A"/>
    <w:rsid w:val="00116A74"/>
    <w:rsid w:val="001171AD"/>
    <w:rsid w:val="0012014F"/>
    <w:rsid w:val="0012075F"/>
    <w:rsid w:val="00130241"/>
    <w:rsid w:val="001312C6"/>
    <w:rsid w:val="00131CF8"/>
    <w:rsid w:val="00135256"/>
    <w:rsid w:val="001358B4"/>
    <w:rsid w:val="00141FD8"/>
    <w:rsid w:val="001434FE"/>
    <w:rsid w:val="00146D81"/>
    <w:rsid w:val="00147D54"/>
    <w:rsid w:val="001523C0"/>
    <w:rsid w:val="00156F0C"/>
    <w:rsid w:val="0016384E"/>
    <w:rsid w:val="001737EF"/>
    <w:rsid w:val="00174BEE"/>
    <w:rsid w:val="001751E6"/>
    <w:rsid w:val="001773B6"/>
    <w:rsid w:val="001801E5"/>
    <w:rsid w:val="001809CD"/>
    <w:rsid w:val="001819C7"/>
    <w:rsid w:val="00183E26"/>
    <w:rsid w:val="00184C76"/>
    <w:rsid w:val="00184EA8"/>
    <w:rsid w:val="001875B2"/>
    <w:rsid w:val="00187637"/>
    <w:rsid w:val="0018795F"/>
    <w:rsid w:val="0019026B"/>
    <w:rsid w:val="00194152"/>
    <w:rsid w:val="00195425"/>
    <w:rsid w:val="00195832"/>
    <w:rsid w:val="00195E79"/>
    <w:rsid w:val="00195ECD"/>
    <w:rsid w:val="001969E9"/>
    <w:rsid w:val="001A5693"/>
    <w:rsid w:val="001B4405"/>
    <w:rsid w:val="001B4493"/>
    <w:rsid w:val="001B671E"/>
    <w:rsid w:val="001C1767"/>
    <w:rsid w:val="001C3F12"/>
    <w:rsid w:val="001C421F"/>
    <w:rsid w:val="001C68A4"/>
    <w:rsid w:val="001D1CE4"/>
    <w:rsid w:val="001D4EA6"/>
    <w:rsid w:val="001D5155"/>
    <w:rsid w:val="001D69D1"/>
    <w:rsid w:val="001D6A33"/>
    <w:rsid w:val="001D6CF9"/>
    <w:rsid w:val="001E1F44"/>
    <w:rsid w:val="001E37B5"/>
    <w:rsid w:val="001E532E"/>
    <w:rsid w:val="001E7373"/>
    <w:rsid w:val="001F4384"/>
    <w:rsid w:val="001F4D6A"/>
    <w:rsid w:val="002010EE"/>
    <w:rsid w:val="00202929"/>
    <w:rsid w:val="0020445C"/>
    <w:rsid w:val="002045D0"/>
    <w:rsid w:val="002070D0"/>
    <w:rsid w:val="0020752B"/>
    <w:rsid w:val="00211D3E"/>
    <w:rsid w:val="0021379B"/>
    <w:rsid w:val="002227D3"/>
    <w:rsid w:val="00222B76"/>
    <w:rsid w:val="00227FFE"/>
    <w:rsid w:val="00230791"/>
    <w:rsid w:val="002355F0"/>
    <w:rsid w:val="00236EB9"/>
    <w:rsid w:val="0024030C"/>
    <w:rsid w:val="00240EB7"/>
    <w:rsid w:val="002433F7"/>
    <w:rsid w:val="00243771"/>
    <w:rsid w:val="0024417B"/>
    <w:rsid w:val="00244893"/>
    <w:rsid w:val="00245823"/>
    <w:rsid w:val="00252E2B"/>
    <w:rsid w:val="00254F05"/>
    <w:rsid w:val="00256DB3"/>
    <w:rsid w:val="00256EE9"/>
    <w:rsid w:val="00265B1A"/>
    <w:rsid w:val="0027371D"/>
    <w:rsid w:val="00275C66"/>
    <w:rsid w:val="00281FCA"/>
    <w:rsid w:val="00282585"/>
    <w:rsid w:val="00283E1C"/>
    <w:rsid w:val="0028698A"/>
    <w:rsid w:val="0028721A"/>
    <w:rsid w:val="00292ED5"/>
    <w:rsid w:val="0029438F"/>
    <w:rsid w:val="0029534A"/>
    <w:rsid w:val="00295C2A"/>
    <w:rsid w:val="00296C5D"/>
    <w:rsid w:val="002A36F4"/>
    <w:rsid w:val="002A53F6"/>
    <w:rsid w:val="002B24E5"/>
    <w:rsid w:val="002B2D99"/>
    <w:rsid w:val="002C0EDF"/>
    <w:rsid w:val="002C4495"/>
    <w:rsid w:val="002C5E1B"/>
    <w:rsid w:val="002C704C"/>
    <w:rsid w:val="002D08F5"/>
    <w:rsid w:val="002D20FE"/>
    <w:rsid w:val="002D55AD"/>
    <w:rsid w:val="002D6F46"/>
    <w:rsid w:val="002D752B"/>
    <w:rsid w:val="002D75E9"/>
    <w:rsid w:val="002D76BE"/>
    <w:rsid w:val="002E2B5C"/>
    <w:rsid w:val="002F0EB1"/>
    <w:rsid w:val="002F2737"/>
    <w:rsid w:val="002F3F51"/>
    <w:rsid w:val="002F499A"/>
    <w:rsid w:val="002F7EE9"/>
    <w:rsid w:val="00310EE0"/>
    <w:rsid w:val="00313A1B"/>
    <w:rsid w:val="00315D09"/>
    <w:rsid w:val="003222C1"/>
    <w:rsid w:val="00322EF8"/>
    <w:rsid w:val="003243EE"/>
    <w:rsid w:val="00324DEA"/>
    <w:rsid w:val="00327EBF"/>
    <w:rsid w:val="00332C53"/>
    <w:rsid w:val="00334AE6"/>
    <w:rsid w:val="00335708"/>
    <w:rsid w:val="00335D32"/>
    <w:rsid w:val="003412A1"/>
    <w:rsid w:val="00342E75"/>
    <w:rsid w:val="003438D4"/>
    <w:rsid w:val="00344A50"/>
    <w:rsid w:val="003452C3"/>
    <w:rsid w:val="00346639"/>
    <w:rsid w:val="00347077"/>
    <w:rsid w:val="003541A5"/>
    <w:rsid w:val="00355B5F"/>
    <w:rsid w:val="00366845"/>
    <w:rsid w:val="003668C4"/>
    <w:rsid w:val="003720C5"/>
    <w:rsid w:val="0037663F"/>
    <w:rsid w:val="00381A37"/>
    <w:rsid w:val="0038202A"/>
    <w:rsid w:val="00397044"/>
    <w:rsid w:val="003A4170"/>
    <w:rsid w:val="003A6719"/>
    <w:rsid w:val="003B2DD4"/>
    <w:rsid w:val="003B40F5"/>
    <w:rsid w:val="003B70B1"/>
    <w:rsid w:val="003B78DD"/>
    <w:rsid w:val="003C12CB"/>
    <w:rsid w:val="003C2601"/>
    <w:rsid w:val="003C37A4"/>
    <w:rsid w:val="003C5286"/>
    <w:rsid w:val="003C541B"/>
    <w:rsid w:val="003C6439"/>
    <w:rsid w:val="003C7CFE"/>
    <w:rsid w:val="003D14CB"/>
    <w:rsid w:val="003D2507"/>
    <w:rsid w:val="003D2B3F"/>
    <w:rsid w:val="003D6011"/>
    <w:rsid w:val="003D6EE9"/>
    <w:rsid w:val="003D78D2"/>
    <w:rsid w:val="003E1EC3"/>
    <w:rsid w:val="003E2D25"/>
    <w:rsid w:val="003E4413"/>
    <w:rsid w:val="003F109C"/>
    <w:rsid w:val="00400786"/>
    <w:rsid w:val="00401B38"/>
    <w:rsid w:val="00402553"/>
    <w:rsid w:val="004028EB"/>
    <w:rsid w:val="00402D03"/>
    <w:rsid w:val="00403C4D"/>
    <w:rsid w:val="00404B52"/>
    <w:rsid w:val="00404BF8"/>
    <w:rsid w:val="004050B3"/>
    <w:rsid w:val="00411169"/>
    <w:rsid w:val="00417A51"/>
    <w:rsid w:val="0042375D"/>
    <w:rsid w:val="004242FF"/>
    <w:rsid w:val="0042721D"/>
    <w:rsid w:val="00430472"/>
    <w:rsid w:val="00431CC7"/>
    <w:rsid w:val="00432EDD"/>
    <w:rsid w:val="004377B6"/>
    <w:rsid w:val="00446E36"/>
    <w:rsid w:val="00455ABC"/>
    <w:rsid w:val="00455B2D"/>
    <w:rsid w:val="004602CA"/>
    <w:rsid w:val="0046481F"/>
    <w:rsid w:val="004651D9"/>
    <w:rsid w:val="00473629"/>
    <w:rsid w:val="00473FDA"/>
    <w:rsid w:val="0047721B"/>
    <w:rsid w:val="00477343"/>
    <w:rsid w:val="00481619"/>
    <w:rsid w:val="00481DDB"/>
    <w:rsid w:val="00483354"/>
    <w:rsid w:val="00491733"/>
    <w:rsid w:val="004926C6"/>
    <w:rsid w:val="00495CAD"/>
    <w:rsid w:val="00497399"/>
    <w:rsid w:val="004974B6"/>
    <w:rsid w:val="004979C0"/>
    <w:rsid w:val="004A0DA7"/>
    <w:rsid w:val="004A1D5F"/>
    <w:rsid w:val="004A327B"/>
    <w:rsid w:val="004A4936"/>
    <w:rsid w:val="004B2E09"/>
    <w:rsid w:val="004B3824"/>
    <w:rsid w:val="004B3997"/>
    <w:rsid w:val="004B79BF"/>
    <w:rsid w:val="004B7DDD"/>
    <w:rsid w:val="004C13F0"/>
    <w:rsid w:val="004C1447"/>
    <w:rsid w:val="004C2E65"/>
    <w:rsid w:val="004C42C0"/>
    <w:rsid w:val="004C42E1"/>
    <w:rsid w:val="004D1C72"/>
    <w:rsid w:val="004D1F23"/>
    <w:rsid w:val="004D5B4B"/>
    <w:rsid w:val="004E0328"/>
    <w:rsid w:val="004E2DB1"/>
    <w:rsid w:val="004E45EA"/>
    <w:rsid w:val="004E63B8"/>
    <w:rsid w:val="004E7A46"/>
    <w:rsid w:val="004F1043"/>
    <w:rsid w:val="004F2C4D"/>
    <w:rsid w:val="004F402E"/>
    <w:rsid w:val="00504E6F"/>
    <w:rsid w:val="005050AE"/>
    <w:rsid w:val="00506904"/>
    <w:rsid w:val="005076A8"/>
    <w:rsid w:val="00507ED5"/>
    <w:rsid w:val="005103CB"/>
    <w:rsid w:val="00512079"/>
    <w:rsid w:val="00514A60"/>
    <w:rsid w:val="005224EC"/>
    <w:rsid w:val="005231F2"/>
    <w:rsid w:val="005237FE"/>
    <w:rsid w:val="00524101"/>
    <w:rsid w:val="00525A2C"/>
    <w:rsid w:val="00532BCB"/>
    <w:rsid w:val="00537B80"/>
    <w:rsid w:val="005428C2"/>
    <w:rsid w:val="005446AD"/>
    <w:rsid w:val="0054586C"/>
    <w:rsid w:val="00546412"/>
    <w:rsid w:val="005469F8"/>
    <w:rsid w:val="005517E5"/>
    <w:rsid w:val="0055450D"/>
    <w:rsid w:val="00554511"/>
    <w:rsid w:val="00561B4C"/>
    <w:rsid w:val="00561CC2"/>
    <w:rsid w:val="00570479"/>
    <w:rsid w:val="00572201"/>
    <w:rsid w:val="005724CD"/>
    <w:rsid w:val="00577626"/>
    <w:rsid w:val="00585A31"/>
    <w:rsid w:val="0058699E"/>
    <w:rsid w:val="0058740A"/>
    <w:rsid w:val="005903EC"/>
    <w:rsid w:val="00593021"/>
    <w:rsid w:val="005A18C2"/>
    <w:rsid w:val="005A3A58"/>
    <w:rsid w:val="005A4EBA"/>
    <w:rsid w:val="005B2646"/>
    <w:rsid w:val="005B29F6"/>
    <w:rsid w:val="005B3B0B"/>
    <w:rsid w:val="005B4D30"/>
    <w:rsid w:val="005B54C9"/>
    <w:rsid w:val="005B57C7"/>
    <w:rsid w:val="005C02A8"/>
    <w:rsid w:val="005C0886"/>
    <w:rsid w:val="005C1D86"/>
    <w:rsid w:val="005C4368"/>
    <w:rsid w:val="005E0E3E"/>
    <w:rsid w:val="005E183E"/>
    <w:rsid w:val="005E4160"/>
    <w:rsid w:val="005E7E23"/>
    <w:rsid w:val="005F4775"/>
    <w:rsid w:val="00601B39"/>
    <w:rsid w:val="00604AD3"/>
    <w:rsid w:val="00604F4F"/>
    <w:rsid w:val="006102A6"/>
    <w:rsid w:val="00615755"/>
    <w:rsid w:val="00621A92"/>
    <w:rsid w:val="00625832"/>
    <w:rsid w:val="00626D5A"/>
    <w:rsid w:val="00630B3F"/>
    <w:rsid w:val="0063673E"/>
    <w:rsid w:val="00637D09"/>
    <w:rsid w:val="00643292"/>
    <w:rsid w:val="006432DB"/>
    <w:rsid w:val="006436EB"/>
    <w:rsid w:val="00655CDB"/>
    <w:rsid w:val="00657257"/>
    <w:rsid w:val="00663499"/>
    <w:rsid w:val="00663970"/>
    <w:rsid w:val="0068009C"/>
    <w:rsid w:val="00681549"/>
    <w:rsid w:val="00684380"/>
    <w:rsid w:val="00686C60"/>
    <w:rsid w:val="00686DD5"/>
    <w:rsid w:val="00691C94"/>
    <w:rsid w:val="006952DB"/>
    <w:rsid w:val="006A1702"/>
    <w:rsid w:val="006A26D3"/>
    <w:rsid w:val="006A3C33"/>
    <w:rsid w:val="006A56EA"/>
    <w:rsid w:val="006A5A80"/>
    <w:rsid w:val="006A5FC5"/>
    <w:rsid w:val="006A6F7C"/>
    <w:rsid w:val="006B203A"/>
    <w:rsid w:val="006B4BE1"/>
    <w:rsid w:val="006B7B93"/>
    <w:rsid w:val="006C03DE"/>
    <w:rsid w:val="006C0E54"/>
    <w:rsid w:val="006C78BB"/>
    <w:rsid w:val="006D2334"/>
    <w:rsid w:val="006D62D6"/>
    <w:rsid w:val="006D7618"/>
    <w:rsid w:val="006D76F8"/>
    <w:rsid w:val="006E0C88"/>
    <w:rsid w:val="006E34CF"/>
    <w:rsid w:val="006E3B09"/>
    <w:rsid w:val="006E7DC5"/>
    <w:rsid w:val="006F16E2"/>
    <w:rsid w:val="006F7105"/>
    <w:rsid w:val="006F7EA9"/>
    <w:rsid w:val="00703461"/>
    <w:rsid w:val="00703652"/>
    <w:rsid w:val="0070540F"/>
    <w:rsid w:val="007118AF"/>
    <w:rsid w:val="00711E3E"/>
    <w:rsid w:val="00712C29"/>
    <w:rsid w:val="00714717"/>
    <w:rsid w:val="00727055"/>
    <w:rsid w:val="00727BFD"/>
    <w:rsid w:val="007319E7"/>
    <w:rsid w:val="00733F47"/>
    <w:rsid w:val="007372DA"/>
    <w:rsid w:val="007410C4"/>
    <w:rsid w:val="00742109"/>
    <w:rsid w:val="00743002"/>
    <w:rsid w:val="007454B6"/>
    <w:rsid w:val="007463C1"/>
    <w:rsid w:val="00747103"/>
    <w:rsid w:val="00755719"/>
    <w:rsid w:val="00761712"/>
    <w:rsid w:val="00764286"/>
    <w:rsid w:val="0076550B"/>
    <w:rsid w:val="00771CD3"/>
    <w:rsid w:val="00772366"/>
    <w:rsid w:val="0077249C"/>
    <w:rsid w:val="007771D3"/>
    <w:rsid w:val="00781A12"/>
    <w:rsid w:val="00783DE5"/>
    <w:rsid w:val="0078627A"/>
    <w:rsid w:val="00790262"/>
    <w:rsid w:val="007911A0"/>
    <w:rsid w:val="00792623"/>
    <w:rsid w:val="007A2275"/>
    <w:rsid w:val="007A2C81"/>
    <w:rsid w:val="007A598F"/>
    <w:rsid w:val="007A5EFD"/>
    <w:rsid w:val="007B189A"/>
    <w:rsid w:val="007B376D"/>
    <w:rsid w:val="007B3B8B"/>
    <w:rsid w:val="007D333D"/>
    <w:rsid w:val="007D3809"/>
    <w:rsid w:val="007D606E"/>
    <w:rsid w:val="007D6E2B"/>
    <w:rsid w:val="007E1703"/>
    <w:rsid w:val="007F67F5"/>
    <w:rsid w:val="00804051"/>
    <w:rsid w:val="00804C5B"/>
    <w:rsid w:val="00805D8B"/>
    <w:rsid w:val="00806375"/>
    <w:rsid w:val="00810751"/>
    <w:rsid w:val="008173F7"/>
    <w:rsid w:val="008218AD"/>
    <w:rsid w:val="00825050"/>
    <w:rsid w:val="0082613E"/>
    <w:rsid w:val="00827DDB"/>
    <w:rsid w:val="00830B74"/>
    <w:rsid w:val="00831FD3"/>
    <w:rsid w:val="0083253C"/>
    <w:rsid w:val="00840CDD"/>
    <w:rsid w:val="00842DCF"/>
    <w:rsid w:val="00842E5B"/>
    <w:rsid w:val="0084454C"/>
    <w:rsid w:val="00846E07"/>
    <w:rsid w:val="00847FD6"/>
    <w:rsid w:val="0085104A"/>
    <w:rsid w:val="00853B61"/>
    <w:rsid w:val="00857841"/>
    <w:rsid w:val="00862231"/>
    <w:rsid w:val="00866AEE"/>
    <w:rsid w:val="00866EE7"/>
    <w:rsid w:val="008672E2"/>
    <w:rsid w:val="008714B2"/>
    <w:rsid w:val="008718F5"/>
    <w:rsid w:val="00875B79"/>
    <w:rsid w:val="00877225"/>
    <w:rsid w:val="0087726A"/>
    <w:rsid w:val="00882D0A"/>
    <w:rsid w:val="008872C5"/>
    <w:rsid w:val="00890BA8"/>
    <w:rsid w:val="00891076"/>
    <w:rsid w:val="00891D89"/>
    <w:rsid w:val="00894597"/>
    <w:rsid w:val="00894DF9"/>
    <w:rsid w:val="00897AB2"/>
    <w:rsid w:val="008A0FB2"/>
    <w:rsid w:val="008A3CE7"/>
    <w:rsid w:val="008A40A9"/>
    <w:rsid w:val="008A53F2"/>
    <w:rsid w:val="008A6AE4"/>
    <w:rsid w:val="008B1505"/>
    <w:rsid w:val="008B1A36"/>
    <w:rsid w:val="008B2F56"/>
    <w:rsid w:val="008B6D6E"/>
    <w:rsid w:val="008C3E84"/>
    <w:rsid w:val="008C715D"/>
    <w:rsid w:val="008D54F9"/>
    <w:rsid w:val="008D6E9B"/>
    <w:rsid w:val="008D7055"/>
    <w:rsid w:val="008E1B6D"/>
    <w:rsid w:val="008E5897"/>
    <w:rsid w:val="008E7C7F"/>
    <w:rsid w:val="00901FEC"/>
    <w:rsid w:val="00912416"/>
    <w:rsid w:val="00916414"/>
    <w:rsid w:val="00923756"/>
    <w:rsid w:val="00924207"/>
    <w:rsid w:val="00925172"/>
    <w:rsid w:val="00927372"/>
    <w:rsid w:val="00927FE0"/>
    <w:rsid w:val="00930351"/>
    <w:rsid w:val="009312AB"/>
    <w:rsid w:val="00936129"/>
    <w:rsid w:val="00937F8E"/>
    <w:rsid w:val="00943FC2"/>
    <w:rsid w:val="00944AA9"/>
    <w:rsid w:val="0094579A"/>
    <w:rsid w:val="0095034B"/>
    <w:rsid w:val="0095035B"/>
    <w:rsid w:val="0095410E"/>
    <w:rsid w:val="00954C33"/>
    <w:rsid w:val="0096440A"/>
    <w:rsid w:val="009664FB"/>
    <w:rsid w:val="00972DA5"/>
    <w:rsid w:val="00973253"/>
    <w:rsid w:val="009806D5"/>
    <w:rsid w:val="0098262D"/>
    <w:rsid w:val="0098573D"/>
    <w:rsid w:val="00985E76"/>
    <w:rsid w:val="0099050A"/>
    <w:rsid w:val="00994451"/>
    <w:rsid w:val="009954EC"/>
    <w:rsid w:val="009973DB"/>
    <w:rsid w:val="009A1409"/>
    <w:rsid w:val="009A2368"/>
    <w:rsid w:val="009B1577"/>
    <w:rsid w:val="009B2ADE"/>
    <w:rsid w:val="009B3DF3"/>
    <w:rsid w:val="009C0C4A"/>
    <w:rsid w:val="009C0FCE"/>
    <w:rsid w:val="009C27F0"/>
    <w:rsid w:val="009C6E80"/>
    <w:rsid w:val="009D0BA3"/>
    <w:rsid w:val="009D3E39"/>
    <w:rsid w:val="009D4A7B"/>
    <w:rsid w:val="009D686A"/>
    <w:rsid w:val="009E05CE"/>
    <w:rsid w:val="009E1B3A"/>
    <w:rsid w:val="009E1FCE"/>
    <w:rsid w:val="009E42B8"/>
    <w:rsid w:val="009E5754"/>
    <w:rsid w:val="009F219B"/>
    <w:rsid w:val="009F7A20"/>
    <w:rsid w:val="009F7AE6"/>
    <w:rsid w:val="00A06C77"/>
    <w:rsid w:val="00A16B99"/>
    <w:rsid w:val="00A1714F"/>
    <w:rsid w:val="00A2340F"/>
    <w:rsid w:val="00A27CA4"/>
    <w:rsid w:val="00A3186C"/>
    <w:rsid w:val="00A32ACD"/>
    <w:rsid w:val="00A33FDE"/>
    <w:rsid w:val="00A34015"/>
    <w:rsid w:val="00A35EB2"/>
    <w:rsid w:val="00A37146"/>
    <w:rsid w:val="00A4078E"/>
    <w:rsid w:val="00A41FCF"/>
    <w:rsid w:val="00A444C9"/>
    <w:rsid w:val="00A44DDF"/>
    <w:rsid w:val="00A46627"/>
    <w:rsid w:val="00A519FB"/>
    <w:rsid w:val="00A669C4"/>
    <w:rsid w:val="00A70487"/>
    <w:rsid w:val="00A704D6"/>
    <w:rsid w:val="00A70CD1"/>
    <w:rsid w:val="00A746FE"/>
    <w:rsid w:val="00A765BA"/>
    <w:rsid w:val="00A77E99"/>
    <w:rsid w:val="00A879DB"/>
    <w:rsid w:val="00A90098"/>
    <w:rsid w:val="00A90822"/>
    <w:rsid w:val="00A9308A"/>
    <w:rsid w:val="00AA4717"/>
    <w:rsid w:val="00AA4804"/>
    <w:rsid w:val="00AA5B6D"/>
    <w:rsid w:val="00AB4549"/>
    <w:rsid w:val="00AB6C0B"/>
    <w:rsid w:val="00AC0C4B"/>
    <w:rsid w:val="00AC1C2C"/>
    <w:rsid w:val="00AC26B1"/>
    <w:rsid w:val="00AC46B9"/>
    <w:rsid w:val="00AC58CF"/>
    <w:rsid w:val="00AC762B"/>
    <w:rsid w:val="00AC7968"/>
    <w:rsid w:val="00AD1653"/>
    <w:rsid w:val="00AD2351"/>
    <w:rsid w:val="00AD2E87"/>
    <w:rsid w:val="00AD5793"/>
    <w:rsid w:val="00AE01E1"/>
    <w:rsid w:val="00AE4854"/>
    <w:rsid w:val="00AE5E87"/>
    <w:rsid w:val="00AE7A09"/>
    <w:rsid w:val="00AF1664"/>
    <w:rsid w:val="00AF30BB"/>
    <w:rsid w:val="00AF7965"/>
    <w:rsid w:val="00B01C17"/>
    <w:rsid w:val="00B01EC2"/>
    <w:rsid w:val="00B0358B"/>
    <w:rsid w:val="00B06A35"/>
    <w:rsid w:val="00B101BD"/>
    <w:rsid w:val="00B110C3"/>
    <w:rsid w:val="00B149C3"/>
    <w:rsid w:val="00B16051"/>
    <w:rsid w:val="00B1727B"/>
    <w:rsid w:val="00B17A3F"/>
    <w:rsid w:val="00B2448D"/>
    <w:rsid w:val="00B248B2"/>
    <w:rsid w:val="00B3015A"/>
    <w:rsid w:val="00B306A6"/>
    <w:rsid w:val="00B30DBC"/>
    <w:rsid w:val="00B31DCC"/>
    <w:rsid w:val="00B422B8"/>
    <w:rsid w:val="00B477CF"/>
    <w:rsid w:val="00B512EB"/>
    <w:rsid w:val="00B5152E"/>
    <w:rsid w:val="00B5387E"/>
    <w:rsid w:val="00B53ED3"/>
    <w:rsid w:val="00B55A16"/>
    <w:rsid w:val="00B55B2C"/>
    <w:rsid w:val="00B6199D"/>
    <w:rsid w:val="00B62405"/>
    <w:rsid w:val="00B6265E"/>
    <w:rsid w:val="00B63242"/>
    <w:rsid w:val="00B646B3"/>
    <w:rsid w:val="00B71F54"/>
    <w:rsid w:val="00B818E6"/>
    <w:rsid w:val="00B81F2D"/>
    <w:rsid w:val="00B82E2C"/>
    <w:rsid w:val="00B90F9F"/>
    <w:rsid w:val="00B92420"/>
    <w:rsid w:val="00B93F45"/>
    <w:rsid w:val="00B9457D"/>
    <w:rsid w:val="00B97BB2"/>
    <w:rsid w:val="00BA1373"/>
    <w:rsid w:val="00BA14E9"/>
    <w:rsid w:val="00BA2AF1"/>
    <w:rsid w:val="00BA6F72"/>
    <w:rsid w:val="00BB0590"/>
    <w:rsid w:val="00BB0E78"/>
    <w:rsid w:val="00BB146C"/>
    <w:rsid w:val="00BB1C32"/>
    <w:rsid w:val="00BB5F3C"/>
    <w:rsid w:val="00BC35DA"/>
    <w:rsid w:val="00BC7D9E"/>
    <w:rsid w:val="00BD4AF8"/>
    <w:rsid w:val="00BE260D"/>
    <w:rsid w:val="00BE66E2"/>
    <w:rsid w:val="00BE6E63"/>
    <w:rsid w:val="00BE7F70"/>
    <w:rsid w:val="00BF0B03"/>
    <w:rsid w:val="00BF0D04"/>
    <w:rsid w:val="00BF5815"/>
    <w:rsid w:val="00C01560"/>
    <w:rsid w:val="00C062B4"/>
    <w:rsid w:val="00C10602"/>
    <w:rsid w:val="00C16C1B"/>
    <w:rsid w:val="00C21B61"/>
    <w:rsid w:val="00C22E62"/>
    <w:rsid w:val="00C22F3F"/>
    <w:rsid w:val="00C26DFF"/>
    <w:rsid w:val="00C30A7B"/>
    <w:rsid w:val="00C30FDD"/>
    <w:rsid w:val="00C3105C"/>
    <w:rsid w:val="00C34C90"/>
    <w:rsid w:val="00C41561"/>
    <w:rsid w:val="00C4495F"/>
    <w:rsid w:val="00C52EA3"/>
    <w:rsid w:val="00C57A47"/>
    <w:rsid w:val="00C65806"/>
    <w:rsid w:val="00C717C2"/>
    <w:rsid w:val="00C71A71"/>
    <w:rsid w:val="00C846E7"/>
    <w:rsid w:val="00C90651"/>
    <w:rsid w:val="00C906C7"/>
    <w:rsid w:val="00C94D16"/>
    <w:rsid w:val="00C979AE"/>
    <w:rsid w:val="00C97BCA"/>
    <w:rsid w:val="00CA4813"/>
    <w:rsid w:val="00CB0675"/>
    <w:rsid w:val="00CB1A24"/>
    <w:rsid w:val="00CC25A9"/>
    <w:rsid w:val="00CC2E5B"/>
    <w:rsid w:val="00CC6BA8"/>
    <w:rsid w:val="00CD1B86"/>
    <w:rsid w:val="00CD2214"/>
    <w:rsid w:val="00CD23BC"/>
    <w:rsid w:val="00CD4C42"/>
    <w:rsid w:val="00CD7713"/>
    <w:rsid w:val="00CE274F"/>
    <w:rsid w:val="00CE5A9C"/>
    <w:rsid w:val="00CE7A5B"/>
    <w:rsid w:val="00CF6BB5"/>
    <w:rsid w:val="00D007D1"/>
    <w:rsid w:val="00D01367"/>
    <w:rsid w:val="00D018D4"/>
    <w:rsid w:val="00D0254B"/>
    <w:rsid w:val="00D04CDD"/>
    <w:rsid w:val="00D07146"/>
    <w:rsid w:val="00D10DCC"/>
    <w:rsid w:val="00D130A1"/>
    <w:rsid w:val="00D1323D"/>
    <w:rsid w:val="00D2284A"/>
    <w:rsid w:val="00D233EC"/>
    <w:rsid w:val="00D27373"/>
    <w:rsid w:val="00D30872"/>
    <w:rsid w:val="00D349AF"/>
    <w:rsid w:val="00D418CA"/>
    <w:rsid w:val="00D424A8"/>
    <w:rsid w:val="00D441CB"/>
    <w:rsid w:val="00D57E4A"/>
    <w:rsid w:val="00D6191C"/>
    <w:rsid w:val="00D61BED"/>
    <w:rsid w:val="00D63D90"/>
    <w:rsid w:val="00D6721C"/>
    <w:rsid w:val="00D87FC5"/>
    <w:rsid w:val="00D969DA"/>
    <w:rsid w:val="00DA235A"/>
    <w:rsid w:val="00DA23EA"/>
    <w:rsid w:val="00DA3AE5"/>
    <w:rsid w:val="00DA411D"/>
    <w:rsid w:val="00DA5274"/>
    <w:rsid w:val="00DA56AD"/>
    <w:rsid w:val="00DA5A5B"/>
    <w:rsid w:val="00DB0DB7"/>
    <w:rsid w:val="00DB13F3"/>
    <w:rsid w:val="00DB2DC3"/>
    <w:rsid w:val="00DD137B"/>
    <w:rsid w:val="00DD3212"/>
    <w:rsid w:val="00DD56CC"/>
    <w:rsid w:val="00DD6DB8"/>
    <w:rsid w:val="00DD6FAF"/>
    <w:rsid w:val="00DE5E1C"/>
    <w:rsid w:val="00DE72F3"/>
    <w:rsid w:val="00DE7863"/>
    <w:rsid w:val="00DF70A1"/>
    <w:rsid w:val="00DF77C0"/>
    <w:rsid w:val="00E00B31"/>
    <w:rsid w:val="00E01C38"/>
    <w:rsid w:val="00E02F56"/>
    <w:rsid w:val="00E03D6D"/>
    <w:rsid w:val="00E0495A"/>
    <w:rsid w:val="00E07B11"/>
    <w:rsid w:val="00E1585A"/>
    <w:rsid w:val="00E16070"/>
    <w:rsid w:val="00E22D99"/>
    <w:rsid w:val="00E2579C"/>
    <w:rsid w:val="00E26614"/>
    <w:rsid w:val="00E2699D"/>
    <w:rsid w:val="00E302B0"/>
    <w:rsid w:val="00E30FB9"/>
    <w:rsid w:val="00E31208"/>
    <w:rsid w:val="00E31BFF"/>
    <w:rsid w:val="00E34253"/>
    <w:rsid w:val="00E41FB7"/>
    <w:rsid w:val="00E46911"/>
    <w:rsid w:val="00E51C1D"/>
    <w:rsid w:val="00E544D2"/>
    <w:rsid w:val="00E54A29"/>
    <w:rsid w:val="00E60B41"/>
    <w:rsid w:val="00E612F6"/>
    <w:rsid w:val="00E6144E"/>
    <w:rsid w:val="00E636D8"/>
    <w:rsid w:val="00E6623F"/>
    <w:rsid w:val="00E716AE"/>
    <w:rsid w:val="00E729FF"/>
    <w:rsid w:val="00E75E18"/>
    <w:rsid w:val="00E76C00"/>
    <w:rsid w:val="00E813D9"/>
    <w:rsid w:val="00E86751"/>
    <w:rsid w:val="00E86A52"/>
    <w:rsid w:val="00E8765E"/>
    <w:rsid w:val="00E91914"/>
    <w:rsid w:val="00E93A81"/>
    <w:rsid w:val="00E94C27"/>
    <w:rsid w:val="00E95D87"/>
    <w:rsid w:val="00E962B4"/>
    <w:rsid w:val="00E966BD"/>
    <w:rsid w:val="00EA41AD"/>
    <w:rsid w:val="00EA653E"/>
    <w:rsid w:val="00EB0A0E"/>
    <w:rsid w:val="00EB0A46"/>
    <w:rsid w:val="00EB1720"/>
    <w:rsid w:val="00EC08D3"/>
    <w:rsid w:val="00EC1038"/>
    <w:rsid w:val="00EC4E6D"/>
    <w:rsid w:val="00EC7697"/>
    <w:rsid w:val="00ED63FE"/>
    <w:rsid w:val="00EE0363"/>
    <w:rsid w:val="00EF114C"/>
    <w:rsid w:val="00EF3D62"/>
    <w:rsid w:val="00F01409"/>
    <w:rsid w:val="00F0282F"/>
    <w:rsid w:val="00F0344E"/>
    <w:rsid w:val="00F053CE"/>
    <w:rsid w:val="00F05924"/>
    <w:rsid w:val="00F05A9F"/>
    <w:rsid w:val="00F060EC"/>
    <w:rsid w:val="00F06A75"/>
    <w:rsid w:val="00F11E0F"/>
    <w:rsid w:val="00F12EF1"/>
    <w:rsid w:val="00F13532"/>
    <w:rsid w:val="00F16D7A"/>
    <w:rsid w:val="00F170A9"/>
    <w:rsid w:val="00F30C76"/>
    <w:rsid w:val="00F342B2"/>
    <w:rsid w:val="00F34514"/>
    <w:rsid w:val="00F35A94"/>
    <w:rsid w:val="00F418B5"/>
    <w:rsid w:val="00F42AF3"/>
    <w:rsid w:val="00F4388D"/>
    <w:rsid w:val="00F4474F"/>
    <w:rsid w:val="00F46689"/>
    <w:rsid w:val="00F507B7"/>
    <w:rsid w:val="00F54234"/>
    <w:rsid w:val="00F5450B"/>
    <w:rsid w:val="00F54D82"/>
    <w:rsid w:val="00F57C94"/>
    <w:rsid w:val="00F60AF1"/>
    <w:rsid w:val="00F60E9C"/>
    <w:rsid w:val="00F639FB"/>
    <w:rsid w:val="00F6495D"/>
    <w:rsid w:val="00F64E74"/>
    <w:rsid w:val="00F64F1E"/>
    <w:rsid w:val="00F6554C"/>
    <w:rsid w:val="00F65EA0"/>
    <w:rsid w:val="00F85B90"/>
    <w:rsid w:val="00F87701"/>
    <w:rsid w:val="00F9391C"/>
    <w:rsid w:val="00F95709"/>
    <w:rsid w:val="00F96293"/>
    <w:rsid w:val="00FA40EA"/>
    <w:rsid w:val="00FA749B"/>
    <w:rsid w:val="00FB3D23"/>
    <w:rsid w:val="00FB79B1"/>
    <w:rsid w:val="00FC06E0"/>
    <w:rsid w:val="00FC3515"/>
    <w:rsid w:val="00FC3C96"/>
    <w:rsid w:val="00FC4069"/>
    <w:rsid w:val="00FC60F8"/>
    <w:rsid w:val="00FC6BA3"/>
    <w:rsid w:val="00FD0C3D"/>
    <w:rsid w:val="00FD134B"/>
    <w:rsid w:val="00FD4E5C"/>
    <w:rsid w:val="00FD521B"/>
    <w:rsid w:val="00FE03DF"/>
    <w:rsid w:val="00FE0D60"/>
    <w:rsid w:val="00FE7100"/>
    <w:rsid w:val="00FE7473"/>
    <w:rsid w:val="00FF28DD"/>
    <w:rsid w:val="00FF4DDA"/>
    <w:rsid w:val="00FF53A9"/>
    <w:rsid w:val="078E1545"/>
    <w:rsid w:val="13E82DC1"/>
    <w:rsid w:val="1CCF5111"/>
    <w:rsid w:val="29961D14"/>
    <w:rsid w:val="2D7216AF"/>
    <w:rsid w:val="59420A71"/>
    <w:rsid w:val="76683F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360" w:lineRule="auto"/>
      <w:ind w:firstLine="200" w:firstLineChars="200"/>
      <w:contextualSpacing/>
      <w:jc w:val="both"/>
    </w:pPr>
    <w:rPr>
      <w:rFonts w:ascii="Times New Roman" w:hAnsi="Times New Roman" w:eastAsia="宋体" w:cs="Times New Roman"/>
      <w:kern w:val="2"/>
      <w:sz w:val="24"/>
      <w:lang w:val="en-US" w:eastAsia="zh-CN" w:bidi="ar-SA"/>
    </w:rPr>
  </w:style>
  <w:style w:type="paragraph" w:styleId="2">
    <w:name w:val="heading 1"/>
    <w:basedOn w:val="1"/>
    <w:next w:val="1"/>
    <w:link w:val="21"/>
    <w:qFormat/>
    <w:uiPriority w:val="9"/>
    <w:pPr>
      <w:keepNext/>
      <w:keepLines/>
      <w:numPr>
        <w:ilvl w:val="0"/>
        <w:numId w:val="1"/>
      </w:numPr>
      <w:spacing w:before="340" w:after="330" w:line="578" w:lineRule="auto"/>
      <w:ind w:firstLine="0" w:firstLineChars="0"/>
      <w:outlineLvl w:val="0"/>
    </w:pPr>
    <w:rPr>
      <w:bCs/>
      <w:kern w:val="44"/>
      <w:sz w:val="44"/>
      <w:szCs w:val="44"/>
    </w:rPr>
  </w:style>
  <w:style w:type="paragraph" w:styleId="3">
    <w:name w:val="heading 2"/>
    <w:basedOn w:val="1"/>
    <w:next w:val="1"/>
    <w:link w:val="22"/>
    <w:unhideWhenUsed/>
    <w:qFormat/>
    <w:uiPriority w:val="9"/>
    <w:pPr>
      <w:keepNext/>
      <w:keepLines/>
      <w:numPr>
        <w:ilvl w:val="1"/>
        <w:numId w:val="1"/>
      </w:numPr>
      <w:spacing w:before="260" w:after="260" w:line="416"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numPr>
        <w:ilvl w:val="2"/>
        <w:numId w:val="1"/>
      </w:numPr>
      <w:spacing w:before="260" w:after="260" w:line="416" w:lineRule="auto"/>
      <w:ind w:firstLine="0" w:firstLineChars="0"/>
      <w:outlineLvl w:val="2"/>
    </w:pPr>
    <w:rPr>
      <w:b/>
      <w:bCs/>
      <w:sz w:val="32"/>
      <w:szCs w:val="32"/>
    </w:rPr>
  </w:style>
  <w:style w:type="paragraph" w:styleId="5">
    <w:name w:val="heading 4"/>
    <w:basedOn w:val="1"/>
    <w:next w:val="1"/>
    <w:link w:val="24"/>
    <w:unhideWhenUsed/>
    <w:qFormat/>
    <w:uiPriority w:val="9"/>
    <w:pPr>
      <w:keepNext/>
      <w:keepLines/>
      <w:numPr>
        <w:ilvl w:val="3"/>
        <w:numId w:val="1"/>
      </w:numPr>
      <w:spacing w:before="280" w:after="290" w:line="376" w:lineRule="auto"/>
      <w:ind w:firstLine="0" w:firstLineChars="0"/>
      <w:outlineLvl w:val="3"/>
    </w:pPr>
    <w:rPr>
      <w:rFonts w:asciiTheme="majorHAnsi" w:hAnsiTheme="majorHAnsi" w:cstheme="majorBidi"/>
      <w:b/>
      <w:bCs/>
      <w:sz w:val="28"/>
      <w:szCs w:val="28"/>
    </w:rPr>
  </w:style>
  <w:style w:type="paragraph" w:styleId="6">
    <w:name w:val="heading 5"/>
    <w:basedOn w:val="1"/>
    <w:next w:val="1"/>
    <w:link w:val="25"/>
    <w:unhideWhenUsed/>
    <w:qFormat/>
    <w:uiPriority w:val="9"/>
    <w:pPr>
      <w:keepNext/>
      <w:keepLines/>
      <w:numPr>
        <w:ilvl w:val="4"/>
        <w:numId w:val="1"/>
      </w:numPr>
      <w:spacing w:before="280" w:after="290" w:line="376" w:lineRule="auto"/>
      <w:ind w:firstLine="0" w:firstLineChars="0"/>
      <w:outlineLvl w:val="4"/>
    </w:pPr>
    <w:rPr>
      <w:b/>
      <w:bCs/>
      <w:sz w:val="28"/>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Normal Indent"/>
    <w:basedOn w:val="1"/>
    <w:next w:val="1"/>
    <w:qFormat/>
    <w:uiPriority w:val="99"/>
    <w:pPr>
      <w:autoSpaceDE w:val="0"/>
      <w:autoSpaceDN w:val="0"/>
      <w:adjustRightInd w:val="0"/>
      <w:spacing w:line="240" w:lineRule="auto"/>
      <w:ind w:firstLine="420" w:firstLineChars="0"/>
      <w:contextualSpacing w:val="0"/>
      <w:jc w:val="left"/>
    </w:pPr>
    <w:rPr>
      <w:rFonts w:ascii="宋体" w:cs="宋体"/>
      <w:kern w:val="0"/>
      <w:szCs w:val="24"/>
    </w:rPr>
  </w:style>
  <w:style w:type="paragraph" w:styleId="8">
    <w:name w:val="toa heading"/>
    <w:basedOn w:val="1"/>
    <w:next w:val="1"/>
    <w:qFormat/>
    <w:uiPriority w:val="0"/>
    <w:pPr>
      <w:spacing w:before="120"/>
      <w:ind w:firstLine="560"/>
      <w:contextualSpacing w:val="0"/>
    </w:pPr>
    <w:rPr>
      <w:rFonts w:ascii="Arial" w:hAnsi="Arial" w:cstheme="minorBidi"/>
      <w:sz w:val="28"/>
      <w:szCs w:val="28"/>
    </w:rPr>
  </w:style>
  <w:style w:type="paragraph" w:styleId="9">
    <w:name w:val="annotation text"/>
    <w:basedOn w:val="1"/>
    <w:link w:val="208"/>
    <w:semiHidden/>
    <w:unhideWhenUsed/>
    <w:qFormat/>
    <w:uiPriority w:val="99"/>
    <w:pPr>
      <w:widowControl/>
      <w:spacing w:line="240" w:lineRule="auto"/>
      <w:contextualSpacing w:val="0"/>
      <w:jc w:val="left"/>
    </w:pPr>
    <w:rPr>
      <w:rFonts w:asciiTheme="minorHAnsi" w:hAnsiTheme="minorHAnsi" w:eastAsiaTheme="minorEastAsia" w:cstheme="minorBidi"/>
      <w:sz w:val="21"/>
      <w:szCs w:val="22"/>
    </w:rPr>
  </w:style>
  <w:style w:type="paragraph" w:styleId="10">
    <w:name w:val="Body Text Indent"/>
    <w:basedOn w:val="1"/>
    <w:link w:val="34"/>
    <w:semiHidden/>
    <w:unhideWhenUsed/>
    <w:uiPriority w:val="99"/>
    <w:pPr>
      <w:spacing w:after="120"/>
      <w:ind w:left="420" w:leftChars="200"/>
    </w:pPr>
  </w:style>
  <w:style w:type="paragraph" w:styleId="11">
    <w:name w:val="Balloon Text"/>
    <w:basedOn w:val="1"/>
    <w:link w:val="216"/>
    <w:semiHidden/>
    <w:unhideWhenUsed/>
    <w:uiPriority w:val="99"/>
    <w:pPr>
      <w:spacing w:line="240" w:lineRule="auto"/>
    </w:pPr>
    <w:rPr>
      <w:sz w:val="18"/>
      <w:szCs w:val="18"/>
    </w:rPr>
  </w:style>
  <w:style w:type="paragraph" w:styleId="12">
    <w:name w:val="footer"/>
    <w:basedOn w:val="1"/>
    <w:link w:val="210"/>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7"/>
    <w:unhideWhenUsed/>
    <w:qFormat/>
    <w:uiPriority w:val="99"/>
    <w:pPr>
      <w:pBdr>
        <w:bottom w:val="single" w:color="auto" w:sz="6" w:space="1"/>
      </w:pBdr>
      <w:tabs>
        <w:tab w:val="center" w:pos="4153"/>
        <w:tab w:val="right" w:pos="8306"/>
      </w:tabs>
      <w:snapToGrid w:val="0"/>
      <w:spacing w:line="240" w:lineRule="auto"/>
      <w:ind w:firstLine="0" w:firstLineChars="0"/>
      <w:contextualSpacing w:val="0"/>
      <w:jc w:val="center"/>
    </w:pPr>
    <w:rPr>
      <w:rFonts w:asciiTheme="minorHAnsi" w:hAnsiTheme="minorHAnsi" w:eastAsiaTheme="minorEastAsia" w:cstheme="minorBidi"/>
      <w:sz w:val="18"/>
      <w:szCs w:val="18"/>
    </w:rPr>
  </w:style>
  <w:style w:type="paragraph" w:styleId="14">
    <w:name w:val="Body Text First Indent 2"/>
    <w:basedOn w:val="1"/>
    <w:link w:val="35"/>
    <w:unhideWhenUsed/>
    <w:qFormat/>
    <w:uiPriority w:val="99"/>
    <w:pPr>
      <w:spacing w:line="240" w:lineRule="auto"/>
      <w:ind w:firstLine="420" w:firstLineChars="0"/>
      <w:contextualSpacing w:val="0"/>
    </w:pPr>
    <w:rPr>
      <w:sz w:val="21"/>
      <w:szCs w:val="24"/>
    </w:rPr>
  </w:style>
  <w:style w:type="character" w:styleId="17">
    <w:name w:val="FollowedHyperlink"/>
    <w:basedOn w:val="16"/>
    <w:semiHidden/>
    <w:unhideWhenUsed/>
    <w:uiPriority w:val="99"/>
    <w:rPr>
      <w:color w:val="800080"/>
      <w:u w:val="single"/>
    </w:rPr>
  </w:style>
  <w:style w:type="character" w:styleId="18">
    <w:name w:val="Hyperlink"/>
    <w:basedOn w:val="16"/>
    <w:semiHidden/>
    <w:unhideWhenUsed/>
    <w:qFormat/>
    <w:uiPriority w:val="99"/>
    <w:rPr>
      <w:color w:val="0000FF"/>
      <w:u w:val="single"/>
    </w:rPr>
  </w:style>
  <w:style w:type="character" w:styleId="19">
    <w:name w:val="annotation reference"/>
    <w:basedOn w:val="16"/>
    <w:semiHidden/>
    <w:unhideWhenUsed/>
    <w:uiPriority w:val="99"/>
    <w:rPr>
      <w:sz w:val="21"/>
      <w:szCs w:val="21"/>
    </w:rPr>
  </w:style>
  <w:style w:type="paragraph" w:customStyle="1" w:styleId="20">
    <w:name w:val="_Style 12"/>
    <w:basedOn w:val="1"/>
    <w:next w:val="1"/>
    <w:qFormat/>
    <w:uiPriority w:val="0"/>
    <w:pPr>
      <w:ind w:firstLine="420"/>
    </w:pPr>
    <w:rPr>
      <w:lang w:val="zh-CN"/>
    </w:rPr>
  </w:style>
  <w:style w:type="character" w:customStyle="1" w:styleId="21">
    <w:name w:val="标题 1 字符"/>
    <w:basedOn w:val="16"/>
    <w:link w:val="2"/>
    <w:uiPriority w:val="9"/>
    <w:rPr>
      <w:bCs/>
      <w:kern w:val="44"/>
      <w:sz w:val="44"/>
      <w:szCs w:val="44"/>
    </w:rPr>
  </w:style>
  <w:style w:type="character" w:customStyle="1" w:styleId="22">
    <w:name w:val="标题 2 字符"/>
    <w:basedOn w:val="16"/>
    <w:link w:val="3"/>
    <w:qFormat/>
    <w:uiPriority w:val="9"/>
    <w:rPr>
      <w:rFonts w:asciiTheme="majorHAnsi" w:hAnsiTheme="majorHAnsi" w:eastAsiaTheme="majorEastAsia" w:cstheme="majorBidi"/>
      <w:b/>
      <w:bCs/>
      <w:kern w:val="2"/>
      <w:sz w:val="32"/>
      <w:szCs w:val="32"/>
    </w:rPr>
  </w:style>
  <w:style w:type="character" w:customStyle="1" w:styleId="23">
    <w:name w:val="标题 3 字符"/>
    <w:basedOn w:val="16"/>
    <w:link w:val="4"/>
    <w:qFormat/>
    <w:uiPriority w:val="9"/>
    <w:rPr>
      <w:b/>
      <w:bCs/>
      <w:kern w:val="2"/>
      <w:sz w:val="32"/>
      <w:szCs w:val="32"/>
    </w:rPr>
  </w:style>
  <w:style w:type="character" w:customStyle="1" w:styleId="24">
    <w:name w:val="标题 4 字符"/>
    <w:basedOn w:val="16"/>
    <w:link w:val="5"/>
    <w:qFormat/>
    <w:uiPriority w:val="9"/>
    <w:rPr>
      <w:rFonts w:asciiTheme="majorHAnsi" w:hAnsiTheme="majorHAnsi" w:cstheme="majorBidi"/>
      <w:b/>
      <w:bCs/>
      <w:kern w:val="2"/>
      <w:sz w:val="28"/>
      <w:szCs w:val="28"/>
    </w:rPr>
  </w:style>
  <w:style w:type="character" w:customStyle="1" w:styleId="25">
    <w:name w:val="标题 5 字符"/>
    <w:basedOn w:val="16"/>
    <w:link w:val="6"/>
    <w:uiPriority w:val="9"/>
    <w:rPr>
      <w:b/>
      <w:bCs/>
      <w:kern w:val="2"/>
      <w:sz w:val="28"/>
      <w:szCs w:val="28"/>
    </w:rPr>
  </w:style>
  <w:style w:type="paragraph" w:customStyle="1" w:styleId="26">
    <w:name w:val="列表段落1"/>
    <w:basedOn w:val="1"/>
    <w:link w:val="27"/>
    <w:qFormat/>
    <w:uiPriority w:val="34"/>
    <w:pPr>
      <w:spacing w:before="156" w:beforeLines="50" w:after="156" w:afterLines="50"/>
      <w:ind w:firstLine="420"/>
      <w:contextualSpacing w:val="0"/>
    </w:pPr>
    <w:rPr>
      <w:rFonts w:cs="黑体"/>
      <w:color w:val="000000" w:themeColor="text1"/>
      <w:sz w:val="21"/>
      <w:szCs w:val="24"/>
      <w14:textFill>
        <w14:solidFill>
          <w14:schemeClr w14:val="tx1"/>
        </w14:solidFill>
      </w14:textFill>
    </w:rPr>
  </w:style>
  <w:style w:type="character" w:customStyle="1" w:styleId="27">
    <w:name w:val="列表段落 字符"/>
    <w:basedOn w:val="16"/>
    <w:link w:val="26"/>
    <w:qFormat/>
    <w:locked/>
    <w:uiPriority w:val="0"/>
    <w:rPr>
      <w:rFonts w:cs="黑体"/>
      <w:color w:val="000000" w:themeColor="text1"/>
      <w:sz w:val="21"/>
      <w:szCs w:val="24"/>
      <w14:textFill>
        <w14:solidFill>
          <w14:schemeClr w14:val="tx1"/>
        </w14:solidFill>
      </w14:textFill>
    </w:rPr>
  </w:style>
  <w:style w:type="paragraph" w:customStyle="1" w:styleId="28">
    <w:name w:val="b选点"/>
    <w:basedOn w:val="29"/>
    <w:link w:val="30"/>
    <w:qFormat/>
    <w:uiPriority w:val="0"/>
    <w:pPr>
      <w:numPr>
        <w:ilvl w:val="0"/>
        <w:numId w:val="2"/>
      </w:numPr>
      <w:spacing w:before="120" w:after="120"/>
      <w:ind w:left="0" w:firstLine="0" w:firstLineChars="0"/>
      <w:contextualSpacing w:val="0"/>
    </w:pPr>
    <w:rPr>
      <w:rFonts w:asciiTheme="minorEastAsia" w:hAnsiTheme="minorEastAsia" w:eastAsiaTheme="minorEastAsia" w:cstheme="minorBidi"/>
      <w:szCs w:val="24"/>
    </w:rPr>
  </w:style>
  <w:style w:type="paragraph" w:styleId="29">
    <w:name w:val="List Paragraph"/>
    <w:basedOn w:val="1"/>
    <w:link w:val="31"/>
    <w:qFormat/>
    <w:uiPriority w:val="34"/>
    <w:pPr>
      <w:ind w:firstLine="420"/>
    </w:pPr>
  </w:style>
  <w:style w:type="character" w:customStyle="1" w:styleId="30">
    <w:name w:val="b选点 字符"/>
    <w:basedOn w:val="16"/>
    <w:link w:val="28"/>
    <w:qFormat/>
    <w:uiPriority w:val="0"/>
    <w:rPr>
      <w:rFonts w:asciiTheme="minorEastAsia" w:hAnsiTheme="minorEastAsia" w:eastAsiaTheme="minorEastAsia" w:cstheme="minorBidi"/>
      <w:kern w:val="2"/>
      <w:sz w:val="24"/>
      <w:szCs w:val="24"/>
    </w:rPr>
  </w:style>
  <w:style w:type="character" w:customStyle="1" w:styleId="31">
    <w:name w:val="列表段落 字符1"/>
    <w:link w:val="29"/>
    <w:qFormat/>
    <w:locked/>
    <w:uiPriority w:val="34"/>
    <w:rPr>
      <w:sz w:val="24"/>
    </w:rPr>
  </w:style>
  <w:style w:type="character" w:customStyle="1" w:styleId="32">
    <w:name w:val="二级目录 Char"/>
    <w:link w:val="33"/>
    <w:uiPriority w:val="0"/>
    <w:rPr>
      <w:rFonts w:eastAsia="Times New Roman"/>
      <w:b/>
      <w:sz w:val="30"/>
      <w:szCs w:val="28"/>
    </w:rPr>
  </w:style>
  <w:style w:type="paragraph" w:customStyle="1" w:styleId="33">
    <w:name w:val="二级目录"/>
    <w:next w:val="1"/>
    <w:link w:val="32"/>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34">
    <w:name w:val="正文文本缩进 字符"/>
    <w:basedOn w:val="16"/>
    <w:link w:val="10"/>
    <w:semiHidden/>
    <w:uiPriority w:val="99"/>
    <w:rPr>
      <w:sz w:val="24"/>
    </w:rPr>
  </w:style>
  <w:style w:type="character" w:customStyle="1" w:styleId="35">
    <w:name w:val="正文文本首行缩进 2 字符"/>
    <w:basedOn w:val="34"/>
    <w:link w:val="14"/>
    <w:uiPriority w:val="99"/>
    <w:rPr>
      <w:sz w:val="21"/>
      <w:szCs w:val="24"/>
    </w:rPr>
  </w:style>
  <w:style w:type="paragraph" w:customStyle="1" w:styleId="36">
    <w:name w:val="标4"/>
    <w:basedOn w:val="5"/>
    <w:next w:val="1"/>
    <w:qFormat/>
    <w:uiPriority w:val="0"/>
    <w:pPr>
      <w:keepNext w:val="0"/>
      <w:keepLines w:val="0"/>
      <w:numPr>
        <w:ilvl w:val="0"/>
        <w:numId w:val="0"/>
      </w:numPr>
      <w:tabs>
        <w:tab w:val="left" w:pos="1134"/>
      </w:tabs>
      <w:autoSpaceDE w:val="0"/>
      <w:autoSpaceDN w:val="0"/>
      <w:spacing w:before="0" w:after="0" w:line="360" w:lineRule="auto"/>
      <w:contextualSpacing w:val="0"/>
      <w:jc w:val="left"/>
    </w:pPr>
    <w:rPr>
      <w:rFonts w:ascii="宋体" w:hAnsi="宋体" w:cs="宋体"/>
      <w:bCs w:val="0"/>
      <w:w w:val="90"/>
      <w:kern w:val="0"/>
      <w:sz w:val="24"/>
      <w:szCs w:val="24"/>
    </w:rPr>
  </w:style>
  <w:style w:type="character" w:customStyle="1" w:styleId="37">
    <w:name w:val="页眉 字符"/>
    <w:basedOn w:val="16"/>
    <w:link w:val="13"/>
    <w:uiPriority w:val="99"/>
    <w:rPr>
      <w:rFonts w:asciiTheme="minorHAnsi" w:hAnsiTheme="minorHAnsi" w:eastAsiaTheme="minorEastAsia" w:cstheme="minorBidi"/>
      <w:sz w:val="18"/>
      <w:szCs w:val="18"/>
    </w:rPr>
  </w:style>
  <w:style w:type="paragraph" w:customStyle="1" w:styleId="38">
    <w:name w:val="msonormal"/>
    <w:basedOn w:val="1"/>
    <w:qFormat/>
    <w:uiPriority w:val="0"/>
    <w:pPr>
      <w:widowControl/>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39">
    <w:name w:val="font0"/>
    <w:basedOn w:val="1"/>
    <w:qFormat/>
    <w:uiPriority w:val="0"/>
    <w:pPr>
      <w:widowControl/>
      <w:spacing w:before="100" w:beforeAutospacing="1" w:after="100" w:afterAutospacing="1" w:line="240" w:lineRule="auto"/>
      <w:ind w:firstLine="0" w:firstLineChars="0"/>
      <w:contextualSpacing w:val="0"/>
      <w:jc w:val="left"/>
    </w:pPr>
    <w:rPr>
      <w:rFonts w:ascii="Arial" w:hAnsi="Arial" w:cs="Arial"/>
      <w:kern w:val="0"/>
      <w:sz w:val="20"/>
    </w:rPr>
  </w:style>
  <w:style w:type="paragraph" w:customStyle="1" w:styleId="40">
    <w:name w:val="font5"/>
    <w:basedOn w:val="1"/>
    <w:qFormat/>
    <w:uiPriority w:val="0"/>
    <w:pPr>
      <w:widowControl/>
      <w:spacing w:before="100" w:beforeAutospacing="1" w:after="100" w:afterAutospacing="1" w:line="240" w:lineRule="auto"/>
      <w:ind w:firstLine="0" w:firstLineChars="0"/>
      <w:contextualSpacing w:val="0"/>
      <w:jc w:val="left"/>
    </w:pPr>
    <w:rPr>
      <w:rFonts w:ascii="宋体" w:hAnsi="宋体" w:cs="宋体"/>
      <w:kern w:val="0"/>
      <w:sz w:val="20"/>
    </w:rPr>
  </w:style>
  <w:style w:type="paragraph" w:customStyle="1" w:styleId="41">
    <w:name w:val="font6"/>
    <w:basedOn w:val="1"/>
    <w:uiPriority w:val="0"/>
    <w:pPr>
      <w:widowControl/>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42">
    <w:name w:val="font7"/>
    <w:basedOn w:val="1"/>
    <w:qFormat/>
    <w:uiPriority w:val="0"/>
    <w:pPr>
      <w:widowControl/>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43">
    <w:name w:val="font8"/>
    <w:basedOn w:val="1"/>
    <w:uiPriority w:val="0"/>
    <w:pPr>
      <w:widowControl/>
      <w:spacing w:before="100" w:beforeAutospacing="1" w:after="100" w:afterAutospacing="1" w:line="240" w:lineRule="auto"/>
      <w:ind w:firstLine="0" w:firstLineChars="0"/>
      <w:contextualSpacing w:val="0"/>
      <w:jc w:val="left"/>
    </w:pPr>
    <w:rPr>
      <w:rFonts w:ascii="宋体" w:hAnsi="宋体" w:cs="宋体"/>
      <w:kern w:val="0"/>
      <w:sz w:val="18"/>
      <w:szCs w:val="18"/>
    </w:rPr>
  </w:style>
  <w:style w:type="paragraph" w:customStyle="1" w:styleId="44">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45">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47">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4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4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50">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5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5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5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Cs w:val="24"/>
    </w:rPr>
  </w:style>
  <w:style w:type="paragraph" w:customStyle="1" w:styleId="5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55">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56">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Cs w:val="24"/>
    </w:rPr>
  </w:style>
  <w:style w:type="paragraph" w:customStyle="1" w:styleId="5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58">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5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kern w:val="0"/>
      <w:sz w:val="22"/>
      <w:szCs w:val="22"/>
    </w:rPr>
  </w:style>
  <w:style w:type="paragraph" w:customStyle="1" w:styleId="60">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kern w:val="0"/>
      <w:sz w:val="22"/>
      <w:szCs w:val="22"/>
    </w:rPr>
  </w:style>
  <w:style w:type="paragraph" w:customStyle="1" w:styleId="6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62">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63">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Cs w:val="24"/>
    </w:rPr>
  </w:style>
  <w:style w:type="paragraph" w:customStyle="1" w:styleId="64">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Cs w:val="24"/>
    </w:rPr>
  </w:style>
  <w:style w:type="paragraph" w:customStyle="1" w:styleId="6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Cs w:val="24"/>
    </w:rPr>
  </w:style>
  <w:style w:type="paragraph" w:customStyle="1" w:styleId="6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6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69">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7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7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72">
    <w:name w:val="xl11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73">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74">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75">
    <w:name w:val="xl11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76">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77">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78">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79">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80">
    <w:name w:val="xl12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81">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82">
    <w:name w:val="xl122"/>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83">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84">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85">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86">
    <w:name w:val="xl12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87">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88">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89">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0">
    <w:name w:val="xl130"/>
    <w:basedOn w:val="1"/>
    <w:uiPriority w:val="0"/>
    <w:pPr>
      <w:widowControl/>
      <w:pBdr>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1">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2">
    <w:name w:val="xl132"/>
    <w:basedOn w:val="1"/>
    <w:uiPriority w:val="0"/>
    <w:pPr>
      <w:widowControl/>
      <w:pBdr>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93">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94">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5">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6">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7">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8">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99">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00">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01">
    <w:name w:val="xl14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02">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03">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04">
    <w:name w:val="xl14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05">
    <w:name w:val="xl1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106">
    <w:name w:val="xl14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07">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108">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b/>
      <w:bCs/>
      <w:kern w:val="0"/>
      <w:szCs w:val="24"/>
    </w:rPr>
  </w:style>
  <w:style w:type="paragraph" w:customStyle="1" w:styleId="109">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10">
    <w:name w:val="xl15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11">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112">
    <w:name w:val="xl1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113">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14">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15">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16">
    <w:name w:val="xl15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17">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118">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kern w:val="0"/>
      <w:sz w:val="22"/>
      <w:szCs w:val="22"/>
    </w:rPr>
  </w:style>
  <w:style w:type="paragraph" w:customStyle="1" w:styleId="119">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120">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21">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22">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123">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24">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25">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126">
    <w:name w:val="xl16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27">
    <w:name w:val="xl167"/>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28">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29">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30">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131">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kern w:val="0"/>
      <w:szCs w:val="24"/>
    </w:rPr>
  </w:style>
  <w:style w:type="paragraph" w:customStyle="1" w:styleId="132">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133">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kern w:val="0"/>
      <w:szCs w:val="24"/>
    </w:rPr>
  </w:style>
  <w:style w:type="paragraph" w:customStyle="1" w:styleId="134">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b/>
      <w:bCs/>
      <w:color w:val="000000"/>
      <w:kern w:val="0"/>
      <w:sz w:val="22"/>
      <w:szCs w:val="22"/>
    </w:rPr>
  </w:style>
  <w:style w:type="paragraph" w:customStyle="1" w:styleId="135">
    <w:name w:val="xl1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136">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137">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Cs w:val="24"/>
    </w:rPr>
  </w:style>
  <w:style w:type="paragraph" w:customStyle="1" w:styleId="138">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139">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18"/>
      <w:szCs w:val="18"/>
    </w:rPr>
  </w:style>
  <w:style w:type="paragraph" w:customStyle="1" w:styleId="140">
    <w:name w:val="xl1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Cs w:val="24"/>
    </w:rPr>
  </w:style>
  <w:style w:type="paragraph" w:customStyle="1" w:styleId="141">
    <w:name w:val="xl181"/>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contextualSpacing w:val="0"/>
      <w:jc w:val="left"/>
      <w:textAlignment w:val="bottom"/>
    </w:pPr>
    <w:rPr>
      <w:rFonts w:ascii="宋体" w:hAnsi="宋体" w:cs="宋体"/>
      <w:b/>
      <w:bCs/>
      <w:color w:val="000000"/>
      <w:kern w:val="0"/>
      <w:sz w:val="28"/>
      <w:szCs w:val="28"/>
    </w:rPr>
  </w:style>
  <w:style w:type="paragraph" w:customStyle="1" w:styleId="142">
    <w:name w:val="xl182"/>
    <w:basedOn w:val="1"/>
    <w:uiPriority w:val="0"/>
    <w:pPr>
      <w:widowControl/>
      <w:pBdr>
        <w:top w:val="single" w:color="auto" w:sz="4" w:space="0"/>
        <w:bottom w:val="single" w:color="auto" w:sz="4" w:space="0"/>
      </w:pBdr>
      <w:spacing w:before="100" w:beforeAutospacing="1" w:after="100" w:afterAutospacing="1" w:line="240" w:lineRule="auto"/>
      <w:ind w:firstLine="0" w:firstLineChars="0"/>
      <w:contextualSpacing w:val="0"/>
      <w:jc w:val="left"/>
      <w:textAlignment w:val="bottom"/>
    </w:pPr>
    <w:rPr>
      <w:rFonts w:ascii="宋体" w:hAnsi="宋体" w:cs="宋体"/>
      <w:b/>
      <w:bCs/>
      <w:color w:val="000000"/>
      <w:kern w:val="0"/>
      <w:sz w:val="28"/>
      <w:szCs w:val="28"/>
    </w:rPr>
  </w:style>
  <w:style w:type="paragraph" w:customStyle="1" w:styleId="143">
    <w:name w:val="xl183"/>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textAlignment w:val="bottom"/>
    </w:pPr>
    <w:rPr>
      <w:rFonts w:ascii="宋体" w:hAnsi="宋体" w:cs="宋体"/>
      <w:b/>
      <w:bCs/>
      <w:color w:val="000000"/>
      <w:kern w:val="0"/>
      <w:sz w:val="28"/>
      <w:szCs w:val="28"/>
    </w:rPr>
  </w:style>
  <w:style w:type="paragraph" w:customStyle="1" w:styleId="144">
    <w:name w:val="xl184"/>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Cs w:val="24"/>
    </w:rPr>
  </w:style>
  <w:style w:type="paragraph" w:customStyle="1" w:styleId="145">
    <w:name w:val="xl185"/>
    <w:basedOn w:val="1"/>
    <w:uiPriority w:val="0"/>
    <w:pPr>
      <w:widowControl/>
      <w:pBdr>
        <w:top w:val="single" w:color="auto" w:sz="4" w:space="0"/>
        <w:bottom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Cs w:val="24"/>
    </w:rPr>
  </w:style>
  <w:style w:type="paragraph" w:customStyle="1" w:styleId="146">
    <w:name w:val="xl186"/>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Cs w:val="24"/>
    </w:rPr>
  </w:style>
  <w:style w:type="paragraph" w:customStyle="1" w:styleId="147">
    <w:name w:val="xl187"/>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contextualSpacing w:val="0"/>
      <w:jc w:val="left"/>
    </w:pPr>
    <w:rPr>
      <w:rFonts w:ascii="宋体" w:hAnsi="宋体" w:cs="宋体"/>
      <w:b/>
      <w:bCs/>
      <w:kern w:val="0"/>
      <w:sz w:val="28"/>
      <w:szCs w:val="28"/>
    </w:rPr>
  </w:style>
  <w:style w:type="paragraph" w:customStyle="1" w:styleId="148">
    <w:name w:val="xl188"/>
    <w:basedOn w:val="1"/>
    <w:uiPriority w:val="0"/>
    <w:pPr>
      <w:widowControl/>
      <w:pBdr>
        <w:top w:val="single" w:color="auto" w:sz="4" w:space="0"/>
        <w:bottom w:val="single" w:color="auto" w:sz="4" w:space="0"/>
      </w:pBdr>
      <w:spacing w:before="100" w:beforeAutospacing="1" w:after="100" w:afterAutospacing="1" w:line="240" w:lineRule="auto"/>
      <w:ind w:firstLine="0" w:firstLineChars="0"/>
      <w:contextualSpacing w:val="0"/>
      <w:jc w:val="left"/>
    </w:pPr>
    <w:rPr>
      <w:rFonts w:ascii="宋体" w:hAnsi="宋体" w:cs="宋体"/>
      <w:b/>
      <w:bCs/>
      <w:kern w:val="0"/>
      <w:sz w:val="28"/>
      <w:szCs w:val="28"/>
    </w:rPr>
  </w:style>
  <w:style w:type="paragraph" w:customStyle="1" w:styleId="149">
    <w:name w:val="xl189"/>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b/>
      <w:bCs/>
      <w:kern w:val="0"/>
      <w:sz w:val="28"/>
      <w:szCs w:val="28"/>
    </w:rPr>
  </w:style>
  <w:style w:type="paragraph" w:customStyle="1" w:styleId="150">
    <w:name w:val="xl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151">
    <w:name w:val="xl191"/>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52">
    <w:name w:val="xl192"/>
    <w:basedOn w:val="1"/>
    <w:uiPriority w:val="0"/>
    <w:pPr>
      <w:widowControl/>
      <w:pBdr>
        <w:top w:val="single" w:color="auto" w:sz="4" w:space="0"/>
        <w:bottom w:val="single" w:color="auto" w:sz="4" w:space="0"/>
      </w:pBdr>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53">
    <w:name w:val="xl193"/>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54">
    <w:name w:val="xl194"/>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55">
    <w:name w:val="xl195"/>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56">
    <w:name w:val="xl1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157">
    <w:name w:val="xl1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158">
    <w:name w:val="xl19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59">
    <w:name w:val="xl199"/>
    <w:basedOn w:val="1"/>
    <w:uiPriority w:val="0"/>
    <w:pPr>
      <w:widowControl/>
      <w:pBdr>
        <w:top w:val="single" w:color="auto" w:sz="4" w:space="0"/>
        <w:bottom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60">
    <w:name w:val="xl20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61">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62">
    <w:name w:val="xl202"/>
    <w:basedOn w:val="1"/>
    <w:uiPriority w:val="0"/>
    <w:pPr>
      <w:widowControl/>
      <w:pBdr>
        <w:top w:val="single" w:color="auto" w:sz="4" w:space="0"/>
        <w:bottom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63">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b/>
      <w:bCs/>
      <w:color w:val="000000"/>
      <w:kern w:val="0"/>
      <w:sz w:val="28"/>
      <w:szCs w:val="28"/>
    </w:rPr>
  </w:style>
  <w:style w:type="paragraph" w:customStyle="1" w:styleId="164">
    <w:name w:val="xl2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b/>
      <w:bCs/>
      <w:kern w:val="0"/>
      <w:szCs w:val="24"/>
    </w:rPr>
  </w:style>
  <w:style w:type="paragraph" w:customStyle="1" w:styleId="165">
    <w:name w:val="xl20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66">
    <w:name w:val="xl20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67">
    <w:name w:val="xl207"/>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68">
    <w:name w:val="xl2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Cs w:val="24"/>
    </w:rPr>
  </w:style>
  <w:style w:type="paragraph" w:customStyle="1" w:styleId="169">
    <w:name w:val="xl20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70">
    <w:name w:val="xl21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71">
    <w:name w:val="xl21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172">
    <w:name w:val="xl21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173">
    <w:name w:val="xl21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74">
    <w:name w:val="xl214"/>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75">
    <w:name w:val="xl21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76">
    <w:name w:val="xl2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kern w:val="0"/>
      <w:szCs w:val="24"/>
    </w:rPr>
  </w:style>
  <w:style w:type="paragraph" w:customStyle="1" w:styleId="177">
    <w:name w:val="xl2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kern w:val="0"/>
      <w:szCs w:val="24"/>
    </w:rPr>
  </w:style>
  <w:style w:type="paragraph" w:customStyle="1" w:styleId="178">
    <w:name w:val="xl21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79">
    <w:name w:val="xl219"/>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80">
    <w:name w:val="xl220"/>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81">
    <w:name w:val="xl22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82">
    <w:name w:val="xl222"/>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83">
    <w:name w:val="xl223"/>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color w:val="000000"/>
      <w:kern w:val="0"/>
      <w:sz w:val="22"/>
      <w:szCs w:val="22"/>
    </w:rPr>
  </w:style>
  <w:style w:type="paragraph" w:customStyle="1" w:styleId="184">
    <w:name w:val="xl2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 w:val="22"/>
      <w:szCs w:val="22"/>
    </w:rPr>
  </w:style>
  <w:style w:type="paragraph" w:customStyle="1" w:styleId="185">
    <w:name w:val="xl2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86">
    <w:name w:val="xl226"/>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87">
    <w:name w:val="xl227"/>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88">
    <w:name w:val="xl22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89">
    <w:name w:val="xl22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90">
    <w:name w:val="xl23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91">
    <w:name w:val="xl23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92">
    <w:name w:val="xl23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193">
    <w:name w:val="xl23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94">
    <w:name w:val="xl234"/>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95">
    <w:name w:val="xl23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96">
    <w:name w:val="xl23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97">
    <w:name w:val="xl237"/>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98">
    <w:name w:val="xl238"/>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FF0000"/>
      <w:kern w:val="0"/>
      <w:sz w:val="22"/>
      <w:szCs w:val="22"/>
    </w:rPr>
  </w:style>
  <w:style w:type="paragraph" w:customStyle="1" w:styleId="199">
    <w:name w:val="xl23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200">
    <w:name w:val="xl240"/>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201">
    <w:name w:val="xl24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kern w:val="0"/>
      <w:szCs w:val="24"/>
    </w:rPr>
  </w:style>
  <w:style w:type="paragraph" w:customStyle="1" w:styleId="202">
    <w:name w:val="xl24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203">
    <w:name w:val="xl243"/>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204">
    <w:name w:val="xl244"/>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宋体" w:hAnsi="宋体" w:cs="宋体"/>
      <w:b/>
      <w:bCs/>
      <w:color w:val="000000"/>
      <w:kern w:val="0"/>
      <w:sz w:val="22"/>
      <w:szCs w:val="22"/>
    </w:rPr>
  </w:style>
  <w:style w:type="paragraph" w:customStyle="1" w:styleId="205">
    <w:name w:val="xl24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206">
    <w:name w:val="xl246"/>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paragraph" w:customStyle="1" w:styleId="207">
    <w:name w:val="xl247"/>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宋体" w:hAnsi="宋体" w:cs="宋体"/>
      <w:color w:val="000000"/>
      <w:kern w:val="0"/>
      <w:sz w:val="22"/>
      <w:szCs w:val="22"/>
    </w:rPr>
  </w:style>
  <w:style w:type="character" w:customStyle="1" w:styleId="208">
    <w:name w:val="批注文字 字符"/>
    <w:basedOn w:val="16"/>
    <w:link w:val="9"/>
    <w:semiHidden/>
    <w:uiPriority w:val="99"/>
    <w:rPr>
      <w:rFonts w:asciiTheme="minorHAnsi" w:hAnsiTheme="minorHAnsi" w:eastAsiaTheme="minorEastAsia" w:cstheme="minorBidi"/>
      <w:sz w:val="21"/>
      <w:szCs w:val="22"/>
    </w:rPr>
  </w:style>
  <w:style w:type="paragraph" w:customStyle="1" w:styleId="209">
    <w:name w:val="修订1"/>
    <w:hidden/>
    <w:semiHidden/>
    <w:uiPriority w:val="99"/>
    <w:rPr>
      <w:rFonts w:ascii="Times New Roman" w:hAnsi="Times New Roman" w:eastAsia="宋体" w:cs="Times New Roman"/>
      <w:kern w:val="2"/>
      <w:sz w:val="24"/>
      <w:lang w:val="en-US" w:eastAsia="zh-CN" w:bidi="ar-SA"/>
    </w:rPr>
  </w:style>
  <w:style w:type="character" w:customStyle="1" w:styleId="210">
    <w:name w:val="页脚 字符"/>
    <w:basedOn w:val="16"/>
    <w:link w:val="12"/>
    <w:uiPriority w:val="99"/>
    <w:rPr>
      <w:sz w:val="18"/>
      <w:szCs w:val="18"/>
    </w:rPr>
  </w:style>
  <w:style w:type="paragraph" w:customStyle="1" w:styleId="211">
    <w:name w:val="正文111"/>
    <w:basedOn w:val="1"/>
    <w:link w:val="212"/>
    <w:qFormat/>
    <w:uiPriority w:val="0"/>
    <w:pPr>
      <w:widowControl/>
      <w:ind w:firstLine="560"/>
      <w:contextualSpacing w:val="0"/>
      <w:jc w:val="left"/>
    </w:pPr>
    <w:rPr>
      <w:rFonts w:cs="仿宋"/>
      <w:kern w:val="0"/>
      <w:sz w:val="28"/>
      <w:szCs w:val="24"/>
    </w:rPr>
  </w:style>
  <w:style w:type="character" w:customStyle="1" w:styleId="212">
    <w:name w:val="正文111 字符"/>
    <w:basedOn w:val="16"/>
    <w:link w:val="211"/>
    <w:qFormat/>
    <w:uiPriority w:val="0"/>
    <w:rPr>
      <w:rFonts w:cs="仿宋"/>
      <w:kern w:val="0"/>
      <w:sz w:val="28"/>
      <w:szCs w:val="24"/>
    </w:rPr>
  </w:style>
  <w:style w:type="paragraph" w:customStyle="1" w:styleId="21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正文"/>
    <w:basedOn w:val="1"/>
    <w:link w:val="215"/>
    <w:qFormat/>
    <w:uiPriority w:val="0"/>
    <w:pPr>
      <w:spacing w:line="240" w:lineRule="auto"/>
      <w:ind w:firstLine="480" w:firstLineChars="0"/>
      <w:contextualSpacing w:val="0"/>
    </w:pPr>
    <w:rPr>
      <w:bCs/>
      <w:szCs w:val="21"/>
    </w:rPr>
  </w:style>
  <w:style w:type="character" w:customStyle="1" w:styleId="215">
    <w:name w:val="**正文 Char"/>
    <w:link w:val="214"/>
    <w:qFormat/>
    <w:locked/>
    <w:uiPriority w:val="0"/>
    <w:rPr>
      <w:bCs/>
      <w:sz w:val="24"/>
      <w:szCs w:val="21"/>
    </w:rPr>
  </w:style>
  <w:style w:type="character" w:customStyle="1" w:styleId="216">
    <w:name w:val="批注框文本 字符"/>
    <w:basedOn w:val="16"/>
    <w:link w:val="11"/>
    <w:semiHidden/>
    <w:uiPriority w:val="99"/>
    <w:rPr>
      <w:sz w:val="18"/>
      <w:szCs w:val="18"/>
    </w:rPr>
  </w:style>
  <w:style w:type="paragraph" w:customStyle="1" w:styleId="217">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仿宋" w:hAnsi="仿宋" w:eastAsia="仿宋" w:cs="宋体"/>
      <w:color w:val="000000"/>
      <w:kern w:val="0"/>
      <w:sz w:val="20"/>
    </w:rPr>
  </w:style>
  <w:style w:type="paragraph" w:customStyle="1" w:styleId="218">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仿宋" w:hAnsi="仿宋" w:eastAsia="仿宋" w:cs="宋体"/>
      <w:color w:val="FF0000"/>
      <w:kern w:val="0"/>
      <w:sz w:val="20"/>
    </w:rPr>
  </w:style>
  <w:style w:type="paragraph" w:customStyle="1" w:styleId="21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color w:val="000000"/>
      <w:kern w:val="0"/>
      <w:sz w:val="20"/>
    </w:rPr>
  </w:style>
  <w:style w:type="paragraph" w:customStyle="1" w:styleId="22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kern w:val="0"/>
      <w:sz w:val="20"/>
    </w:rPr>
  </w:style>
  <w:style w:type="paragraph" w:customStyle="1" w:styleId="22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仿宋" w:hAnsi="仿宋" w:eastAsia="仿宋" w:cs="宋体"/>
      <w:color w:val="FF0000"/>
      <w:kern w:val="0"/>
      <w:sz w:val="20"/>
    </w:rPr>
  </w:style>
  <w:style w:type="paragraph" w:customStyle="1" w:styleId="22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kern w:val="0"/>
      <w:sz w:val="20"/>
    </w:rPr>
  </w:style>
  <w:style w:type="paragraph" w:customStyle="1" w:styleId="223">
    <w:name w:val="xl6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kern w:val="0"/>
      <w:sz w:val="20"/>
    </w:rPr>
  </w:style>
  <w:style w:type="paragraph" w:customStyle="1" w:styleId="224">
    <w:name w:val="xl70"/>
    <w:basedOn w:val="1"/>
    <w:uiPriority w:val="0"/>
    <w:pPr>
      <w:widowControl/>
      <w:pBdr>
        <w:left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kern w:val="0"/>
      <w:sz w:val="20"/>
    </w:rPr>
  </w:style>
  <w:style w:type="paragraph" w:customStyle="1" w:styleId="225">
    <w:name w:val="xl7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kern w:val="0"/>
      <w:sz w:val="20"/>
    </w:rPr>
  </w:style>
  <w:style w:type="paragraph" w:customStyle="1" w:styleId="22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b/>
      <w:bCs/>
      <w:kern w:val="0"/>
      <w:sz w:val="36"/>
      <w:szCs w:val="36"/>
    </w:rPr>
  </w:style>
  <w:style w:type="paragraph" w:customStyle="1" w:styleId="22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b/>
      <w:bCs/>
      <w:kern w:val="0"/>
      <w:sz w:val="20"/>
    </w:rPr>
  </w:style>
  <w:style w:type="paragraph" w:customStyle="1" w:styleId="22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left"/>
    </w:pPr>
    <w:rPr>
      <w:rFonts w:ascii="仿宋" w:hAnsi="仿宋" w:eastAsia="仿宋" w:cs="宋体"/>
      <w:kern w:val="0"/>
      <w:sz w:val="20"/>
    </w:rPr>
  </w:style>
  <w:style w:type="paragraph" w:customStyle="1" w:styleId="22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b/>
      <w:bCs/>
      <w:kern w:val="0"/>
      <w:sz w:val="20"/>
    </w:rPr>
  </w:style>
  <w:style w:type="paragraph" w:customStyle="1" w:styleId="23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b/>
      <w:bCs/>
      <w:color w:val="000000"/>
      <w:kern w:val="0"/>
      <w:sz w:val="20"/>
    </w:rPr>
  </w:style>
  <w:style w:type="paragraph" w:customStyle="1" w:styleId="231">
    <w:name w:val="xl77"/>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contextualSpacing w:val="0"/>
      <w:jc w:val="center"/>
    </w:pPr>
    <w:rPr>
      <w:rFonts w:ascii="仿宋" w:hAnsi="仿宋" w:eastAsia="仿宋" w:cs="宋体"/>
      <w:b/>
      <w:bCs/>
      <w:kern w:val="0"/>
      <w:sz w:val="20"/>
    </w:rPr>
  </w:style>
  <w:style w:type="paragraph" w:customStyle="1" w:styleId="232">
    <w:name w:val="xl78"/>
    <w:basedOn w:val="1"/>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ind w:firstLine="0" w:firstLineChars="0"/>
      <w:contextualSpacing w:val="0"/>
      <w:jc w:val="left"/>
    </w:pPr>
    <w:rPr>
      <w:rFonts w:ascii="仿宋" w:hAnsi="仿宋" w:eastAsia="仿宋" w:cs="宋体"/>
      <w:b/>
      <w:bCs/>
      <w:kern w:val="0"/>
      <w:sz w:val="20"/>
    </w:rPr>
  </w:style>
  <w:style w:type="paragraph" w:customStyle="1" w:styleId="233">
    <w:name w:val="xl79"/>
    <w:basedOn w:val="1"/>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ind w:firstLine="0" w:firstLineChars="0"/>
      <w:contextualSpacing w:val="0"/>
      <w:jc w:val="center"/>
    </w:pPr>
    <w:rPr>
      <w:rFonts w:ascii="仿宋" w:hAnsi="仿宋" w:eastAsia="仿宋" w:cs="宋体"/>
      <w:b/>
      <w:bCs/>
      <w:kern w:val="0"/>
      <w:sz w:val="20"/>
    </w:rPr>
  </w:style>
  <w:style w:type="paragraph" w:customStyle="1" w:styleId="234">
    <w:name w:val="xl80"/>
    <w:basedOn w:val="1"/>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ind w:firstLine="0" w:firstLineChars="0"/>
      <w:contextualSpacing w:val="0"/>
      <w:jc w:val="center"/>
    </w:pPr>
    <w:rPr>
      <w:rFonts w:ascii="仿宋" w:hAnsi="仿宋" w:eastAsia="仿宋" w:cs="宋体"/>
      <w:b/>
      <w:bCs/>
      <w:kern w:val="0"/>
      <w:sz w:val="20"/>
    </w:rPr>
  </w:style>
  <w:style w:type="paragraph" w:customStyle="1" w:styleId="23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contextualSpacing w:val="0"/>
      <w:jc w:val="center"/>
    </w:pPr>
    <w:rPr>
      <w:rFonts w:ascii="仿宋" w:hAnsi="仿宋" w:eastAsia="仿宋" w:cs="宋体"/>
      <w:color w:val="000000"/>
      <w:kern w:val="0"/>
      <w:sz w:val="20"/>
    </w:rPr>
  </w:style>
  <w:style w:type="paragraph" w:customStyle="1" w:styleId="236">
    <w:name w:val="xl82"/>
    <w:basedOn w:val="1"/>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ind w:firstLine="0" w:firstLineChars="0"/>
      <w:contextualSpacing w:val="0"/>
      <w:jc w:val="left"/>
    </w:pPr>
    <w:rPr>
      <w:rFonts w:ascii="仿宋" w:hAnsi="仿宋" w:eastAsia="仿宋" w:cs="宋体"/>
      <w:b/>
      <w:bCs/>
      <w:kern w:val="0"/>
      <w:sz w:val="20"/>
    </w:rPr>
  </w:style>
  <w:style w:type="paragraph" w:customStyle="1" w:styleId="237">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contextualSpacing w:val="0"/>
      <w:jc w:val="center"/>
    </w:pPr>
    <w:rPr>
      <w:rFonts w:ascii="仿宋" w:hAnsi="仿宋" w:eastAsia="仿宋" w:cs="宋体"/>
      <w:kern w:val="0"/>
      <w:sz w:val="20"/>
    </w:rPr>
  </w:style>
  <w:style w:type="character" w:customStyle="1" w:styleId="238">
    <w:name w:val="richtext"/>
    <w:basedOn w:val="16"/>
    <w:uiPriority w:val="0"/>
  </w:style>
  <w:style w:type="paragraph" w:customStyle="1" w:styleId="239">
    <w:name w:val="图例"/>
    <w:basedOn w:val="1"/>
    <w:qFormat/>
    <w:uiPriority w:val="99"/>
    <w:pPr>
      <w:spacing w:before="120" w:after="120"/>
      <w:ind w:firstLine="0" w:firstLineChars="0"/>
      <w:contextualSpacing w:val="0"/>
      <w:jc w:val="center"/>
    </w:pPr>
    <w:rPr>
      <w:rFonts w:eastAsia="仿宋_GB2312"/>
      <w:b/>
      <w:bCs/>
      <w:szCs w:val="24"/>
    </w:rPr>
  </w:style>
  <w:style w:type="character" w:customStyle="1" w:styleId="240">
    <w:name w:val="font11"/>
    <w:basedOn w:val="16"/>
    <w:uiPriority w:val="0"/>
    <w:rPr>
      <w:rFonts w:hint="eastAsia" w:ascii="宋体" w:hAnsi="宋体" w:eastAsia="宋体" w:cs="宋体"/>
      <w:color w:val="000000"/>
      <w:sz w:val="20"/>
      <w:szCs w:val="20"/>
      <w:u w:val="none"/>
    </w:rPr>
  </w:style>
  <w:style w:type="character" w:customStyle="1" w:styleId="241">
    <w:name w:val="font31"/>
    <w:basedOn w:val="16"/>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E441-C030-4775-802B-3EE26E327E76}">
  <ds:schemaRefs/>
</ds:datastoreItem>
</file>

<file path=docProps/app.xml><?xml version="1.0" encoding="utf-8"?>
<Properties xmlns="http://schemas.openxmlformats.org/officeDocument/2006/extended-properties" xmlns:vt="http://schemas.openxmlformats.org/officeDocument/2006/docPropsVTypes">
  <Template>Normal</Template>
  <Pages>7</Pages>
  <Words>3904</Words>
  <Characters>4528</Characters>
  <Lines>32</Lines>
  <Paragraphs>9</Paragraphs>
  <TotalTime>13</TotalTime>
  <ScaleCrop>false</ScaleCrop>
  <LinksUpToDate>false</LinksUpToDate>
  <CharactersWithSpaces>4535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2024-04-08T10:20:00Z</dcterms:created>
  <dc:creator>yue tang</dc:creator>
  <cp:lastModifiedBy>Administrator</cp:lastModifiedBy>
  <dcterms:modified xsi:type="dcterms:W3CDTF">2024-05-31T13:23:52Z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F9023DB4B9684B5BBB6E920BCA1591DC</vt:lpwstr>
  </property>
</Properties>
</file>