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rPr>
      </w:pPr>
    </w:p>
    <w:p>
      <w:pPr>
        <w:pStyle w:val="4"/>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rPr>
        <w:t>昌吉农高区迎接昌吉州70年州庆氛围营造及基础设施提升改造项目</w:t>
      </w:r>
      <w:r>
        <w:rPr>
          <w:rFonts w:hint="eastAsia" w:ascii="Times New Roman" w:hAnsi="Times New Roman" w:eastAsia="方正小标宋_GBK" w:cs="Times New Roman"/>
          <w:sz w:val="44"/>
          <w:szCs w:val="44"/>
          <w:lang w:val="en-US" w:eastAsia="zh-CN"/>
        </w:rPr>
        <w:t>决算审计</w:t>
      </w:r>
      <w:r>
        <w:rPr>
          <w:rFonts w:hint="eastAsia" w:eastAsia="方正小标宋_GBK" w:cs="Times New Roman"/>
          <w:sz w:val="44"/>
          <w:szCs w:val="44"/>
          <w:lang w:val="en-US" w:eastAsia="zh-CN"/>
        </w:rPr>
        <w:t>服务</w:t>
      </w:r>
      <w:r>
        <w:rPr>
          <w:rFonts w:hint="eastAsia" w:ascii="Times New Roman" w:hAnsi="Times New Roman" w:eastAsia="方正小标宋_GBK" w:cs="Times New Roman"/>
          <w:sz w:val="44"/>
          <w:szCs w:val="44"/>
          <w:lang w:val="en-US" w:eastAsia="zh-CN"/>
        </w:rPr>
        <w:t>招标标准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一、工程概况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招标人：新疆昌吉国家农业高新技术产业示范区建设管理局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项目名称：</w:t>
      </w:r>
      <w:bookmarkStart w:id="0" w:name="OLE_LINK2"/>
      <w:bookmarkStart w:id="1" w:name="OLE_LINK1"/>
      <w:r>
        <w:rPr>
          <w:rFonts w:hint="eastAsia" w:ascii="Times New Roman" w:hAnsi="Times New Roman" w:eastAsia="方正仿宋_GBK" w:cs="Times New Roman"/>
          <w:sz w:val="32"/>
          <w:szCs w:val="32"/>
          <w:lang w:val="en-US" w:eastAsia="zh-CN"/>
        </w:rPr>
        <w:t>昌吉农高区迎接昌吉州70年州庆氛围营造及基础设施提升改造项目决算</w:t>
      </w:r>
      <w:r>
        <w:rPr>
          <w:rFonts w:hint="default" w:ascii="Times New Roman" w:hAnsi="Times New Roman" w:eastAsia="方正仿宋_GBK" w:cs="Times New Roman"/>
          <w:sz w:val="32"/>
          <w:szCs w:val="32"/>
          <w:lang w:val="en-US" w:eastAsia="zh-CN"/>
        </w:rPr>
        <w:t>审计</w:t>
      </w:r>
      <w:r>
        <w:rPr>
          <w:rFonts w:hint="eastAsia" w:eastAsia="方正仿宋_GBK" w:cs="Times New Roman"/>
          <w:sz w:val="32"/>
          <w:szCs w:val="32"/>
          <w:lang w:val="en-US" w:eastAsia="zh-CN"/>
        </w:rPr>
        <w:t>服务</w:t>
      </w:r>
      <w:bookmarkEnd w:id="0"/>
    </w:p>
    <w:bookmarkEnd w:id="1"/>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审计地点：农高区现代农业科技城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审计规模及内容：</w:t>
      </w:r>
      <w:r>
        <w:rPr>
          <w:rFonts w:hint="default" w:ascii="仿宋_GB2312" w:hAnsi="仿宋_GB2312" w:eastAsia="仿宋_GB2312" w:cs="仿宋_GB2312"/>
          <w:bCs/>
          <w:sz w:val="32"/>
          <w:szCs w:val="32"/>
          <w:highlight w:val="none"/>
          <w:lang w:eastAsia="zh-CN"/>
        </w:rPr>
        <w:t>农高区</w:t>
      </w:r>
      <w:r>
        <w:rPr>
          <w:rFonts w:hint="eastAsia" w:ascii="仿宋_GB2312" w:hAnsi="仿宋_GB2312" w:eastAsia="仿宋_GB2312" w:cs="仿宋_GB2312"/>
          <w:bCs/>
          <w:sz w:val="32"/>
          <w:szCs w:val="32"/>
          <w:highlight w:val="none"/>
          <w:lang w:val="en-US" w:eastAsia="zh-CN"/>
        </w:rPr>
        <w:t>辖区屯河路、绿洲北路</w:t>
      </w:r>
      <w:r>
        <w:rPr>
          <w:rFonts w:hint="default" w:ascii="仿宋_GB2312" w:hAnsi="仿宋_GB2312" w:eastAsia="仿宋_GB2312" w:cs="仿宋_GB2312"/>
          <w:bCs/>
          <w:sz w:val="32"/>
          <w:szCs w:val="32"/>
          <w:highlight w:val="none"/>
          <w:lang w:eastAsia="zh-CN"/>
        </w:rPr>
        <w:t>、宁边东路</w:t>
      </w:r>
      <w:r>
        <w:rPr>
          <w:rFonts w:hint="eastAsia" w:ascii="仿宋_GB2312" w:hAnsi="仿宋_GB2312" w:eastAsia="仿宋_GB2312" w:cs="仿宋_GB2312"/>
          <w:bCs/>
          <w:sz w:val="32"/>
          <w:szCs w:val="32"/>
          <w:highlight w:val="none"/>
          <w:lang w:val="en-US" w:eastAsia="zh-CN"/>
        </w:rPr>
        <w:t>城市道路绿化美化</w:t>
      </w:r>
      <w:r>
        <w:rPr>
          <w:rFonts w:hint="default" w:ascii="仿宋_GB2312" w:hAnsi="仿宋_GB2312" w:eastAsia="仿宋_GB2312" w:cs="仿宋_GB2312"/>
          <w:bCs/>
          <w:sz w:val="32"/>
          <w:szCs w:val="32"/>
          <w:highlight w:val="none"/>
          <w:lang w:eastAsia="zh-CN"/>
        </w:rPr>
        <w:t>提升</w:t>
      </w:r>
      <w:r>
        <w:rPr>
          <w:rFonts w:hint="eastAsia" w:ascii="仿宋_GB2312" w:hAnsi="仿宋_GB2312" w:eastAsia="仿宋_GB2312" w:cs="仿宋_GB2312"/>
          <w:bCs/>
          <w:sz w:val="32"/>
          <w:szCs w:val="32"/>
          <w:highlight w:val="none"/>
          <w:lang w:val="en-US" w:eastAsia="zh-CN"/>
        </w:rPr>
        <w:t>；乌伊东路与东外环路2个路口、乌伊东路与屯河路2个路口共4个主要城市路口节点和绿洲北路与宁边东路、绿洲北路与红旗东路、昌五路与北城路共3个十字路口导流岛景观改造；屯河路和谐时代广场楼宇亮化及户外电子屏维修维护；宁边东路、北城路分别与G312线昌吉过境公路互联互通</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投资金额</w:t>
      </w:r>
      <w:r>
        <w:rPr>
          <w:rFonts w:hint="eastAsia" w:ascii="方正仿宋_GBK" w:hAnsi="方正仿宋_GBK" w:eastAsia="方正仿宋_GBK" w:cs="方正仿宋_GBK"/>
          <w:sz w:val="32"/>
          <w:szCs w:val="32"/>
          <w:lang w:val="en-US" w:eastAsia="zh-CN"/>
        </w:rPr>
        <w:t>：计划投资</w:t>
      </w:r>
      <w:r>
        <w:rPr>
          <w:rFonts w:hint="eastAsia" w:eastAsia="方正仿宋_GBK" w:cs="Times New Roman"/>
          <w:sz w:val="32"/>
          <w:szCs w:val="32"/>
          <w:lang w:val="en-US" w:eastAsia="zh-CN"/>
        </w:rPr>
        <w:t>2万</w:t>
      </w:r>
      <w:r>
        <w:rPr>
          <w:rFonts w:hint="eastAsia" w:ascii="方正仿宋_GBK" w:hAnsi="方正仿宋_GBK" w:eastAsia="方正仿宋_GBK" w:cs="方正仿宋_GBK"/>
          <w:sz w:val="32"/>
          <w:szCs w:val="32"/>
          <w:lang w:val="en-US" w:eastAsia="zh-CN"/>
        </w:rPr>
        <w:t>元。</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eastAsia="方正仿宋_GBK" w:cs="Times New Roman"/>
          <w:sz w:val="32"/>
          <w:szCs w:val="32"/>
          <w:lang w:val="en-US" w:eastAsia="zh-CN"/>
        </w:rPr>
      </w:pPr>
      <w:r>
        <w:rPr>
          <w:rFonts w:hint="eastAsia"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招标范围：</w:t>
      </w:r>
      <w:r>
        <w:rPr>
          <w:rFonts w:hint="eastAsia" w:eastAsia="方正仿宋_GBK" w:cs="Times New Roman"/>
          <w:sz w:val="32"/>
          <w:szCs w:val="32"/>
          <w:lang w:val="en-US" w:eastAsia="zh-CN"/>
        </w:rPr>
        <w:t>包含工程结算审查、造价咨询、竣工决算编制、工程造价纠纷鉴定等并出具报告。</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7.</w:t>
      </w:r>
      <w:r>
        <w:rPr>
          <w:rFonts w:hint="eastAsia" w:eastAsia="方正仿宋_GBK" w:cs="Times New Roman"/>
          <w:sz w:val="32"/>
          <w:szCs w:val="32"/>
          <w:lang w:val="en-US" w:eastAsia="zh-CN"/>
        </w:rPr>
        <w:t>审计</w:t>
      </w:r>
      <w:r>
        <w:rPr>
          <w:rFonts w:hint="eastAsia" w:ascii="Times New Roman" w:hAnsi="Times New Roman" w:eastAsia="方正仿宋_GBK" w:cs="Times New Roman"/>
          <w:sz w:val="32"/>
          <w:szCs w:val="32"/>
          <w:lang w:val="en-US" w:eastAsia="zh-CN"/>
        </w:rPr>
        <w:t>服务</w:t>
      </w:r>
      <w:r>
        <w:rPr>
          <w:rFonts w:hint="eastAsia" w:eastAsia="方正仿宋_GBK" w:cs="Times New Roman"/>
          <w:sz w:val="32"/>
          <w:szCs w:val="32"/>
          <w:lang w:val="en-US" w:eastAsia="zh-CN"/>
        </w:rPr>
        <w:t>期限</w:t>
      </w:r>
      <w:r>
        <w:rPr>
          <w:rFonts w:hint="eastAsia" w:ascii="Times New Roman" w:hAnsi="Times New Roman" w:eastAsia="方正仿宋_GBK" w:cs="Times New Roman"/>
          <w:sz w:val="32"/>
          <w:szCs w:val="32"/>
          <w:lang w:val="en-US" w:eastAsia="zh-CN"/>
        </w:rPr>
        <w:t>：从中标通知书发出之日起至整个项目竣工决算审计完成并出具完整的决算审计报告，移交全部审计资料至招标人为止。</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8.</w:t>
      </w:r>
      <w:r>
        <w:rPr>
          <w:rFonts w:hint="eastAsia" w:eastAsia="方正仿宋_GBK" w:cs="Times New Roman"/>
          <w:sz w:val="32"/>
          <w:szCs w:val="32"/>
          <w:lang w:val="en-US" w:eastAsia="zh-CN"/>
        </w:rPr>
        <w:t>工程计划开工日期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计划</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月开工。</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招标方式：在线询价。</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黑体_GBK" w:hAnsi="方正黑体_GBK" w:eastAsia="方正黑体_GBK" w:cs="方正黑体_GBK"/>
          <w:b/>
          <w:bCs/>
          <w:sz w:val="32"/>
          <w:szCs w:val="32"/>
          <w:lang w:val="en-US" w:eastAsia="zh-CN"/>
        </w:rPr>
      </w:pP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 xml:space="preserve">付款方式：按合同约定进行付款。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二、投标申请人资质要求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bookmarkStart w:id="3" w:name="_GoBack"/>
      <w:bookmarkStart w:id="2" w:name="OLE_LINK3"/>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投标人必须是中华人民共和国境内注册的，具有独立法人资格的企业或其他组织，具有有效的“三证合一”的营业执照（企业营业执照），同时营业执照具有工程造价咨询相关的经营范围，且</w:t>
      </w:r>
      <w:r>
        <w:rPr>
          <w:rFonts w:hint="eastAsia" w:eastAsia="方正仿宋_GBK" w:cs="Times New Roman"/>
          <w:sz w:val="32"/>
          <w:szCs w:val="32"/>
          <w:lang w:val="en-US" w:eastAsia="zh-CN"/>
        </w:rPr>
        <w:t>在本地区有完善的售后服务机构。</w:t>
      </w:r>
      <w:r>
        <w:rPr>
          <w:rFonts w:hint="default"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 xml:space="preserve">    </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项目负责人要求：须具备建设行政主管部门核发的国家一级注册造价工程师资格证（注册造价工程师证须在本单位注册）。</w:t>
      </w:r>
    </w:p>
    <w:p>
      <w:pPr>
        <w:pStyle w:val="6"/>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3.投标人需提供近三年（2020年至今）类似项目的业绩</w:t>
      </w:r>
      <w:r>
        <w:rPr>
          <w:rFonts w:hint="eastAsia" w:ascii="方正仿宋_GBK" w:hAnsi="方正仿宋_GBK" w:eastAsia="方正仿宋_GBK" w:cs="方正仿宋_GBK"/>
          <w:sz w:val="32"/>
          <w:szCs w:val="32"/>
          <w:lang w:val="en-US" w:eastAsia="zh-CN"/>
        </w:rPr>
        <w:t>（提供审计委托合同或中标通知书）且具有承担本项目的能力。</w:t>
      </w:r>
    </w:p>
    <w:p>
      <w:pPr>
        <w:pStyle w:val="6"/>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4.被最高人民法院在“信用中国”网站或各级信用信息共享平台中列入失信被执行人名单，不得参加投标。</w:t>
      </w:r>
      <w:bookmarkEnd w:id="3"/>
      <w:bookmarkEnd w:id="2"/>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kern w:val="0"/>
          <w:sz w:val="32"/>
          <w:szCs w:val="32"/>
          <w:lang w:val="en-US" w:eastAsia="zh-CN" w:bidi="ar"/>
        </w:rPr>
      </w:pPr>
    </w:p>
    <w:p>
      <w:pPr>
        <w:keepLines w:val="0"/>
        <w:pageBreakBefore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1920" w:firstLineChars="6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昌吉国家农业高新技术产业示范区建设管理局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2024年10月15日</w:t>
      </w:r>
    </w:p>
    <w:sectPr>
      <w:pgSz w:w="11906" w:h="16838"/>
      <w:pgMar w:top="170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M2I5YTFmYWRlMjhhZmRjYzk1ZTkwY2M4ZGQwZGYifQ=="/>
  </w:docVars>
  <w:rsids>
    <w:rsidRoot w:val="00000000"/>
    <w:rsid w:val="03DD777A"/>
    <w:rsid w:val="051C21E7"/>
    <w:rsid w:val="05E52438"/>
    <w:rsid w:val="086E2CB4"/>
    <w:rsid w:val="0876061D"/>
    <w:rsid w:val="0CEF3A6B"/>
    <w:rsid w:val="0D8371A2"/>
    <w:rsid w:val="0D997994"/>
    <w:rsid w:val="0DA10C8B"/>
    <w:rsid w:val="1230592B"/>
    <w:rsid w:val="15B36D47"/>
    <w:rsid w:val="16244FD2"/>
    <w:rsid w:val="19781056"/>
    <w:rsid w:val="1A984432"/>
    <w:rsid w:val="21C27524"/>
    <w:rsid w:val="23CB0FF7"/>
    <w:rsid w:val="248A4615"/>
    <w:rsid w:val="292E79BF"/>
    <w:rsid w:val="29B91E2B"/>
    <w:rsid w:val="2BBE7E22"/>
    <w:rsid w:val="2CAE7E10"/>
    <w:rsid w:val="2FE204FD"/>
    <w:rsid w:val="33017ADE"/>
    <w:rsid w:val="34900102"/>
    <w:rsid w:val="35A90340"/>
    <w:rsid w:val="36310BBF"/>
    <w:rsid w:val="37B70C65"/>
    <w:rsid w:val="39D268CA"/>
    <w:rsid w:val="3B2F6D92"/>
    <w:rsid w:val="3EAA520F"/>
    <w:rsid w:val="3F647CAE"/>
    <w:rsid w:val="3FAF4340"/>
    <w:rsid w:val="46E80FCD"/>
    <w:rsid w:val="518710AA"/>
    <w:rsid w:val="543F566E"/>
    <w:rsid w:val="546E692E"/>
    <w:rsid w:val="5641747C"/>
    <w:rsid w:val="56796AED"/>
    <w:rsid w:val="56BA60B0"/>
    <w:rsid w:val="59DA2CDC"/>
    <w:rsid w:val="59E57B82"/>
    <w:rsid w:val="5A987886"/>
    <w:rsid w:val="62592E05"/>
    <w:rsid w:val="635401B4"/>
    <w:rsid w:val="63CD2FEF"/>
    <w:rsid w:val="66083B12"/>
    <w:rsid w:val="68CB4EDD"/>
    <w:rsid w:val="68CF175C"/>
    <w:rsid w:val="69ED10D8"/>
    <w:rsid w:val="6A8A36F9"/>
    <w:rsid w:val="6C3D028D"/>
    <w:rsid w:val="6C7008A4"/>
    <w:rsid w:val="6CC12C6C"/>
    <w:rsid w:val="6FCE4C97"/>
    <w:rsid w:val="758571F4"/>
    <w:rsid w:val="78D43CE8"/>
    <w:rsid w:val="7E700B17"/>
    <w:rsid w:val="7E924F42"/>
    <w:rsid w:val="7F4F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4">
    <w:name w:val="heading 1"/>
    <w:basedOn w:val="1"/>
    <w:next w:val="1"/>
    <w:qFormat/>
    <w:uiPriority w:val="0"/>
    <w:pPr>
      <w:keepNext/>
      <w:jc w:val="center"/>
      <w:outlineLvl w:val="0"/>
    </w:pPr>
    <w:rPr>
      <w:b/>
      <w:sz w:val="24"/>
      <w:szCs w:val="20"/>
    </w:rPr>
  </w:style>
  <w:style w:type="paragraph" w:styleId="5">
    <w:name w:val="heading 2"/>
    <w:basedOn w:val="1"/>
    <w:next w:val="1"/>
    <w:qFormat/>
    <w:uiPriority w:val="1"/>
    <w:pPr>
      <w:spacing w:before="38"/>
      <w:ind w:left="77"/>
      <w:jc w:val="center"/>
      <w:outlineLvl w:val="1"/>
    </w:pPr>
    <w:rPr>
      <w:rFonts w:ascii="黑体" w:hAnsi="黑体" w:eastAsia="黑体" w:cs="黑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ind w:leftChars="200" w:firstLine="420" w:firstLineChars="200"/>
    </w:pPr>
    <w:rPr>
      <w:rFonts w:ascii="Times New Roman"/>
    </w:rPr>
  </w:style>
  <w:style w:type="paragraph" w:customStyle="1" w:styleId="3">
    <w:name w:val="Body Text Indent1"/>
    <w:basedOn w:val="1"/>
    <w:qFormat/>
    <w:uiPriority w:val="0"/>
    <w:pPr>
      <w:ind w:left="420"/>
    </w:pPr>
    <w:rPr>
      <w:rFonts w:ascii="仿宋_GB2312" w:eastAsia="仿宋_GB2312"/>
      <w:sz w:val="32"/>
    </w:rPr>
  </w:style>
  <w:style w:type="paragraph" w:styleId="6">
    <w:name w:val="Body Text"/>
    <w:basedOn w:val="1"/>
    <w:next w:val="1"/>
    <w:qFormat/>
    <w:uiPriority w:val="0"/>
    <w:rPr>
      <w:rFonts w:eastAsia="楷体_GB2312"/>
      <w:sz w:val="30"/>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1630</Words>
  <Characters>1733</Characters>
  <Lines>0</Lines>
  <Paragraphs>0</Paragraphs>
  <TotalTime>204</TotalTime>
  <ScaleCrop>false</ScaleCrop>
  <LinksUpToDate>false</LinksUpToDate>
  <CharactersWithSpaces>1802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2021-10-26T02:38:00Z</dcterms:created>
  <dc:creator>Admin</dc:creator>
  <cp:lastModifiedBy>Administrator</cp:lastModifiedBy>
  <cp:lastPrinted>2023-08-16T10:42:00Z</cp:lastPrinted>
  <dcterms:modified xsi:type="dcterms:W3CDTF">2024-10-25T10:08:35Z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4E2B41A2C95F4AAEB51D58B55451D557</vt:lpwstr>
  </property>
</Properties>
</file>