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sz w:val="48"/>
          <w:szCs w:val="48"/>
          <w:lang w:val="en-US" w:eastAsia="zh-CN"/>
        </w:rPr>
      </w:pPr>
      <w:bookmarkStart w:id="0" w:name="_Toc169177279"/>
      <w:bookmarkStart w:id="1" w:name="_Toc3453"/>
      <w:r>
        <w:rPr>
          <w:rFonts w:hint="eastAsia" w:ascii="宋体" w:hAnsi="宋体" w:eastAsia="宋体"/>
          <w:sz w:val="48"/>
          <w:szCs w:val="48"/>
          <w:lang w:val="en-US" w:eastAsia="zh-CN"/>
        </w:rPr>
        <w:t>新疆昌吉国家农业高新技术产业示范区</w:t>
      </w:r>
      <w:r>
        <w:rPr>
          <w:rFonts w:hint="eastAsia" w:ascii="宋体" w:hAnsi="宋体" w:eastAsia="宋体"/>
          <w:sz w:val="48"/>
          <w:szCs w:val="48"/>
          <w:lang w:val="en-US" w:eastAsia="zh-CN"/>
        </w:rPr>
        <w:t>国有资产数据治理工作报价单</w:t>
      </w:r>
    </w:p>
    <w:p>
      <w:pPr>
        <w:ind w:firstLine="482" w:firstLineChars="200"/>
        <w:rPr>
          <w:rFonts w:hint="eastAsia"/>
          <w:b/>
          <w:bCs/>
          <w:sz w:val="24"/>
          <w:szCs w:val="24"/>
          <w:lang w:val="en-US" w:eastAsia="zh-CN"/>
        </w:rPr>
      </w:pPr>
    </w:p>
    <w:p>
      <w:pPr>
        <w:rPr>
          <w:rFonts w:hint="default" w:ascii="宋体" w:hAnsi="宋体"/>
          <w:b/>
          <w:szCs w:val="21"/>
          <w:lang w:val="en-US" w:eastAsia="zh-CN"/>
        </w:rPr>
      </w:pPr>
      <w:r>
        <w:rPr>
          <w:rFonts w:hint="eastAsia"/>
          <w:b/>
          <w:bCs/>
          <w:sz w:val="30"/>
          <w:szCs w:val="30"/>
          <w:lang w:val="en-US" w:eastAsia="zh-CN"/>
        </w:rPr>
        <w:t>以下表格为本单位资产数据治理工作各阶段详细报价单：</w:t>
      </w:r>
      <w:r>
        <w:rPr>
          <w:rFonts w:hint="eastAsia" w:ascii="宋体" w:hAnsi="宋体"/>
          <w:b/>
          <w:szCs w:val="21"/>
          <w:lang w:val="en-US" w:eastAsia="zh-CN"/>
        </w:rPr>
        <w:t xml:space="preserve">                                                                  </w:t>
      </w:r>
    </w:p>
    <w:bookmarkEnd w:id="0"/>
    <w:bookmarkEnd w:id="1"/>
    <w:tbl>
      <w:tblPr>
        <w:tblStyle w:val="4"/>
        <w:tblpPr w:leftFromText="180" w:rightFromText="180" w:vertAnchor="text" w:horzAnchor="page" w:tblpXSpec="center" w:tblpY="535"/>
        <w:tblOverlap w:val="never"/>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69"/>
        <w:gridCol w:w="5417"/>
        <w:gridCol w:w="806"/>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jc w:val="center"/>
              <w:rPr>
                <w:rFonts w:hint="eastAsia" w:ascii="宋体" w:hAnsi="宋体"/>
                <w:b/>
                <w:szCs w:val="21"/>
              </w:rPr>
            </w:pPr>
            <w:r>
              <w:rPr>
                <w:rFonts w:hint="eastAsia" w:ascii="宋体" w:hAnsi="宋体"/>
                <w:b/>
                <w:szCs w:val="21"/>
              </w:rPr>
              <w:t>序号</w:t>
            </w:r>
          </w:p>
        </w:tc>
        <w:tc>
          <w:tcPr>
            <w:tcW w:w="1369" w:type="dxa"/>
            <w:vAlign w:val="center"/>
          </w:tcPr>
          <w:p>
            <w:pPr>
              <w:jc w:val="center"/>
              <w:rPr>
                <w:rFonts w:hint="eastAsia" w:ascii="宋体" w:hAnsi="宋体"/>
                <w:b/>
                <w:szCs w:val="21"/>
              </w:rPr>
            </w:pPr>
            <w:r>
              <w:rPr>
                <w:rFonts w:hint="eastAsia" w:ascii="宋体" w:hAnsi="宋体"/>
                <w:b/>
                <w:szCs w:val="21"/>
              </w:rPr>
              <w:t>服务阶段</w:t>
            </w:r>
          </w:p>
        </w:tc>
        <w:tc>
          <w:tcPr>
            <w:tcW w:w="5417" w:type="dxa"/>
            <w:vAlign w:val="center"/>
          </w:tcPr>
          <w:p>
            <w:pPr>
              <w:jc w:val="center"/>
              <w:rPr>
                <w:rFonts w:hint="eastAsia" w:ascii="宋体" w:hAnsi="宋体"/>
                <w:b/>
                <w:szCs w:val="21"/>
              </w:rPr>
            </w:pPr>
            <w:r>
              <w:rPr>
                <w:rFonts w:hint="eastAsia" w:ascii="宋体" w:hAnsi="宋体"/>
                <w:b/>
                <w:szCs w:val="21"/>
              </w:rPr>
              <w:t>服务内容</w:t>
            </w:r>
          </w:p>
        </w:tc>
        <w:tc>
          <w:tcPr>
            <w:tcW w:w="806" w:type="dxa"/>
            <w:vAlign w:val="center"/>
          </w:tcPr>
          <w:p>
            <w:pPr>
              <w:jc w:val="center"/>
              <w:rPr>
                <w:rFonts w:hint="eastAsia" w:ascii="宋体" w:hAnsi="宋体" w:eastAsia="宋体"/>
                <w:b/>
                <w:szCs w:val="21"/>
                <w:lang w:val="en-US" w:eastAsia="zh-CN"/>
              </w:rPr>
            </w:pPr>
            <w:r>
              <w:rPr>
                <w:rFonts w:hint="eastAsia" w:ascii="宋体" w:hAnsi="宋体"/>
                <w:b/>
                <w:szCs w:val="21"/>
                <w:lang w:val="en-US" w:eastAsia="zh-CN"/>
              </w:rPr>
              <w:t>报价</w:t>
            </w:r>
          </w:p>
        </w:tc>
        <w:tc>
          <w:tcPr>
            <w:tcW w:w="663" w:type="dxa"/>
            <w:vAlign w:val="center"/>
          </w:tcPr>
          <w:p>
            <w:pPr>
              <w:jc w:val="center"/>
              <w:rPr>
                <w:rFonts w:hint="default" w:ascii="宋体" w:hAnsi="宋体"/>
                <w:b/>
                <w:szCs w:val="21"/>
                <w:lang w:val="en-US" w:eastAsia="zh-CN"/>
              </w:rPr>
            </w:pPr>
            <w:r>
              <w:rPr>
                <w:rFonts w:hint="eastAsia" w:ascii="宋体" w:hAnsi="宋体"/>
                <w:b/>
                <w:szCs w:val="21"/>
                <w:lang w:val="en-US"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1</w:t>
            </w:r>
          </w:p>
        </w:tc>
        <w:tc>
          <w:tcPr>
            <w:tcW w:w="1369"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准备阶段</w:t>
            </w:r>
          </w:p>
        </w:tc>
        <w:tc>
          <w:tcPr>
            <w:tcW w:w="5417" w:type="dxa"/>
            <w:vAlign w:val="center"/>
          </w:tcPr>
          <w:p>
            <w:pPr>
              <w:jc w:val="both"/>
              <w:rPr>
                <w:rFonts w:hint="eastAsia" w:ascii="宋体" w:hAnsi="宋体"/>
                <w:szCs w:val="21"/>
              </w:rPr>
            </w:pPr>
            <w:r>
              <w:rPr>
                <w:rFonts w:hint="eastAsia" w:ascii="宋体" w:hAnsi="宋体"/>
                <w:szCs w:val="21"/>
              </w:rPr>
              <w:t>1.沟通确定单位资产清查方案。</w:t>
            </w:r>
          </w:p>
          <w:p>
            <w:pPr>
              <w:ind w:left="210" w:hanging="210" w:hangingChars="100"/>
              <w:jc w:val="both"/>
              <w:rPr>
                <w:rFonts w:hint="eastAsia" w:ascii="宋体" w:hAnsi="宋体"/>
                <w:szCs w:val="21"/>
              </w:rPr>
            </w:pPr>
            <w:r>
              <w:rPr>
                <w:rFonts w:hint="eastAsia" w:ascii="宋体" w:hAnsi="宋体"/>
                <w:szCs w:val="21"/>
              </w:rPr>
              <w:t>2.提供系统基础库模板，整理单位部门、人员、地点等基础库信息。以便单位清查时能够按照规范的部门、人员、地点开展工作。</w:t>
            </w:r>
          </w:p>
          <w:p>
            <w:pPr>
              <w:ind w:left="210" w:hanging="210" w:hangingChars="100"/>
              <w:jc w:val="both"/>
              <w:rPr>
                <w:rFonts w:hint="eastAsia" w:ascii="宋体" w:hAnsi="宋体"/>
                <w:szCs w:val="21"/>
              </w:rPr>
            </w:pPr>
            <w:r>
              <w:rPr>
                <w:rFonts w:hint="eastAsia" w:ascii="宋体" w:hAnsi="宋体"/>
                <w:szCs w:val="21"/>
              </w:rPr>
              <w:t>3.提供清查清册模板。协助单位进行内部资产清查培训。讲解各阶段开展方式及注意事项。</w:t>
            </w:r>
          </w:p>
          <w:p>
            <w:pPr>
              <w:ind w:left="420" w:leftChars="0" w:hanging="420" w:hangingChars="200"/>
              <w:jc w:val="both"/>
              <w:rPr>
                <w:rFonts w:hint="eastAsia" w:ascii="宋体" w:hAnsi="宋体" w:eastAsia="宋体" w:cs="Times New Roman"/>
                <w:kern w:val="2"/>
                <w:sz w:val="21"/>
                <w:szCs w:val="21"/>
                <w:lang w:val="en-US" w:eastAsia="zh-CN" w:bidi="ar-SA"/>
              </w:rPr>
            </w:pPr>
            <w:r>
              <w:rPr>
                <w:rFonts w:hint="eastAsia" w:ascii="宋体" w:hAnsi="宋体"/>
                <w:szCs w:val="21"/>
              </w:rPr>
              <w:t>4.整理各部门负责人及清查服务人员联系方式，建立沟通机制。</w:t>
            </w:r>
          </w:p>
        </w:tc>
        <w:tc>
          <w:tcPr>
            <w:tcW w:w="806" w:type="dxa"/>
            <w:vAlign w:val="center"/>
          </w:tcPr>
          <w:p>
            <w:pPr>
              <w:ind w:left="420" w:hanging="420" w:hangingChars="200"/>
              <w:jc w:val="center"/>
              <w:rPr>
                <w:rFonts w:hint="default" w:ascii="宋体" w:hAnsi="宋体" w:eastAsia="宋体"/>
                <w:szCs w:val="21"/>
                <w:lang w:val="en-US" w:eastAsia="zh-CN"/>
              </w:rPr>
            </w:pPr>
          </w:p>
        </w:tc>
        <w:tc>
          <w:tcPr>
            <w:tcW w:w="663" w:type="dxa"/>
            <w:vAlign w:val="center"/>
          </w:tcPr>
          <w:p>
            <w:pPr>
              <w:ind w:left="420" w:hanging="420" w:hangingChars="200"/>
              <w:jc w:val="center"/>
              <w:rPr>
                <w:rFonts w:hint="default"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2</w:t>
            </w:r>
          </w:p>
        </w:tc>
        <w:tc>
          <w:tcPr>
            <w:tcW w:w="1369" w:type="dxa"/>
            <w:vAlign w:val="center"/>
          </w:tcPr>
          <w:p>
            <w:pPr>
              <w:jc w:val="center"/>
              <w:rPr>
                <w:rFonts w:hint="eastAsia" w:ascii="宋体" w:hAnsi="宋体" w:eastAsia="宋体"/>
                <w:szCs w:val="21"/>
                <w:lang w:val="en-US" w:eastAsia="zh-CN"/>
              </w:rPr>
            </w:pPr>
            <w:r>
              <w:rPr>
                <w:rFonts w:hint="eastAsia" w:ascii="宋体" w:hAnsi="宋体"/>
                <w:szCs w:val="21"/>
                <w:lang w:eastAsia="zh-CN"/>
              </w:rPr>
              <w:t>翻账阶段</w:t>
            </w:r>
          </w:p>
        </w:tc>
        <w:tc>
          <w:tcPr>
            <w:tcW w:w="5417" w:type="dxa"/>
            <w:vAlign w:val="center"/>
          </w:tcPr>
          <w:p>
            <w:pPr>
              <w:numPr>
                <w:ilvl w:val="0"/>
                <w:numId w:val="1"/>
              </w:numPr>
              <w:ind w:left="315" w:hanging="315" w:hangingChars="150"/>
              <w:jc w:val="both"/>
              <w:rPr>
                <w:rFonts w:hint="eastAsia" w:ascii="宋体" w:hAnsi="宋体"/>
                <w:szCs w:val="21"/>
                <w:lang w:val="en-US" w:eastAsia="zh-CN"/>
              </w:rPr>
            </w:pPr>
            <w:r>
              <w:rPr>
                <w:rFonts w:hint="eastAsia" w:ascii="宋体" w:hAnsi="宋体"/>
                <w:szCs w:val="21"/>
                <w:lang w:val="en-US" w:eastAsia="zh-CN"/>
              </w:rPr>
              <w:t>根据单位提供的凭证，挨个翻阅每个单位的固定资产账务，确定截止到2024年6月底所有单位应有的固定资产明细以及总额，与财务账保持一致。</w:t>
            </w:r>
          </w:p>
          <w:p>
            <w:pPr>
              <w:numPr>
                <w:ilvl w:val="0"/>
                <w:numId w:val="1"/>
              </w:numPr>
              <w:ind w:left="315" w:leftChars="0" w:hanging="315" w:hangingChars="150"/>
              <w:jc w:val="both"/>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根据翻阅出来的账务结果，协助单位做固定资产折旧。</w:t>
            </w:r>
          </w:p>
        </w:tc>
        <w:tc>
          <w:tcPr>
            <w:tcW w:w="806" w:type="dxa"/>
            <w:vAlign w:val="center"/>
          </w:tcPr>
          <w:p>
            <w:pPr>
              <w:jc w:val="both"/>
              <w:rPr>
                <w:rFonts w:hint="default" w:ascii="宋体" w:hAnsi="宋体" w:eastAsia="宋体"/>
                <w:szCs w:val="21"/>
                <w:lang w:val="en-US" w:eastAsia="zh-CN"/>
              </w:rPr>
            </w:pPr>
          </w:p>
        </w:tc>
        <w:tc>
          <w:tcPr>
            <w:tcW w:w="663" w:type="dxa"/>
            <w:vAlign w:val="center"/>
          </w:tcPr>
          <w:p>
            <w:pPr>
              <w:ind w:left="420" w:hanging="420" w:hangingChars="200"/>
              <w:jc w:val="center"/>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3</w:t>
            </w:r>
          </w:p>
        </w:tc>
        <w:tc>
          <w:tcPr>
            <w:tcW w:w="1369"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盘点阶段</w:t>
            </w:r>
          </w:p>
        </w:tc>
        <w:tc>
          <w:tcPr>
            <w:tcW w:w="5417" w:type="dxa"/>
            <w:vAlign w:val="center"/>
          </w:tcPr>
          <w:p>
            <w:pPr>
              <w:jc w:val="both"/>
              <w:rPr>
                <w:rFonts w:hint="eastAsia" w:ascii="宋体" w:hAnsi="宋体"/>
                <w:szCs w:val="21"/>
              </w:rPr>
            </w:pPr>
            <w:r>
              <w:rPr>
                <w:rFonts w:hint="eastAsia" w:ascii="宋体" w:hAnsi="宋体"/>
                <w:szCs w:val="21"/>
              </w:rPr>
              <w:t>1. 安排专业业技术人员清查各</w:t>
            </w:r>
            <w:r>
              <w:rPr>
                <w:rFonts w:hint="eastAsia" w:ascii="宋体" w:hAnsi="宋体"/>
                <w:szCs w:val="21"/>
                <w:lang w:val="en-US" w:eastAsia="zh-CN"/>
              </w:rPr>
              <w:t>部门</w:t>
            </w:r>
            <w:r>
              <w:rPr>
                <w:rFonts w:hint="eastAsia" w:ascii="宋体" w:hAnsi="宋体"/>
                <w:szCs w:val="21"/>
              </w:rPr>
              <w:t>资产。</w:t>
            </w:r>
          </w:p>
          <w:p>
            <w:pPr>
              <w:ind w:left="315" w:hanging="315" w:hangingChars="150"/>
              <w:jc w:val="both"/>
              <w:rPr>
                <w:rFonts w:hint="eastAsia" w:ascii="宋体" w:hAnsi="宋体"/>
                <w:szCs w:val="21"/>
              </w:rPr>
            </w:pPr>
            <w:r>
              <w:rPr>
                <w:rFonts w:hint="eastAsia" w:ascii="宋体" w:hAnsi="宋体"/>
                <w:szCs w:val="21"/>
              </w:rPr>
              <w:t>2. 按工作调整盘点情况，以保证盘点工作保质按时完成。</w:t>
            </w:r>
          </w:p>
          <w:p>
            <w:pPr>
              <w:ind w:left="315" w:leftChars="0" w:hanging="315" w:hangingChars="150"/>
              <w:jc w:val="both"/>
              <w:rPr>
                <w:rFonts w:hint="eastAsia" w:ascii="宋体" w:hAnsi="宋体" w:eastAsia="宋体" w:cs="Times New Roman"/>
                <w:kern w:val="2"/>
                <w:sz w:val="21"/>
                <w:szCs w:val="21"/>
                <w:lang w:val="en-US" w:eastAsia="zh-CN" w:bidi="ar-SA"/>
              </w:rPr>
            </w:pPr>
            <w:r>
              <w:rPr>
                <w:rFonts w:hint="eastAsia" w:ascii="宋体" w:hAnsi="宋体"/>
                <w:szCs w:val="21"/>
              </w:rPr>
              <w:t>3. 将单位盘点过程中出现的问题及解决情况反馈给单位清查负责人，以便清查业务监督指导工作。</w:t>
            </w:r>
          </w:p>
        </w:tc>
        <w:tc>
          <w:tcPr>
            <w:tcW w:w="806" w:type="dxa"/>
            <w:vAlign w:val="center"/>
          </w:tcPr>
          <w:p>
            <w:pPr>
              <w:jc w:val="both"/>
              <w:rPr>
                <w:rFonts w:hint="default" w:ascii="宋体" w:hAnsi="宋体" w:eastAsia="宋体"/>
                <w:szCs w:val="21"/>
                <w:lang w:val="en-US" w:eastAsia="zh-CN"/>
              </w:rPr>
            </w:pPr>
          </w:p>
        </w:tc>
        <w:tc>
          <w:tcPr>
            <w:tcW w:w="663" w:type="dxa"/>
            <w:vAlign w:val="center"/>
          </w:tcPr>
          <w:p>
            <w:pPr>
              <w:ind w:left="315" w:hanging="315" w:hangingChars="150"/>
              <w:jc w:val="center"/>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76"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4</w:t>
            </w:r>
          </w:p>
        </w:tc>
        <w:tc>
          <w:tcPr>
            <w:tcW w:w="1369"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盘点数据整理阶段</w:t>
            </w:r>
          </w:p>
        </w:tc>
        <w:tc>
          <w:tcPr>
            <w:tcW w:w="5417" w:type="dxa"/>
            <w:vAlign w:val="center"/>
          </w:tcPr>
          <w:p>
            <w:pPr>
              <w:jc w:val="both"/>
              <w:rPr>
                <w:rFonts w:hint="eastAsia" w:ascii="宋体" w:hAnsi="宋体"/>
                <w:szCs w:val="21"/>
              </w:rPr>
            </w:pPr>
            <w:r>
              <w:rPr>
                <w:rFonts w:hint="eastAsia" w:ascii="宋体" w:hAnsi="宋体"/>
                <w:szCs w:val="21"/>
              </w:rPr>
              <w:t>1.收集各部门、存放地点的数据。</w:t>
            </w:r>
          </w:p>
          <w:p>
            <w:pPr>
              <w:jc w:val="both"/>
              <w:rPr>
                <w:rFonts w:hint="eastAsia" w:ascii="宋体" w:hAnsi="宋体"/>
                <w:szCs w:val="21"/>
              </w:rPr>
            </w:pPr>
            <w:r>
              <w:rPr>
                <w:rFonts w:hint="eastAsia" w:ascii="宋体" w:hAnsi="宋体"/>
                <w:szCs w:val="21"/>
              </w:rPr>
              <w:t>2.协助单位审核各部门电子数据是否规范完整。</w:t>
            </w:r>
          </w:p>
          <w:p>
            <w:pPr>
              <w:jc w:val="both"/>
              <w:rPr>
                <w:rFonts w:hint="eastAsia" w:ascii="宋体" w:hAnsi="宋体" w:eastAsia="宋体" w:cs="Times New Roman"/>
                <w:kern w:val="2"/>
                <w:sz w:val="20"/>
                <w:szCs w:val="20"/>
                <w:lang w:val="en-US" w:eastAsia="zh-CN" w:bidi="ar-SA"/>
              </w:rPr>
            </w:pPr>
            <w:r>
              <w:rPr>
                <w:rFonts w:hint="eastAsia" w:ascii="宋体" w:hAnsi="宋体"/>
                <w:szCs w:val="21"/>
              </w:rPr>
              <w:t>3.整理、汇总电子表格。</w:t>
            </w:r>
          </w:p>
        </w:tc>
        <w:tc>
          <w:tcPr>
            <w:tcW w:w="806" w:type="dxa"/>
            <w:vAlign w:val="center"/>
          </w:tcPr>
          <w:p>
            <w:pPr>
              <w:jc w:val="center"/>
              <w:rPr>
                <w:rFonts w:hint="default" w:ascii="宋体" w:hAnsi="宋体" w:eastAsia="宋体"/>
                <w:szCs w:val="21"/>
                <w:lang w:val="en-US" w:eastAsia="zh-CN"/>
              </w:rPr>
            </w:pPr>
          </w:p>
        </w:tc>
        <w:tc>
          <w:tcPr>
            <w:tcW w:w="663" w:type="dxa"/>
            <w:vAlign w:val="center"/>
          </w:tcPr>
          <w:p>
            <w:pPr>
              <w:jc w:val="both"/>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5</w:t>
            </w:r>
          </w:p>
        </w:tc>
        <w:tc>
          <w:tcPr>
            <w:tcW w:w="1369"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对账阶段</w:t>
            </w:r>
          </w:p>
        </w:tc>
        <w:tc>
          <w:tcPr>
            <w:tcW w:w="5417" w:type="dxa"/>
            <w:vAlign w:val="center"/>
          </w:tcPr>
          <w:p>
            <w:pPr>
              <w:jc w:val="both"/>
              <w:rPr>
                <w:rFonts w:hint="eastAsia" w:ascii="宋体" w:hAnsi="宋体"/>
                <w:szCs w:val="21"/>
              </w:rPr>
            </w:pPr>
            <w:r>
              <w:rPr>
                <w:rFonts w:hint="eastAsia" w:ascii="宋体" w:hAnsi="宋体"/>
                <w:szCs w:val="21"/>
              </w:rPr>
              <w:t>1.将实物盘点结果与财务账（或其他单位认可的账目）进行核对。并将相关数据与当年财务决算数据进行核对。</w:t>
            </w:r>
          </w:p>
          <w:p>
            <w:pPr>
              <w:jc w:val="both"/>
              <w:rPr>
                <w:rFonts w:hint="eastAsia" w:ascii="宋体" w:hAnsi="宋体" w:eastAsia="宋体" w:cs="Times New Roman"/>
                <w:kern w:val="2"/>
                <w:sz w:val="21"/>
                <w:szCs w:val="21"/>
                <w:lang w:val="en-US" w:eastAsia="zh-CN" w:bidi="ar-SA"/>
              </w:rPr>
            </w:pPr>
            <w:r>
              <w:rPr>
                <w:rFonts w:hint="eastAsia" w:ascii="宋体" w:hAnsi="宋体"/>
                <w:szCs w:val="21"/>
              </w:rPr>
              <w:t>2.根据单位对账情况，与单位清查负责人沟通确认，将各单位对账过程中出现的问题及解决情况反馈给单位，保证对账工作按时完成。</w:t>
            </w:r>
          </w:p>
        </w:tc>
        <w:tc>
          <w:tcPr>
            <w:tcW w:w="806" w:type="dxa"/>
            <w:vAlign w:val="center"/>
          </w:tcPr>
          <w:p>
            <w:pPr>
              <w:jc w:val="center"/>
              <w:rPr>
                <w:rFonts w:hint="default" w:ascii="宋体" w:hAnsi="宋体" w:eastAsia="宋体"/>
                <w:szCs w:val="21"/>
                <w:lang w:val="en-US" w:eastAsia="zh-CN"/>
              </w:rPr>
            </w:pPr>
          </w:p>
        </w:tc>
        <w:tc>
          <w:tcPr>
            <w:tcW w:w="663" w:type="dxa"/>
            <w:vAlign w:val="center"/>
          </w:tcPr>
          <w:p>
            <w:pPr>
              <w:jc w:val="both"/>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6</w:t>
            </w:r>
          </w:p>
        </w:tc>
        <w:tc>
          <w:tcPr>
            <w:tcW w:w="1369"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清查数据核对阶段</w:t>
            </w:r>
          </w:p>
        </w:tc>
        <w:tc>
          <w:tcPr>
            <w:tcW w:w="5417" w:type="dxa"/>
            <w:vAlign w:val="center"/>
          </w:tcPr>
          <w:p>
            <w:pPr>
              <w:jc w:val="both"/>
              <w:rPr>
                <w:rFonts w:hint="eastAsia" w:ascii="宋体" w:hAnsi="宋体"/>
                <w:szCs w:val="21"/>
              </w:rPr>
            </w:pPr>
            <w:r>
              <w:rPr>
                <w:rFonts w:hint="eastAsia" w:ascii="宋体" w:hAnsi="宋体"/>
                <w:szCs w:val="21"/>
              </w:rPr>
              <w:t>1.协助单位进行数据比对。</w:t>
            </w:r>
          </w:p>
          <w:p>
            <w:pPr>
              <w:jc w:val="both"/>
              <w:rPr>
                <w:rFonts w:hint="eastAsia" w:ascii="宋体" w:hAnsi="宋体" w:eastAsia="宋体" w:cs="Times New Roman"/>
                <w:kern w:val="2"/>
                <w:sz w:val="20"/>
                <w:szCs w:val="20"/>
                <w:lang w:val="en-US" w:eastAsia="zh-CN" w:bidi="ar-SA"/>
              </w:rPr>
            </w:pPr>
            <w:r>
              <w:rPr>
                <w:rFonts w:hint="eastAsia" w:ascii="宋体" w:hAnsi="宋体"/>
                <w:szCs w:val="21"/>
              </w:rPr>
              <w:t>2.将单位的比对结果反馈至单位清查负责人，以便单位开展对科室清查结果的审核工作。</w:t>
            </w:r>
          </w:p>
        </w:tc>
        <w:tc>
          <w:tcPr>
            <w:tcW w:w="806" w:type="dxa"/>
            <w:vAlign w:val="center"/>
          </w:tcPr>
          <w:p>
            <w:pPr>
              <w:jc w:val="center"/>
              <w:rPr>
                <w:rFonts w:hint="default" w:ascii="宋体" w:hAnsi="宋体" w:eastAsia="宋体"/>
                <w:szCs w:val="21"/>
                <w:lang w:val="en-US" w:eastAsia="zh-CN"/>
              </w:rPr>
            </w:pPr>
          </w:p>
        </w:tc>
        <w:tc>
          <w:tcPr>
            <w:tcW w:w="663" w:type="dxa"/>
            <w:vAlign w:val="center"/>
          </w:tcPr>
          <w:p>
            <w:pPr>
              <w:jc w:val="center"/>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jc w:val="center"/>
        </w:trPr>
        <w:tc>
          <w:tcPr>
            <w:tcW w:w="676"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7</w:t>
            </w:r>
          </w:p>
        </w:tc>
        <w:tc>
          <w:tcPr>
            <w:tcW w:w="1369"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数据处理阶段</w:t>
            </w:r>
          </w:p>
        </w:tc>
        <w:tc>
          <w:tcPr>
            <w:tcW w:w="5417" w:type="dxa"/>
            <w:vAlign w:val="center"/>
          </w:tcPr>
          <w:p>
            <w:pPr>
              <w:jc w:val="both"/>
              <w:rPr>
                <w:rFonts w:hint="eastAsia" w:ascii="宋体" w:hAnsi="宋体"/>
                <w:szCs w:val="21"/>
              </w:rPr>
            </w:pPr>
            <w:r>
              <w:rPr>
                <w:rFonts w:hint="eastAsia" w:ascii="宋体" w:hAnsi="宋体"/>
                <w:szCs w:val="21"/>
              </w:rPr>
              <w:t>1.对于在账但未录入系统的资产数据进行逐条逐笔按照规范的增加流程录入。</w:t>
            </w:r>
          </w:p>
          <w:p>
            <w:pPr>
              <w:jc w:val="both"/>
              <w:rPr>
                <w:rFonts w:hint="eastAsia" w:ascii="宋体" w:hAnsi="宋体"/>
                <w:szCs w:val="21"/>
              </w:rPr>
            </w:pPr>
            <w:r>
              <w:rPr>
                <w:rFonts w:hint="eastAsia" w:ascii="宋体" w:hAnsi="宋体"/>
                <w:szCs w:val="21"/>
              </w:rPr>
              <w:t>2.对于信息变更的资产信息，在系统中逐条逐笔根据规范的变动流程进行变更调整。</w:t>
            </w:r>
          </w:p>
          <w:p>
            <w:pPr>
              <w:jc w:val="both"/>
              <w:rPr>
                <w:rFonts w:hint="eastAsia" w:ascii="宋体" w:hAnsi="宋体"/>
                <w:szCs w:val="21"/>
              </w:rPr>
            </w:pPr>
            <w:r>
              <w:rPr>
                <w:rFonts w:hint="eastAsia" w:ascii="宋体" w:hAnsi="宋体"/>
                <w:szCs w:val="21"/>
              </w:rPr>
              <w:t>3.对于账务已处置但系统仍存在的资产，按照规范的处置流程进行逐条逐笔处理。</w:t>
            </w:r>
          </w:p>
          <w:p>
            <w:pPr>
              <w:jc w:val="both"/>
              <w:rPr>
                <w:rFonts w:hint="eastAsia" w:ascii="宋体" w:hAnsi="宋体"/>
                <w:szCs w:val="21"/>
              </w:rPr>
            </w:pPr>
            <w:r>
              <w:rPr>
                <w:rFonts w:hint="eastAsia" w:ascii="宋体" w:hAnsi="宋体"/>
                <w:szCs w:val="21"/>
              </w:rPr>
              <w:t>4.对于系统内资产信息不完善不规范的信息，逐条逐笔进行撤销修改。</w:t>
            </w:r>
          </w:p>
          <w:p>
            <w:pPr>
              <w:jc w:val="both"/>
              <w:rPr>
                <w:rFonts w:hint="eastAsia" w:ascii="宋体" w:hAnsi="宋体"/>
                <w:szCs w:val="21"/>
              </w:rPr>
            </w:pPr>
            <w:r>
              <w:rPr>
                <w:rFonts w:hint="eastAsia" w:ascii="宋体" w:hAnsi="宋体"/>
                <w:szCs w:val="21"/>
              </w:rPr>
              <w:t>5.对于系统内成批录入的设备等资产信息，按照一物一卡的管理原则，逐条逐笔进行撤销后拆分。</w:t>
            </w:r>
          </w:p>
          <w:p>
            <w:pPr>
              <w:jc w:val="both"/>
              <w:rPr>
                <w:rFonts w:hint="eastAsia" w:ascii="宋体" w:hAnsi="宋体" w:eastAsia="宋体" w:cs="Times New Roman"/>
                <w:kern w:val="2"/>
                <w:sz w:val="21"/>
                <w:szCs w:val="21"/>
                <w:lang w:val="en-US" w:eastAsia="zh-CN" w:bidi="ar-SA"/>
              </w:rPr>
            </w:pPr>
            <w:r>
              <w:rPr>
                <w:rFonts w:hint="eastAsia" w:ascii="宋体" w:hAnsi="宋体"/>
                <w:szCs w:val="21"/>
              </w:rPr>
              <w:t>6.检查处理后的数据是否与</w:t>
            </w:r>
            <w:r>
              <w:rPr>
                <w:rFonts w:hint="eastAsia" w:ascii="宋体" w:hAnsi="宋体"/>
                <w:szCs w:val="21"/>
                <w:lang w:val="en-US" w:eastAsia="zh-CN"/>
              </w:rPr>
              <w:t>主管部门</w:t>
            </w:r>
            <w:r>
              <w:rPr>
                <w:rFonts w:hint="eastAsia" w:ascii="宋体" w:hAnsi="宋体"/>
                <w:szCs w:val="21"/>
              </w:rPr>
              <w:t>批复的处理意见一致。</w:t>
            </w:r>
          </w:p>
        </w:tc>
        <w:tc>
          <w:tcPr>
            <w:tcW w:w="806" w:type="dxa"/>
            <w:vAlign w:val="center"/>
          </w:tcPr>
          <w:p>
            <w:pPr>
              <w:jc w:val="center"/>
              <w:rPr>
                <w:rFonts w:hint="default" w:ascii="宋体" w:hAnsi="宋体" w:eastAsia="宋体"/>
                <w:szCs w:val="21"/>
                <w:highlight w:val="none"/>
                <w:lang w:val="en-US" w:eastAsia="zh-CN"/>
              </w:rPr>
            </w:pPr>
          </w:p>
        </w:tc>
        <w:tc>
          <w:tcPr>
            <w:tcW w:w="663" w:type="dxa"/>
            <w:vAlign w:val="center"/>
          </w:tcPr>
          <w:p>
            <w:pPr>
              <w:jc w:val="center"/>
              <w:rPr>
                <w:rFonts w:hint="default" w:ascii="宋体"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8</w:t>
            </w:r>
          </w:p>
        </w:tc>
        <w:tc>
          <w:tcPr>
            <w:tcW w:w="1369"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出具报告</w:t>
            </w:r>
          </w:p>
        </w:tc>
        <w:tc>
          <w:tcPr>
            <w:tcW w:w="5417" w:type="dxa"/>
            <w:vAlign w:val="center"/>
          </w:tcPr>
          <w:p>
            <w:pPr>
              <w:jc w:val="both"/>
              <w:rPr>
                <w:rFonts w:hint="eastAsia" w:ascii="宋体" w:hAnsi="宋体" w:eastAsia="宋体"/>
                <w:szCs w:val="21"/>
                <w:lang w:val="en-US" w:eastAsia="zh-CN"/>
              </w:rPr>
            </w:pPr>
            <w:r>
              <w:rPr>
                <w:rFonts w:hint="eastAsia" w:ascii="宋体" w:hAnsi="宋体"/>
                <w:szCs w:val="21"/>
              </w:rPr>
              <w:t>出具清查报告</w:t>
            </w:r>
            <w:r>
              <w:rPr>
                <w:rFonts w:hint="eastAsia" w:ascii="宋体" w:hAnsi="宋体"/>
                <w:szCs w:val="21"/>
                <w:lang w:eastAsia="zh-CN"/>
              </w:rPr>
              <w:t>。</w:t>
            </w:r>
          </w:p>
        </w:tc>
        <w:tc>
          <w:tcPr>
            <w:tcW w:w="806" w:type="dxa"/>
            <w:vAlign w:val="center"/>
          </w:tcPr>
          <w:p>
            <w:pPr>
              <w:jc w:val="center"/>
              <w:rPr>
                <w:rFonts w:hint="default" w:ascii="宋体" w:hAnsi="宋体"/>
                <w:szCs w:val="21"/>
                <w:lang w:val="en-US" w:eastAsia="zh-CN"/>
              </w:rPr>
            </w:pPr>
          </w:p>
        </w:tc>
        <w:tc>
          <w:tcPr>
            <w:tcW w:w="663" w:type="dxa"/>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9</w:t>
            </w:r>
          </w:p>
        </w:tc>
        <w:tc>
          <w:tcPr>
            <w:tcW w:w="1369" w:type="dxa"/>
            <w:vAlign w:val="center"/>
          </w:tcPr>
          <w:p>
            <w:pPr>
              <w:jc w:val="center"/>
              <w:rPr>
                <w:rFonts w:hint="eastAsia" w:ascii="宋体" w:hAnsi="宋体"/>
                <w:szCs w:val="21"/>
              </w:rPr>
            </w:pPr>
            <w:r>
              <w:rPr>
                <w:rFonts w:hint="eastAsia" w:ascii="宋体" w:hAnsi="宋体"/>
                <w:szCs w:val="21"/>
              </w:rPr>
              <w:t>打印、粘贴条码阶段</w:t>
            </w:r>
          </w:p>
        </w:tc>
        <w:tc>
          <w:tcPr>
            <w:tcW w:w="5417" w:type="dxa"/>
            <w:vAlign w:val="center"/>
          </w:tcPr>
          <w:p>
            <w:pPr>
              <w:numPr>
                <w:ilvl w:val="0"/>
                <w:numId w:val="2"/>
              </w:numPr>
              <w:jc w:val="both"/>
              <w:rPr>
                <w:rFonts w:hint="eastAsia" w:ascii="宋体" w:hAnsi="宋体"/>
                <w:szCs w:val="21"/>
                <w:lang w:eastAsia="zh-CN"/>
              </w:rPr>
            </w:pPr>
            <w:r>
              <w:rPr>
                <w:rFonts w:hint="eastAsia" w:ascii="宋体" w:hAnsi="宋体"/>
                <w:szCs w:val="21"/>
              </w:rPr>
              <w:t>工程师安装调试条码打印机，打印资产条码，按照与单位协商好的信息项打印固定资产条码</w:t>
            </w:r>
            <w:r>
              <w:rPr>
                <w:rFonts w:hint="eastAsia" w:ascii="宋体" w:hAnsi="宋体"/>
                <w:szCs w:val="21"/>
                <w:lang w:eastAsia="zh-CN"/>
              </w:rPr>
              <w:t>。</w:t>
            </w:r>
          </w:p>
          <w:p>
            <w:pPr>
              <w:numPr>
                <w:ilvl w:val="0"/>
                <w:numId w:val="2"/>
              </w:numPr>
              <w:jc w:val="both"/>
              <w:rPr>
                <w:rFonts w:hint="eastAsia" w:ascii="宋体" w:hAnsi="宋体"/>
                <w:szCs w:val="21"/>
              </w:rPr>
            </w:pPr>
            <w:r>
              <w:rPr>
                <w:rFonts w:hint="eastAsia" w:ascii="宋体" w:hAnsi="宋体"/>
                <w:szCs w:val="21"/>
                <w:lang w:eastAsia="zh-CN"/>
              </w:rPr>
              <w:t>协助单位</w:t>
            </w:r>
            <w:r>
              <w:rPr>
                <w:rFonts w:hint="eastAsia" w:ascii="宋体" w:hAnsi="宋体"/>
                <w:szCs w:val="21"/>
              </w:rPr>
              <w:t>按照相关的粘贴要求粘贴条码，条码粘贴的要整齐、美观。</w:t>
            </w:r>
          </w:p>
        </w:tc>
        <w:tc>
          <w:tcPr>
            <w:tcW w:w="806" w:type="dxa"/>
            <w:vAlign w:val="center"/>
          </w:tcPr>
          <w:p>
            <w:pPr>
              <w:numPr>
                <w:ilvl w:val="0"/>
                <w:numId w:val="0"/>
              </w:numPr>
              <w:jc w:val="center"/>
              <w:rPr>
                <w:rFonts w:hint="default" w:ascii="宋体" w:hAnsi="宋体" w:eastAsia="宋体"/>
                <w:szCs w:val="21"/>
                <w:lang w:val="en-US" w:eastAsia="zh-CN"/>
              </w:rPr>
            </w:pPr>
          </w:p>
        </w:tc>
        <w:tc>
          <w:tcPr>
            <w:tcW w:w="663" w:type="dxa"/>
            <w:vAlign w:val="center"/>
          </w:tcPr>
          <w:p>
            <w:pPr>
              <w:numPr>
                <w:ilvl w:val="0"/>
                <w:numId w:val="0"/>
              </w:numPr>
              <w:jc w:val="both"/>
              <w:rPr>
                <w:rFonts w:hint="default"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gridSpan w:val="2"/>
            <w:vAlign w:val="center"/>
          </w:tcPr>
          <w:p>
            <w:pPr>
              <w:jc w:val="center"/>
              <w:rPr>
                <w:rFonts w:hint="eastAsia" w:ascii="宋体" w:hAnsi="宋体" w:eastAsia="宋体"/>
                <w:szCs w:val="21"/>
                <w:lang w:val="en-US" w:eastAsia="zh-CN"/>
              </w:rPr>
            </w:pPr>
            <w:bookmarkStart w:id="2" w:name="_Toc20263"/>
            <w:bookmarkStart w:id="3" w:name="_Toc94179525"/>
            <w:r>
              <w:rPr>
                <w:rFonts w:hint="eastAsia" w:ascii="宋体" w:hAnsi="宋体"/>
                <w:szCs w:val="21"/>
                <w:lang w:val="en-US" w:eastAsia="zh-CN"/>
              </w:rPr>
              <w:t>合计</w:t>
            </w:r>
          </w:p>
        </w:tc>
        <w:tc>
          <w:tcPr>
            <w:tcW w:w="6886" w:type="dxa"/>
            <w:gridSpan w:val="3"/>
            <w:vAlign w:val="center"/>
          </w:tcPr>
          <w:p>
            <w:pPr>
              <w:jc w:val="center"/>
              <w:rPr>
                <w:rFonts w:hint="default" w:ascii="宋体" w:hAnsi="宋体"/>
                <w:szCs w:val="21"/>
                <w:lang w:val="en-US" w:eastAsia="zh-CN"/>
              </w:rPr>
            </w:pPr>
          </w:p>
        </w:tc>
      </w:tr>
      <w:bookmarkEnd w:id="2"/>
      <w:bookmarkEnd w:id="3"/>
    </w:tbl>
    <w:p>
      <w:pPr>
        <w:rPr>
          <w:rFonts w:hint="eastAsia" w:ascii="宋体" w:hAnsi="宋体"/>
          <w:szCs w:val="21"/>
          <w:highlight w:val="none"/>
        </w:rPr>
      </w:pPr>
      <w:r>
        <w:rPr>
          <w:rFonts w:hint="eastAsia" w:ascii="宋体" w:hAnsi="宋体"/>
          <w:szCs w:val="21"/>
          <w:highlight w:val="none"/>
        </w:rPr>
        <w:br w:type="page"/>
      </w:r>
      <w:bookmarkStart w:id="4" w:name="_GoBack"/>
      <w:bookmarkEnd w:id="4"/>
    </w:p>
    <w:tbl>
      <w:tblPr>
        <w:tblStyle w:val="4"/>
        <w:tblpPr w:leftFromText="180" w:rightFromText="180" w:vertAnchor="page" w:horzAnchor="page" w:tblpXSpec="center" w:tblpY="1829"/>
        <w:tblOverlap w:val="never"/>
        <w:tblW w:w="9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9"/>
        <w:gridCol w:w="1809"/>
        <w:gridCol w:w="1257"/>
        <w:gridCol w:w="783"/>
        <w:gridCol w:w="1333"/>
        <w:gridCol w:w="2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1439" w:type="dxa"/>
            <w:noWrap w:val="0"/>
            <w:vAlign w:val="top"/>
          </w:tcPr>
          <w:p>
            <w:pPr>
              <w:jc w:val="center"/>
              <w:rPr>
                <w:rFonts w:hint="eastAsia" w:ascii="仿宋" w:hAnsi="仿宋" w:eastAsia="仿宋" w:cs="仿宋"/>
                <w:b/>
                <w:sz w:val="24"/>
              </w:rPr>
            </w:pPr>
            <w:r>
              <w:rPr>
                <w:rFonts w:hint="eastAsia" w:ascii="仿宋" w:hAnsi="仿宋" w:eastAsia="仿宋" w:cs="仿宋"/>
                <w:b/>
                <w:color w:val="000000"/>
                <w:sz w:val="24"/>
              </w:rPr>
              <w:t>产品名称</w:t>
            </w:r>
          </w:p>
        </w:tc>
        <w:tc>
          <w:tcPr>
            <w:tcW w:w="1809" w:type="dxa"/>
            <w:noWrap w:val="0"/>
            <w:vAlign w:val="top"/>
          </w:tcPr>
          <w:p>
            <w:pPr>
              <w:jc w:val="center"/>
              <w:rPr>
                <w:rFonts w:hint="eastAsia" w:ascii="仿宋" w:hAnsi="仿宋" w:eastAsia="仿宋" w:cs="仿宋"/>
                <w:b/>
                <w:sz w:val="24"/>
              </w:rPr>
            </w:pPr>
            <w:r>
              <w:rPr>
                <w:rFonts w:hint="eastAsia" w:ascii="仿宋" w:hAnsi="仿宋" w:eastAsia="仿宋" w:cs="仿宋"/>
                <w:b/>
                <w:color w:val="000000"/>
                <w:sz w:val="24"/>
              </w:rPr>
              <w:t>规格型号</w:t>
            </w:r>
          </w:p>
        </w:tc>
        <w:tc>
          <w:tcPr>
            <w:tcW w:w="1257" w:type="dxa"/>
            <w:noWrap w:val="0"/>
            <w:vAlign w:val="top"/>
          </w:tcPr>
          <w:p>
            <w:pPr>
              <w:jc w:val="center"/>
              <w:rPr>
                <w:rFonts w:hint="eastAsia" w:ascii="仿宋" w:hAnsi="仿宋" w:eastAsia="仿宋" w:cs="仿宋"/>
                <w:b/>
                <w:sz w:val="24"/>
                <w:lang w:eastAsia="zh-CN"/>
              </w:rPr>
            </w:pPr>
            <w:r>
              <w:rPr>
                <w:rFonts w:hint="eastAsia" w:ascii="仿宋" w:hAnsi="仿宋" w:eastAsia="仿宋" w:cs="仿宋"/>
                <w:b/>
                <w:sz w:val="24"/>
                <w:lang w:val="en-US" w:eastAsia="zh-CN"/>
              </w:rPr>
              <w:t>单价</w:t>
            </w:r>
          </w:p>
        </w:tc>
        <w:tc>
          <w:tcPr>
            <w:tcW w:w="783" w:type="dxa"/>
            <w:noWrap w:val="0"/>
            <w:vAlign w:val="top"/>
          </w:tcPr>
          <w:p>
            <w:pPr>
              <w:jc w:val="center"/>
              <w:rPr>
                <w:rFonts w:hint="default" w:ascii="仿宋" w:hAnsi="仿宋" w:eastAsia="仿宋" w:cs="仿宋"/>
                <w:b/>
                <w:sz w:val="24"/>
                <w:lang w:val="en-US" w:eastAsia="zh-CN"/>
              </w:rPr>
            </w:pPr>
            <w:r>
              <w:rPr>
                <w:rFonts w:hint="eastAsia" w:ascii="仿宋" w:hAnsi="仿宋" w:eastAsia="仿宋" w:cs="仿宋"/>
                <w:b/>
                <w:sz w:val="24"/>
                <w:lang w:val="en-US" w:eastAsia="zh-CN"/>
              </w:rPr>
              <w:t>数量</w:t>
            </w:r>
          </w:p>
        </w:tc>
        <w:tc>
          <w:tcPr>
            <w:tcW w:w="1333" w:type="dxa"/>
            <w:noWrap w:val="0"/>
            <w:vAlign w:val="top"/>
          </w:tcPr>
          <w:p>
            <w:pPr>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总价</w:t>
            </w:r>
          </w:p>
        </w:tc>
        <w:tc>
          <w:tcPr>
            <w:tcW w:w="2900" w:type="dxa"/>
            <w:noWrap w:val="0"/>
            <w:vAlign w:val="top"/>
          </w:tcPr>
          <w:p>
            <w:pPr>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439"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On-Metal</w:t>
            </w:r>
            <w:r>
              <w:rPr>
                <w:rFonts w:hint="eastAsia" w:ascii="仿宋" w:hAnsi="仿宋" w:eastAsia="仿宋" w:cs="仿宋"/>
                <w:b/>
                <w:bCs/>
                <w:sz w:val="24"/>
                <w:lang w:val="en-US" w:eastAsia="zh-CN"/>
              </w:rPr>
              <w:t>条码</w:t>
            </w:r>
            <w:r>
              <w:rPr>
                <w:rFonts w:hint="eastAsia" w:ascii="仿宋" w:hAnsi="仿宋" w:eastAsia="仿宋" w:cs="仿宋"/>
                <w:b/>
                <w:bCs/>
                <w:sz w:val="24"/>
              </w:rPr>
              <w:t>（抗金属）</w:t>
            </w:r>
          </w:p>
        </w:tc>
        <w:tc>
          <w:tcPr>
            <w:tcW w:w="1809" w:type="dxa"/>
            <w:noWrap w:val="0"/>
            <w:vAlign w:val="center"/>
          </w:tcPr>
          <w:p>
            <w:pPr>
              <w:jc w:val="center"/>
              <w:rPr>
                <w:rFonts w:hint="eastAsia" w:ascii="仿宋" w:hAnsi="仿宋" w:eastAsia="仿宋" w:cs="仿宋"/>
                <w:sz w:val="24"/>
              </w:rPr>
            </w:pPr>
            <w:r>
              <w:rPr>
                <w:rFonts w:hint="eastAsia" w:ascii="仿宋" w:hAnsi="仿宋" w:eastAsia="仿宋" w:cs="仿宋"/>
                <w:sz w:val="24"/>
              </w:rPr>
              <w:t>识别距离6米</w:t>
            </w:r>
          </w:p>
        </w:tc>
        <w:tc>
          <w:tcPr>
            <w:tcW w:w="1257" w:type="dxa"/>
            <w:noWrap w:val="0"/>
            <w:vAlign w:val="center"/>
          </w:tcPr>
          <w:p>
            <w:pPr>
              <w:jc w:val="center"/>
              <w:rPr>
                <w:rFonts w:hint="eastAsia" w:ascii="仿宋" w:hAnsi="仿宋" w:eastAsia="仿宋" w:cs="仿宋"/>
                <w:sz w:val="24"/>
                <w:lang w:val="en-US" w:eastAsia="zh-CN"/>
              </w:rPr>
            </w:pPr>
          </w:p>
        </w:tc>
        <w:tc>
          <w:tcPr>
            <w:tcW w:w="783" w:type="dxa"/>
            <w:noWrap w:val="0"/>
            <w:vAlign w:val="top"/>
          </w:tcPr>
          <w:p>
            <w:pPr>
              <w:jc w:val="center"/>
              <w:rPr>
                <w:rFonts w:hint="eastAsia" w:ascii="仿宋" w:hAnsi="仿宋" w:eastAsia="仿宋" w:cs="仿宋"/>
                <w:b w:val="0"/>
                <w:bCs w:val="0"/>
                <w:sz w:val="24"/>
                <w:lang w:val="en-US" w:eastAsia="zh-CN"/>
              </w:rPr>
            </w:pPr>
          </w:p>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1333" w:type="dxa"/>
            <w:noWrap w:val="0"/>
            <w:vAlign w:val="center"/>
          </w:tcPr>
          <w:p>
            <w:pPr>
              <w:jc w:val="center"/>
              <w:rPr>
                <w:rFonts w:hint="eastAsia" w:ascii="仿宋" w:hAnsi="仿宋" w:eastAsia="仿宋" w:cs="仿宋"/>
                <w:kern w:val="2"/>
                <w:sz w:val="24"/>
                <w:szCs w:val="24"/>
                <w:lang w:val="en-US" w:eastAsia="zh-CN" w:bidi="ar-SA"/>
              </w:rPr>
            </w:pPr>
          </w:p>
        </w:tc>
        <w:tc>
          <w:tcPr>
            <w:tcW w:w="2900" w:type="dxa"/>
            <w:noWrap w:val="0"/>
            <w:vAlign w:val="top"/>
          </w:tcPr>
          <w:p>
            <w:pPr>
              <w:jc w:val="left"/>
              <w:rPr>
                <w:rFonts w:hint="eastAsia" w:ascii="仿宋" w:hAnsi="仿宋" w:eastAsia="仿宋" w:cs="仿宋"/>
                <w:b w:val="0"/>
                <w:bCs/>
                <w:color w:val="000000"/>
                <w:sz w:val="24"/>
                <w:lang w:eastAsia="zh-CN"/>
              </w:rPr>
            </w:pPr>
            <w:r>
              <w:rPr>
                <w:rFonts w:hint="eastAsia" w:ascii="仿宋" w:hAnsi="仿宋" w:eastAsia="仿宋" w:cs="仿宋"/>
                <w:b w:val="0"/>
                <w:bCs/>
                <w:color w:val="000000"/>
                <w:sz w:val="24"/>
                <w:lang w:eastAsia="zh-CN"/>
              </w:rPr>
              <w:t>贴在金属</w:t>
            </w:r>
            <w:r>
              <w:rPr>
                <w:rFonts w:hint="eastAsia" w:ascii="仿宋" w:hAnsi="仿宋" w:eastAsia="仿宋" w:cs="仿宋"/>
                <w:b w:val="0"/>
                <w:bCs/>
                <w:color w:val="000000"/>
                <w:sz w:val="24"/>
                <w:lang w:val="en-US" w:eastAsia="zh-CN"/>
              </w:rPr>
              <w:t>材质资产</w:t>
            </w:r>
            <w:r>
              <w:rPr>
                <w:rFonts w:hint="eastAsia" w:ascii="仿宋" w:hAnsi="仿宋" w:eastAsia="仿宋" w:cs="仿宋"/>
                <w:b w:val="0"/>
                <w:bCs/>
                <w:color w:val="000000"/>
                <w:sz w:val="24"/>
                <w:lang w:eastAsia="zh-CN"/>
              </w:rPr>
              <w:t>上使用</w:t>
            </w:r>
          </w:p>
          <w:p>
            <w:pPr>
              <w:jc w:val="left"/>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每卷可以打印250张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1439"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Off-Metal</w:t>
            </w:r>
            <w:r>
              <w:rPr>
                <w:rFonts w:hint="eastAsia" w:ascii="仿宋" w:hAnsi="仿宋" w:eastAsia="仿宋" w:cs="仿宋"/>
                <w:b/>
                <w:bCs/>
                <w:sz w:val="24"/>
                <w:lang w:val="en-US" w:eastAsia="zh-CN"/>
              </w:rPr>
              <w:t>条码</w:t>
            </w:r>
            <w:r>
              <w:rPr>
                <w:rFonts w:hint="eastAsia" w:ascii="仿宋" w:hAnsi="仿宋" w:eastAsia="仿宋" w:cs="仿宋"/>
                <w:b/>
                <w:bCs/>
                <w:sz w:val="24"/>
              </w:rPr>
              <w:t>（非抗金属）</w:t>
            </w:r>
          </w:p>
        </w:tc>
        <w:tc>
          <w:tcPr>
            <w:tcW w:w="1809" w:type="dxa"/>
            <w:noWrap w:val="0"/>
            <w:vAlign w:val="center"/>
          </w:tcPr>
          <w:p>
            <w:pPr>
              <w:jc w:val="center"/>
              <w:rPr>
                <w:rFonts w:hint="eastAsia" w:ascii="仿宋" w:hAnsi="仿宋" w:eastAsia="仿宋" w:cs="仿宋"/>
                <w:sz w:val="24"/>
              </w:rPr>
            </w:pPr>
            <w:r>
              <w:rPr>
                <w:rFonts w:hint="eastAsia" w:ascii="仿宋" w:hAnsi="仿宋" w:eastAsia="仿宋" w:cs="仿宋"/>
                <w:sz w:val="24"/>
              </w:rPr>
              <w:t>识别距离6米</w:t>
            </w:r>
          </w:p>
        </w:tc>
        <w:tc>
          <w:tcPr>
            <w:tcW w:w="1257" w:type="dxa"/>
            <w:noWrap w:val="0"/>
            <w:vAlign w:val="center"/>
          </w:tcPr>
          <w:p>
            <w:pPr>
              <w:jc w:val="center"/>
              <w:rPr>
                <w:rFonts w:hint="default" w:ascii="仿宋" w:hAnsi="仿宋" w:eastAsia="仿宋" w:cs="仿宋"/>
                <w:sz w:val="24"/>
                <w:lang w:val="en-US"/>
              </w:rPr>
            </w:pPr>
          </w:p>
        </w:tc>
        <w:tc>
          <w:tcPr>
            <w:tcW w:w="783" w:type="dxa"/>
            <w:noWrap w:val="0"/>
            <w:vAlign w:val="top"/>
          </w:tcPr>
          <w:p>
            <w:pPr>
              <w:jc w:val="center"/>
              <w:rPr>
                <w:rFonts w:hint="eastAsia" w:ascii="仿宋" w:hAnsi="仿宋" w:eastAsia="仿宋" w:cs="仿宋"/>
                <w:b w:val="0"/>
                <w:bCs w:val="0"/>
                <w:sz w:val="24"/>
                <w:lang w:val="en-US" w:eastAsia="zh-CN"/>
              </w:rPr>
            </w:pPr>
          </w:p>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1333" w:type="dxa"/>
            <w:noWrap w:val="0"/>
            <w:vAlign w:val="center"/>
          </w:tcPr>
          <w:p>
            <w:pPr>
              <w:jc w:val="center"/>
              <w:rPr>
                <w:rFonts w:hint="eastAsia" w:ascii="仿宋" w:hAnsi="仿宋" w:eastAsia="仿宋" w:cs="仿宋"/>
                <w:kern w:val="2"/>
                <w:sz w:val="24"/>
                <w:szCs w:val="24"/>
                <w:lang w:val="en-US" w:eastAsia="zh-CN" w:bidi="ar-SA"/>
              </w:rPr>
            </w:pPr>
          </w:p>
        </w:tc>
        <w:tc>
          <w:tcPr>
            <w:tcW w:w="2900" w:type="dxa"/>
            <w:noWrap w:val="0"/>
            <w:vAlign w:val="top"/>
          </w:tcPr>
          <w:p>
            <w:pPr>
              <w:jc w:val="left"/>
              <w:rPr>
                <w:rFonts w:hint="eastAsia" w:ascii="仿宋" w:hAnsi="仿宋" w:eastAsia="仿宋" w:cs="仿宋"/>
                <w:b w:val="0"/>
                <w:bCs/>
                <w:color w:val="000000"/>
                <w:sz w:val="24"/>
                <w:lang w:eastAsia="zh-CN"/>
              </w:rPr>
            </w:pPr>
            <w:r>
              <w:rPr>
                <w:rFonts w:hint="eastAsia" w:ascii="仿宋" w:hAnsi="仿宋" w:eastAsia="仿宋" w:cs="仿宋"/>
                <w:b w:val="0"/>
                <w:bCs/>
                <w:color w:val="000000"/>
                <w:sz w:val="24"/>
                <w:lang w:eastAsia="zh-CN"/>
              </w:rPr>
              <w:t>贴在</w:t>
            </w:r>
            <w:r>
              <w:rPr>
                <w:rFonts w:hint="eastAsia" w:ascii="仿宋" w:hAnsi="仿宋" w:eastAsia="仿宋" w:cs="仿宋"/>
                <w:b w:val="0"/>
                <w:bCs/>
                <w:color w:val="000000"/>
                <w:sz w:val="24"/>
                <w:lang w:val="en-US" w:eastAsia="zh-CN"/>
              </w:rPr>
              <w:t>非</w:t>
            </w:r>
            <w:r>
              <w:rPr>
                <w:rFonts w:hint="eastAsia" w:ascii="仿宋" w:hAnsi="仿宋" w:eastAsia="仿宋" w:cs="仿宋"/>
                <w:b w:val="0"/>
                <w:bCs/>
                <w:color w:val="000000"/>
                <w:sz w:val="24"/>
                <w:lang w:eastAsia="zh-CN"/>
              </w:rPr>
              <w:t>金属</w:t>
            </w:r>
            <w:r>
              <w:rPr>
                <w:rFonts w:hint="eastAsia" w:ascii="仿宋" w:hAnsi="仿宋" w:eastAsia="仿宋" w:cs="仿宋"/>
                <w:b w:val="0"/>
                <w:bCs/>
                <w:color w:val="000000"/>
                <w:sz w:val="24"/>
                <w:lang w:val="en-US" w:eastAsia="zh-CN"/>
              </w:rPr>
              <w:t>材质资产</w:t>
            </w:r>
            <w:r>
              <w:rPr>
                <w:rFonts w:hint="eastAsia" w:ascii="仿宋" w:hAnsi="仿宋" w:eastAsia="仿宋" w:cs="仿宋"/>
                <w:b w:val="0"/>
                <w:bCs/>
                <w:color w:val="000000"/>
                <w:sz w:val="24"/>
                <w:lang w:eastAsia="zh-CN"/>
              </w:rPr>
              <w:t>上</w:t>
            </w:r>
            <w:r>
              <w:rPr>
                <w:rFonts w:hint="eastAsia" w:ascii="仿宋" w:hAnsi="仿宋" w:eastAsia="仿宋" w:cs="仿宋"/>
                <w:b w:val="0"/>
                <w:bCs/>
                <w:color w:val="000000"/>
                <w:sz w:val="24"/>
                <w:lang w:val="en-US" w:eastAsia="zh-CN"/>
              </w:rPr>
              <w:t>使</w:t>
            </w:r>
            <w:r>
              <w:rPr>
                <w:rFonts w:hint="eastAsia" w:ascii="仿宋" w:hAnsi="仿宋" w:eastAsia="仿宋" w:cs="仿宋"/>
                <w:b w:val="0"/>
                <w:bCs/>
                <w:color w:val="000000"/>
                <w:sz w:val="24"/>
                <w:lang w:eastAsia="zh-CN"/>
              </w:rPr>
              <w:t>用</w:t>
            </w:r>
          </w:p>
          <w:p>
            <w:pPr>
              <w:jc w:val="left"/>
              <w:rPr>
                <w:rFonts w:hint="eastAsia" w:ascii="仿宋" w:hAnsi="仿宋" w:eastAsia="仿宋" w:cs="仿宋"/>
                <w:b w:val="0"/>
                <w:bCs/>
                <w:sz w:val="24"/>
              </w:rPr>
            </w:pPr>
            <w:r>
              <w:rPr>
                <w:rFonts w:hint="eastAsia" w:ascii="仿宋" w:hAnsi="仿宋" w:eastAsia="仿宋" w:cs="仿宋"/>
                <w:b w:val="0"/>
                <w:bCs/>
                <w:sz w:val="24"/>
                <w:lang w:val="en-US" w:eastAsia="zh-CN"/>
              </w:rPr>
              <w:t>每卷可以打印2000张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1439" w:type="dxa"/>
            <w:noWrap w:val="0"/>
            <w:vAlign w:val="center"/>
          </w:tcPr>
          <w:p>
            <w:pPr>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数据治理费用</w:t>
            </w:r>
          </w:p>
        </w:tc>
        <w:tc>
          <w:tcPr>
            <w:tcW w:w="1809" w:type="dxa"/>
            <w:noWrap w:val="0"/>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详见表1</w:t>
            </w:r>
          </w:p>
        </w:tc>
        <w:tc>
          <w:tcPr>
            <w:tcW w:w="1257" w:type="dxa"/>
            <w:noWrap w:val="0"/>
            <w:vAlign w:val="center"/>
          </w:tcPr>
          <w:p>
            <w:pPr>
              <w:jc w:val="center"/>
              <w:rPr>
                <w:rFonts w:hint="default" w:ascii="仿宋" w:hAnsi="仿宋" w:eastAsia="仿宋" w:cs="仿宋"/>
                <w:b w:val="0"/>
                <w:bCs w:val="0"/>
                <w:sz w:val="24"/>
                <w:lang w:val="en-US" w:eastAsia="zh-CN"/>
              </w:rPr>
            </w:pPr>
          </w:p>
        </w:tc>
        <w:tc>
          <w:tcPr>
            <w:tcW w:w="783" w:type="dxa"/>
            <w:noWrap w:val="0"/>
            <w:vAlign w:val="top"/>
          </w:tcPr>
          <w:p>
            <w:pPr>
              <w:jc w:val="center"/>
              <w:rPr>
                <w:rFonts w:hint="default" w:ascii="仿宋" w:hAnsi="仿宋" w:eastAsia="仿宋" w:cs="仿宋"/>
                <w:b w:val="0"/>
                <w:bCs w:val="0"/>
                <w:sz w:val="24"/>
                <w:lang w:val="en-US" w:eastAsia="zh-CN"/>
              </w:rPr>
            </w:pPr>
          </w:p>
          <w:p>
            <w:pPr>
              <w:jc w:val="center"/>
              <w:rPr>
                <w:rFonts w:hint="default" w:ascii="仿宋" w:hAnsi="仿宋" w:eastAsia="仿宋" w:cs="仿宋"/>
                <w:b w:val="0"/>
                <w:bCs w:val="0"/>
                <w:sz w:val="24"/>
                <w:lang w:val="en-US" w:eastAsia="zh-CN"/>
              </w:rPr>
            </w:pPr>
            <w:r>
              <w:rPr>
                <w:rFonts w:hint="default" w:ascii="仿宋" w:hAnsi="仿宋" w:eastAsia="仿宋" w:cs="仿宋"/>
                <w:b w:val="0"/>
                <w:bCs w:val="0"/>
                <w:sz w:val="24"/>
                <w:lang w:val="en-US" w:eastAsia="zh-CN"/>
              </w:rPr>
              <w:t>1</w:t>
            </w:r>
          </w:p>
        </w:tc>
        <w:tc>
          <w:tcPr>
            <w:tcW w:w="1333" w:type="dxa"/>
            <w:noWrap w:val="0"/>
            <w:vAlign w:val="center"/>
          </w:tcPr>
          <w:p>
            <w:pPr>
              <w:jc w:val="center"/>
              <w:rPr>
                <w:rFonts w:hint="default" w:ascii="仿宋" w:hAnsi="仿宋" w:eastAsia="仿宋" w:cs="仿宋"/>
                <w:sz w:val="24"/>
                <w:lang w:val="en-US" w:eastAsia="zh-CN"/>
              </w:rPr>
            </w:pPr>
          </w:p>
        </w:tc>
        <w:tc>
          <w:tcPr>
            <w:tcW w:w="2900" w:type="dxa"/>
            <w:noWrap w:val="0"/>
            <w:vAlign w:val="top"/>
          </w:tcPr>
          <w:p>
            <w:pPr>
              <w:jc w:val="center"/>
              <w:rPr>
                <w:rFonts w:hint="default"/>
                <w:b w:val="0"/>
                <w:bCs/>
                <w:sz w:val="32"/>
                <w:szCs w:val="40"/>
                <w:lang w:val="en-US" w:eastAsia="zh-CN"/>
              </w:rPr>
            </w:pPr>
            <w:r>
              <w:rPr>
                <w:rFonts w:hint="eastAsia"/>
                <w:b w:val="0"/>
                <w:bCs/>
                <w:sz w:val="32"/>
                <w:szCs w:val="4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439" w:type="dxa"/>
            <w:noWrap w:val="0"/>
            <w:vAlign w:val="center"/>
          </w:tcPr>
          <w:p>
            <w:pPr>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总价</w:t>
            </w:r>
          </w:p>
        </w:tc>
        <w:tc>
          <w:tcPr>
            <w:tcW w:w="8082" w:type="dxa"/>
            <w:gridSpan w:val="5"/>
            <w:noWrap w:val="0"/>
            <w:vAlign w:val="center"/>
          </w:tcPr>
          <w:p>
            <w:pPr>
              <w:jc w:val="center"/>
              <w:rPr>
                <w:rFonts w:hint="default"/>
                <w:b w:val="0"/>
                <w:bCs/>
                <w:sz w:val="32"/>
                <w:szCs w:val="40"/>
                <w:lang w:val="en-US" w:eastAsia="zh-CN"/>
              </w:rPr>
            </w:pPr>
            <w:r>
              <w:rPr>
                <w:rFonts w:hint="eastAsia"/>
                <w:b/>
                <w:bCs w:val="0"/>
                <w:sz w:val="24"/>
                <w:szCs w:val="32"/>
                <w:lang w:val="en-US" w:eastAsia="zh-CN"/>
              </w:rPr>
              <w:t>人民币小写：</w:t>
            </w:r>
          </w:p>
        </w:tc>
      </w:tr>
    </w:tbl>
    <w:p>
      <w:pPr>
        <w:rPr>
          <w:rFonts w:hint="eastAsia" w:ascii="宋体" w:hAnsi="宋体"/>
        </w:rPr>
      </w:pPr>
    </w:p>
    <w:p>
      <w:pPr>
        <w:rPr>
          <w:rFonts w:hint="eastAsia" w:ascii="宋体" w:hAnsi="宋体"/>
          <w:b/>
          <w:bCs/>
          <w:sz w:val="36"/>
          <w:szCs w:val="36"/>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3C031E00"/>
    <w:multiLevelType w:val="singleLevel"/>
    <w:tmpl w:val="3C031E0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NmUyMzc3MGVlMDBlN2U3NTA0MWExYTgyODI3MGUifQ=="/>
  </w:docVars>
  <w:rsids>
    <w:rsidRoot w:val="00000000"/>
    <w:rsid w:val="01463657"/>
    <w:rsid w:val="06091ADE"/>
    <w:rsid w:val="0BD87233"/>
    <w:rsid w:val="101113FA"/>
    <w:rsid w:val="101D3C87"/>
    <w:rsid w:val="10536835"/>
    <w:rsid w:val="125850E3"/>
    <w:rsid w:val="15E839EB"/>
    <w:rsid w:val="164C20C5"/>
    <w:rsid w:val="16B64E6B"/>
    <w:rsid w:val="1A4C7616"/>
    <w:rsid w:val="1A573E03"/>
    <w:rsid w:val="1DC7686B"/>
    <w:rsid w:val="217F10E6"/>
    <w:rsid w:val="24DA11BD"/>
    <w:rsid w:val="25EC1359"/>
    <w:rsid w:val="27A6495F"/>
    <w:rsid w:val="29167071"/>
    <w:rsid w:val="29E54981"/>
    <w:rsid w:val="2A656AF3"/>
    <w:rsid w:val="2B6F32B8"/>
    <w:rsid w:val="2E160BD7"/>
    <w:rsid w:val="2E8011CA"/>
    <w:rsid w:val="2F9B28CE"/>
    <w:rsid w:val="32581E97"/>
    <w:rsid w:val="32EB532B"/>
    <w:rsid w:val="33C83FD7"/>
    <w:rsid w:val="37FB064D"/>
    <w:rsid w:val="3851202E"/>
    <w:rsid w:val="4008312F"/>
    <w:rsid w:val="400E6197"/>
    <w:rsid w:val="411510C1"/>
    <w:rsid w:val="41A950FC"/>
    <w:rsid w:val="45627B26"/>
    <w:rsid w:val="466968E6"/>
    <w:rsid w:val="46EB2306"/>
    <w:rsid w:val="4852034E"/>
    <w:rsid w:val="48B5664F"/>
    <w:rsid w:val="4AC81FF7"/>
    <w:rsid w:val="4B0E636B"/>
    <w:rsid w:val="506254D6"/>
    <w:rsid w:val="52685FD5"/>
    <w:rsid w:val="5996448B"/>
    <w:rsid w:val="5E684793"/>
    <w:rsid w:val="604A2E52"/>
    <w:rsid w:val="61B60361"/>
    <w:rsid w:val="623D3050"/>
    <w:rsid w:val="63AA321A"/>
    <w:rsid w:val="64480CC3"/>
    <w:rsid w:val="684E5A28"/>
    <w:rsid w:val="691D346F"/>
    <w:rsid w:val="6B2B4A32"/>
    <w:rsid w:val="6BDB2C71"/>
    <w:rsid w:val="712C2AA8"/>
    <w:rsid w:val="736F3422"/>
    <w:rsid w:val="744F4B68"/>
    <w:rsid w:val="74FE178B"/>
    <w:rsid w:val="75720FA8"/>
    <w:rsid w:val="75B46AFF"/>
    <w:rsid w:val="798947FE"/>
    <w:rsid w:val="7B2E6B5E"/>
    <w:rsid w:val="7B3B2338"/>
    <w:rsid w:val="7F8E2E82"/>
    <w:rsid w:val="7FEF58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1033</Words>
  <Characters>1077</Characters>
  <Lines>0</Lines>
  <Paragraphs>0</Paragraphs>
  <TotalTime>2</TotalTime>
  <ScaleCrop>false</ScaleCrop>
  <LinksUpToDate>false</LinksUpToDate>
  <CharactersWithSpaces>1146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2022-05-19T07:01:00Z</dcterms:created>
  <dc:creator>在路上</dc:creator>
  <cp:lastModifiedBy>Administrator</cp:lastModifiedBy>
  <dcterms:modified xsi:type="dcterms:W3CDTF">2024-07-17T05:19:55Z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87ABF1541FF745B6980872664CB14D4C</vt:lpwstr>
  </property>
</Properties>
</file>