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hint="eastAsia" w:ascii="黑体" w:hAnsi="黑体" w:eastAsia="黑体" w:cs="黑体"/>
          <w:color w:val="auto"/>
          <w:sz w:val="56"/>
          <w:szCs w:val="56"/>
        </w:rPr>
      </w:pPr>
      <w:r>
        <w:rPr>
          <w:rFonts w:hint="eastAsia" w:ascii="黑体" w:hAnsi="黑体" w:eastAsia="黑体" w:cs="黑体"/>
          <w:color w:val="auto"/>
          <w:sz w:val="56"/>
          <w:szCs w:val="56"/>
        </w:rPr>
        <w:t>政府采购</w:t>
      </w:r>
      <w:r>
        <w:rPr>
          <w:rFonts w:hint="eastAsia" w:ascii="黑体" w:hAnsi="黑体" w:eastAsia="黑体" w:cs="黑体"/>
          <w:color w:val="auto"/>
          <w:sz w:val="56"/>
          <w:szCs w:val="56"/>
          <w:lang w:eastAsia="zh-CN"/>
        </w:rPr>
        <w:t>（货物、</w:t>
      </w:r>
      <w:r>
        <w:rPr>
          <w:rFonts w:hint="eastAsia" w:ascii="黑体" w:hAnsi="黑体" w:eastAsia="黑体" w:cs="黑体"/>
          <w:color w:val="auto"/>
          <w:sz w:val="56"/>
          <w:szCs w:val="56"/>
          <w:lang w:val="en-US" w:eastAsia="zh-CN"/>
        </w:rPr>
        <w:t>服务类</w:t>
      </w:r>
      <w:r>
        <w:rPr>
          <w:rFonts w:hint="eastAsia" w:ascii="黑体" w:hAnsi="黑体" w:eastAsia="黑体" w:cs="黑体"/>
          <w:color w:val="auto"/>
          <w:sz w:val="56"/>
          <w:szCs w:val="56"/>
          <w:lang w:eastAsia="zh-CN"/>
        </w:rPr>
        <w:t>）</w:t>
      </w:r>
      <w:r>
        <w:rPr>
          <w:rFonts w:hint="eastAsia" w:ascii="黑体" w:hAnsi="黑体" w:eastAsia="黑体" w:cs="黑体"/>
          <w:color w:val="auto"/>
          <w:sz w:val="56"/>
          <w:szCs w:val="56"/>
        </w:rPr>
        <w:t>项目</w:t>
      </w:r>
    </w:p>
    <w:p>
      <w:pPr>
        <w:jc w:val="center"/>
        <w:rPr>
          <w:rFonts w:hint="eastAsia" w:ascii="黑体" w:hAnsi="黑体" w:eastAsia="黑体" w:cs="黑体"/>
          <w:color w:val="auto"/>
          <w:sz w:val="56"/>
          <w:szCs w:val="56"/>
        </w:rPr>
      </w:pPr>
      <w:r>
        <w:rPr>
          <w:rFonts w:hint="eastAsia" w:ascii="黑体" w:hAnsi="黑体" w:eastAsia="黑体" w:cs="黑体"/>
          <w:color w:val="auto"/>
          <w:sz w:val="56"/>
          <w:szCs w:val="56"/>
        </w:rPr>
        <w:t>采 购 需 求</w:t>
      </w:r>
    </w:p>
    <w:p>
      <w:pPr>
        <w:jc w:val="center"/>
        <w:rPr>
          <w:rFonts w:hint="eastAsia" w:ascii="黑体" w:hAnsi="黑体" w:eastAsia="黑体" w:cs="黑体"/>
          <w:color w:val="auto"/>
          <w:sz w:val="44"/>
          <w:szCs w:val="44"/>
        </w:rPr>
      </w:pPr>
    </w:p>
    <w:p>
      <w:pPr>
        <w:ind w:firstLine="1440" w:firstLineChars="450"/>
        <w:rPr>
          <w:rFonts w:hint="eastAsia" w:ascii="黑体" w:hAnsi="黑体" w:eastAsia="黑体" w:cs="黑体"/>
          <w:color w:val="auto"/>
          <w:sz w:val="32"/>
          <w:szCs w:val="32"/>
        </w:rPr>
      </w:pPr>
      <w:r>
        <w:rPr>
          <w:rFonts w:hint="eastAsia" w:ascii="黑体" w:hAnsi="黑体" w:eastAsia="黑体" w:cs="黑体"/>
          <w:color w:val="auto"/>
          <w:sz w:val="32"/>
          <w:szCs w:val="32"/>
        </w:rPr>
        <w:t>项目名称：</w:t>
      </w:r>
      <w:r>
        <w:rPr>
          <w:rFonts w:hint="eastAsia" w:ascii="黑体" w:hAnsi="黑体" w:eastAsia="黑体" w:cs="黑体"/>
          <w:color w:val="auto"/>
          <w:sz w:val="32"/>
          <w:szCs w:val="32"/>
          <w:u w:val="single"/>
          <w:lang w:val="en-US" w:eastAsia="zh-CN"/>
        </w:rPr>
        <w:t>女生宿舍高低床及储物柜采购项目</w:t>
      </w:r>
    </w:p>
    <w:p>
      <w:pPr>
        <w:ind w:firstLine="1440" w:firstLineChars="450"/>
        <w:rPr>
          <w:rFonts w:hint="eastAsia" w:ascii="黑体" w:hAnsi="黑体" w:eastAsia="黑体" w:cs="黑体"/>
          <w:color w:val="auto"/>
          <w:sz w:val="32"/>
          <w:szCs w:val="32"/>
          <w:u w:val="single"/>
        </w:rPr>
      </w:pPr>
      <w:r>
        <w:rPr>
          <w:rFonts w:hint="eastAsia" w:ascii="黑体" w:hAnsi="黑体" w:eastAsia="黑体" w:cs="黑体"/>
          <w:color w:val="auto"/>
          <w:sz w:val="32"/>
          <w:szCs w:val="32"/>
        </w:rPr>
        <w:t>采购单位：</w:t>
      </w:r>
      <w:r>
        <w:rPr>
          <w:rFonts w:hint="eastAsia" w:ascii="黑体" w:hAnsi="黑体" w:eastAsia="黑体" w:cs="黑体"/>
          <w:color w:val="auto"/>
          <w:sz w:val="32"/>
          <w:szCs w:val="32"/>
          <w:u w:val="single"/>
          <w:lang w:val="en-US" w:eastAsia="zh-CN"/>
        </w:rPr>
        <w:t>奇台中等职业技术学校</w:t>
      </w:r>
      <w:r>
        <w:rPr>
          <w:rFonts w:hint="eastAsia" w:ascii="黑体" w:hAnsi="黑体" w:eastAsia="黑体" w:cs="黑体"/>
          <w:color w:val="auto"/>
          <w:sz w:val="32"/>
          <w:szCs w:val="32"/>
          <w:u w:val="single"/>
          <w:lang w:eastAsia="zh-CN"/>
        </w:rPr>
        <w:t>（盖公章）</w:t>
      </w:r>
      <w:r>
        <w:rPr>
          <w:rFonts w:hint="eastAsia" w:ascii="黑体" w:hAnsi="黑体" w:eastAsia="黑体" w:cs="黑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420" w:firstLineChars="200"/>
        <w:jc w:val="left"/>
        <w:rPr>
          <w:rFonts w:hint="eastAsia" w:asciiTheme="majorEastAsia" w:hAnsiTheme="majorEastAsia" w:eastAsiaTheme="majorEastAsia" w:cstheme="majorEastAsia"/>
          <w:color w:val="auto"/>
          <w:sz w:val="32"/>
          <w:szCs w:val="32"/>
          <w:u w:val="none"/>
        </w:rPr>
      </w:pPr>
      <w:r>
        <w:rPr>
          <w:rFonts w:hint="eastAsia" w:asciiTheme="majorEastAsia" w:hAnsiTheme="majorEastAsia" w:eastAsiaTheme="majorEastAsia" w:cstheme="majorEastAsia"/>
          <w:color w:val="auto"/>
          <w:sz w:val="21"/>
          <w:szCs w:val="21"/>
          <w:u w:val="single"/>
          <w:lang w:val="en-US" w:eastAsia="zh-CN"/>
        </w:rPr>
        <w:t>奇台中等职业技术学校女生宿舍现在使用的高低床及储物箱采购较久，个别的高低床及储物柜出现了损伤及其损坏，存在一定的安全隐患，为给学生提供更好生活学习环境，奇台中等职业技术学校德育处经过统计后决定对存在问题的66张高低床及112个储物柜进行采购更换。</w:t>
      </w:r>
      <w:r>
        <w:rPr>
          <w:rFonts w:hint="eastAsia" w:asciiTheme="majorEastAsia" w:hAnsiTheme="majorEastAsia" w:eastAsiaTheme="majorEastAsia" w:cstheme="majorEastAsia"/>
          <w:color w:val="auto"/>
          <w:sz w:val="21"/>
          <w:szCs w:val="21"/>
          <w:u w:val="none"/>
        </w:rPr>
        <w:t xml:space="preserve">  </w:t>
      </w:r>
      <w:r>
        <w:rPr>
          <w:rFonts w:hint="eastAsia" w:asciiTheme="majorEastAsia" w:hAnsiTheme="majorEastAsia" w:eastAsiaTheme="majorEastAsia" w:cstheme="majorEastAsia"/>
          <w:color w:val="auto"/>
          <w:sz w:val="32"/>
          <w:szCs w:val="32"/>
          <w:u w:val="none"/>
        </w:rPr>
        <w:t xml:space="preserve">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w:t>
            </w:r>
            <w:r>
              <w:rPr>
                <w:rFonts w:hint="eastAsia" w:asciiTheme="majorEastAsia" w:hAnsiTheme="majorEastAsia" w:eastAsiaTheme="majorEastAsia" w:cstheme="majorEastAsia"/>
                <w:i w:val="0"/>
                <w:color w:val="auto"/>
                <w:kern w:val="0"/>
                <w:sz w:val="28"/>
                <w:szCs w:val="28"/>
                <w:u w:val="none"/>
                <w:lang w:val="en-US" w:eastAsia="zh-CN" w:bidi="ar"/>
              </w:rPr>
              <w:sym w:font="Wingdings 2" w:char="0052"/>
            </w:r>
            <w:r>
              <w:rPr>
                <w:rFonts w:hint="eastAsia" w:asciiTheme="majorEastAsia" w:hAnsiTheme="majorEastAsia" w:eastAsiaTheme="majorEastAsia" w:cstheme="majorEastAsia"/>
                <w:i w:val="0"/>
                <w:color w:val="auto"/>
                <w:kern w:val="0"/>
                <w:sz w:val="28"/>
                <w:szCs w:val="28"/>
                <w:u w:val="none"/>
                <w:lang w:val="en-US" w:eastAsia="zh-CN" w:bidi="ar"/>
              </w:rPr>
              <w:t xml:space="preserve">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w:t>
            </w:r>
            <w:r>
              <w:rPr>
                <w:rFonts w:hint="eastAsia" w:asciiTheme="majorEastAsia" w:hAnsiTheme="majorEastAsia" w:eastAsiaTheme="majorEastAsia" w:cstheme="majorEastAsia"/>
                <w:i w:val="0"/>
                <w:color w:val="auto"/>
                <w:kern w:val="0"/>
                <w:sz w:val="28"/>
                <w:szCs w:val="28"/>
                <w:u w:val="none"/>
                <w:lang w:val="en-US" w:eastAsia="zh-CN" w:bidi="ar"/>
              </w:rPr>
              <w:sym w:font="Wingdings 2" w:char="0052"/>
            </w:r>
            <w:r>
              <w:rPr>
                <w:rFonts w:hint="eastAsia" w:asciiTheme="majorEastAsia" w:hAnsiTheme="majorEastAsia" w:eastAsiaTheme="majorEastAsia" w:cstheme="majorEastAsia"/>
                <w:i w:val="0"/>
                <w:color w:val="auto"/>
                <w:kern w:val="0"/>
                <w:sz w:val="28"/>
                <w:szCs w:val="28"/>
                <w:u w:val="none"/>
                <w:lang w:val="en-US" w:eastAsia="zh-CN" w:bidi="ar"/>
              </w:rPr>
              <w:t>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sym w:font="Wingdings 2" w:char="0052"/>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lang w:val="en-US" w:eastAsia="zh-CN"/>
        </w:rPr>
        <w:t>12.43万元整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lang w:val="en-US" w:eastAsia="zh-CN"/>
        </w:rPr>
        <w:t>12.43万元整</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高低床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张</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ascii="Helvetica" w:hAnsi="Helvetica" w:eastAsia="Helvetica" w:cs="Helvetica"/>
                <w:i w:val="0"/>
                <w:caps w:val="0"/>
                <w:color w:val="auto"/>
                <w:spacing w:val="0"/>
                <w:sz w:val="21"/>
                <w:szCs w:val="21"/>
                <w:shd w:val="clear" w:fill="FFFFFF"/>
              </w:rPr>
              <w:t>1016.67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储物柜</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个</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ascii="Helvetica" w:hAnsi="Helvetica" w:eastAsia="Helvetica" w:cs="Helvetica"/>
                <w:i w:val="0"/>
                <w:caps w:val="0"/>
                <w:color w:val="auto"/>
                <w:spacing w:val="0"/>
                <w:sz w:val="21"/>
                <w:szCs w:val="21"/>
                <w:shd w:val="clear" w:fill="FFFFFF"/>
              </w:rPr>
              <w:t>510.71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57200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i w:val="0"/>
                <w:color w:val="auto"/>
                <w:sz w:val="22"/>
                <w:szCs w:val="22"/>
                <w:u w:val="none"/>
              </w:rPr>
            </w:pPr>
            <w:r>
              <w:rPr>
                <w:rStyle w:val="18"/>
                <w:color w:val="auto"/>
                <w:lang w:val="en-US" w:eastAsia="zh-CN" w:bidi="ar"/>
              </w:rPr>
              <w:br w:type="textWrapping"/>
            </w:r>
            <w:r>
              <w:rPr>
                <w:rStyle w:val="18"/>
                <w:rFonts w:hint="eastAsia"/>
                <w:color w:val="auto"/>
                <w:lang w:val="en-US" w:eastAsia="zh-CN" w:bidi="ar"/>
              </w:rPr>
              <w:t>货物交付安装完成验收合格后一次性付款</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奇台中等职业技术学校院内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w:t>
            </w:r>
            <w:r>
              <w:rPr>
                <w:rFonts w:hint="eastAsia" w:ascii="宋体" w:hAnsi="宋体" w:eastAsia="宋体" w:cs="宋体"/>
                <w:i w:val="0"/>
                <w:color w:val="auto"/>
                <w:kern w:val="0"/>
                <w:sz w:val="22"/>
                <w:szCs w:val="22"/>
                <w:u w:val="none"/>
                <w:lang w:val="en-US" w:eastAsia="zh-CN" w:bidi="ar"/>
              </w:rPr>
              <w:sym w:font="Wingdings 2" w:char="0052"/>
            </w:r>
            <w:r>
              <w:rPr>
                <w:rFonts w:hint="eastAsia" w:ascii="宋体" w:hAnsi="宋体" w:eastAsia="宋体" w:cs="宋体"/>
                <w:i w:val="0"/>
                <w:color w:val="auto"/>
                <w:kern w:val="0"/>
                <w:sz w:val="22"/>
                <w:szCs w:val="22"/>
                <w:u w:val="none"/>
                <w:lang w:val="en-US" w:eastAsia="zh-CN" w:bidi="ar"/>
              </w:rPr>
              <w:t>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w:t>
            </w:r>
            <w:r>
              <w:rPr>
                <w:rStyle w:val="20"/>
                <w:rFonts w:hint="eastAsia"/>
                <w:color w:val="auto"/>
                <w:lang w:val="en-US" w:eastAsia="zh-CN" w:bidi="ar"/>
              </w:rPr>
              <w:t>后1年为质保期。</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质保期内出现问题需要维修要求商家在5个小时内上门免费维修。</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出现质量问题的产品，校方有权要求商家经行更换。</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sym w:font="Wingdings 2" w:char="0052"/>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高低床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r>
              <w:rPr>
                <w:rFonts w:hint="default" w:ascii="宋体" w:hAnsi="宋体" w:eastAsia="宋体" w:cs="宋体"/>
                <w:i w:val="0"/>
                <w:color w:val="auto"/>
                <w:kern w:val="0"/>
                <w:sz w:val="22"/>
                <w:szCs w:val="22"/>
                <w:u w:val="none"/>
                <w:lang w:val="en-US" w:eastAsia="zh-CN" w:bidi="ar"/>
              </w:rPr>
              <w:t>上下铺铁架床</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高低床材质：铁  木板</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 xml:space="preserve">  颜色：灰</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上铺有安全护栏</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铁厚度:1.5cm</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高175 cm</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 xml:space="preserve"> 宽度90cm </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上下铺间距100cm</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床底高度43 cm</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内径90cm</w:t>
            </w:r>
            <w:r>
              <w:rPr>
                <w:rFonts w:hint="eastAsia" w:ascii="宋体" w:hAnsi="宋体" w:eastAsia="宋体" w:cs="宋体"/>
                <w:i w:val="0"/>
                <w:color w:val="auto"/>
                <w:kern w:val="0"/>
                <w:sz w:val="22"/>
                <w:szCs w:val="22"/>
                <w:u w:val="none"/>
                <w:lang w:val="en-US" w:eastAsia="zh-CN" w:bidi="ar"/>
              </w:rPr>
              <w:t>；</w:t>
            </w:r>
            <w:r>
              <w:rPr>
                <w:rFonts w:hint="default" w:ascii="宋体" w:hAnsi="宋体" w:eastAsia="宋体" w:cs="宋体"/>
                <w:i w:val="0"/>
                <w:color w:val="auto"/>
                <w:kern w:val="0"/>
                <w:sz w:val="22"/>
                <w:szCs w:val="22"/>
                <w:u w:val="none"/>
                <w:lang w:val="en-US" w:eastAsia="zh-CN" w:bidi="ar"/>
              </w:rPr>
              <w:t>外径200 cm</w:t>
            </w:r>
            <w:r>
              <w:rPr>
                <w:rFonts w:hint="eastAsia" w:ascii="宋体" w:hAnsi="宋体" w:eastAsia="宋体" w:cs="宋体"/>
                <w:i w:val="0"/>
                <w:color w:val="auto"/>
                <w:kern w:val="0"/>
                <w:sz w:val="22"/>
                <w:szCs w:val="22"/>
                <w:u w:val="none"/>
                <w:lang w:val="en-US" w:eastAsia="zh-CN" w:bidi="ar"/>
              </w:rPr>
              <w:t>。</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r>
              <w:rPr>
                <w:rFonts w:hint="default" w:ascii="宋体" w:hAnsi="宋体" w:eastAsia="宋体" w:cs="宋体"/>
                <w:i w:val="0"/>
                <w:color w:val="auto"/>
                <w:kern w:val="0"/>
                <w:sz w:val="22"/>
                <w:szCs w:val="22"/>
                <w:u w:val="none"/>
                <w:lang w:val="en-US" w:eastAsia="zh-CN" w:bidi="ar"/>
              </w:rPr>
              <w:t>床底柜参数</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材质：铁，优质冷轧板0.5，磷化处理，静电粉沫喷塑。锁具姆指锁，无通开，保证安全无忧。</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颜色：灰</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尺寸：1900×400×400mm</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型号：上下床专用</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家具结构：框架结构</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附加功能：可移动</w:t>
            </w:r>
          </w:p>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default" w:ascii="宋体" w:hAnsi="宋体" w:eastAsia="宋体" w:cs="宋体"/>
                <w:i w:val="0"/>
                <w:color w:val="auto"/>
                <w:kern w:val="0"/>
                <w:sz w:val="22"/>
                <w:szCs w:val="22"/>
                <w:u w:val="none"/>
                <w:lang w:val="en-US" w:eastAsia="zh-CN" w:bidi="ar"/>
              </w:rPr>
              <w:t xml:space="preserve">  </w:t>
            </w:r>
          </w:p>
          <w:p>
            <w:pPr>
              <w:rPr>
                <w:rFonts w:hint="default"/>
                <w:sz w:val="30"/>
                <w:szCs w:val="30"/>
                <w:lang w:val="en-US" w:eastAsia="zh-CN"/>
              </w:rPr>
            </w:pPr>
            <w:r>
              <w:rPr>
                <w:rFonts w:hint="default"/>
                <w:sz w:val="30"/>
                <w:szCs w:val="30"/>
                <w:lang w:val="en-US" w:eastAsia="zh-CN"/>
              </w:rPr>
              <w:drawing>
                <wp:inline distT="0" distB="0" distL="114300" distR="114300">
                  <wp:extent cx="3491230" cy="3298825"/>
                  <wp:effectExtent l="0" t="0" r="13970" b="1587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3491230" cy="3298825"/>
                          </a:xfrm>
                          <a:prstGeom prst="rect">
                            <a:avLst/>
                          </a:prstGeom>
                          <a:noFill/>
                          <a:ln>
                            <a:noFill/>
                          </a:ln>
                        </pic:spPr>
                      </pic:pic>
                    </a:graphicData>
                  </a:graphic>
                </wp:inline>
              </w:drawing>
            </w:r>
          </w:p>
          <w:p>
            <w:pPr>
              <w:rPr>
                <w:rFonts w:hint="default"/>
                <w:sz w:val="30"/>
                <w:szCs w:val="30"/>
                <w:lang w:val="en-US" w:eastAsia="zh-CN"/>
              </w:rPr>
            </w:pPr>
          </w:p>
          <w:p>
            <w:pPr>
              <w:rPr>
                <w:rFonts w:hint="default"/>
                <w:sz w:val="30"/>
                <w:szCs w:val="30"/>
                <w:lang w:val="en-US" w:eastAsia="zh-CN"/>
              </w:rPr>
            </w:pPr>
          </w:p>
          <w:p>
            <w:pPr>
              <w:rPr>
                <w:rFonts w:hint="eastAsia" w:ascii="宋体" w:hAnsi="宋体" w:eastAsia="宋体" w:cs="宋体"/>
                <w:i w:val="0"/>
                <w:color w:val="auto"/>
                <w:sz w:val="22"/>
                <w:szCs w:val="22"/>
                <w:u w:val="none"/>
              </w:rPr>
            </w:pPr>
            <w:r>
              <w:rPr>
                <w:rFonts w:hint="default"/>
                <w:sz w:val="30"/>
                <w:szCs w:val="30"/>
                <w:lang w:val="en-US" w:eastAsia="zh-CN"/>
              </w:rPr>
              <w:drawing>
                <wp:inline distT="0" distB="0" distL="114300" distR="114300">
                  <wp:extent cx="3444240" cy="3203575"/>
                  <wp:effectExtent l="0" t="0" r="3810" b="15875"/>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6"/>
                          <a:stretch>
                            <a:fillRect/>
                          </a:stretch>
                        </pic:blipFill>
                        <pic:spPr>
                          <a:xfrm>
                            <a:off x="0" y="0"/>
                            <a:ext cx="3444240" cy="32035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储物柜</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材质：铁</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颜色：灰</w:t>
            </w:r>
          </w:p>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铁厚度：0.8mm</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开合方式：对开门</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外形尺寸：高1800x宽900x420mm</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单门内尺寸：高830x宽400x深400mm</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分层存放可挂、可摆，收纳随心，足够空间放置个人物品。</w:t>
            </w:r>
          </w:p>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eastAsia="zh-CN"/>
              </w:rPr>
              <w:drawing>
                <wp:inline distT="0" distB="0" distL="114300" distR="114300">
                  <wp:extent cx="3520440" cy="4693920"/>
                  <wp:effectExtent l="0" t="0" r="3810" b="11430"/>
                  <wp:docPr id="1" name="图片 1" descr="b34763825f93c767353711b76b8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4763825f93c767353711b76b81927"/>
                          <pic:cNvPicPr>
                            <a:picLocks noChangeAspect="1"/>
                          </pic:cNvPicPr>
                        </pic:nvPicPr>
                        <pic:blipFill>
                          <a:blip r:embed="rId7"/>
                          <a:stretch>
                            <a:fillRect/>
                          </a:stretch>
                        </pic:blipFill>
                        <pic:spPr>
                          <a:xfrm>
                            <a:off x="0" y="0"/>
                            <a:ext cx="3520440" cy="46939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评审内容主要由：</w:t>
            </w:r>
          </w:p>
          <w:p>
            <w:pPr>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资格审查：</w:t>
            </w:r>
          </w:p>
          <w:p>
            <w:pPr>
              <w:keepNext w:val="0"/>
              <w:keepLines w:val="0"/>
              <w:pageBreakBefore w:val="0"/>
              <w:widowControl/>
              <w:numPr>
                <w:ilvl w:val="0"/>
                <w:numId w:val="4"/>
              </w:numPr>
              <w:suppressLineNumbers w:val="0"/>
              <w:kinsoku/>
              <w:wordWrap/>
              <w:overflowPunct/>
              <w:topLinePunct w:val="0"/>
              <w:autoSpaceDE/>
              <w:autoSpaceDN/>
              <w:bidi w:val="0"/>
              <w:adjustRightInd/>
              <w:spacing w:beforeAutospacing="0" w:afterAutospacing="0" w:line="240" w:lineRule="auto"/>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投标人需提供营业执照副本（必须上传）。</w:t>
            </w:r>
          </w:p>
          <w:p>
            <w:pPr>
              <w:keepNext w:val="0"/>
              <w:keepLines w:val="0"/>
              <w:pageBreakBefore w:val="0"/>
              <w:widowControl/>
              <w:numPr>
                <w:ilvl w:val="0"/>
                <w:numId w:val="4"/>
              </w:numPr>
              <w:suppressLineNumbers w:val="0"/>
              <w:kinsoku/>
              <w:wordWrap/>
              <w:overflowPunct/>
              <w:topLinePunct w:val="0"/>
              <w:autoSpaceDE/>
              <w:autoSpaceDN/>
              <w:bidi w:val="0"/>
              <w:adjustRightInd/>
              <w:spacing w:beforeAutospacing="0" w:afterAutospacing="0" w:line="240" w:lineRule="auto"/>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企业提供2023或2024年度经审计的财务审计报告、个体工商户开具银行资信证明或承诺函（必须上传）。</w:t>
            </w:r>
          </w:p>
          <w:p>
            <w:pPr>
              <w:keepNext w:val="0"/>
              <w:keepLines w:val="0"/>
              <w:pageBreakBefore w:val="0"/>
              <w:widowControl/>
              <w:numPr>
                <w:ilvl w:val="0"/>
                <w:numId w:val="4"/>
              </w:numPr>
              <w:suppressLineNumbers w:val="0"/>
              <w:kinsoku/>
              <w:wordWrap/>
              <w:overflowPunct/>
              <w:topLinePunct w:val="0"/>
              <w:autoSpaceDE/>
              <w:autoSpaceDN/>
              <w:bidi w:val="0"/>
              <w:adjustRightInd/>
              <w:spacing w:beforeAutospacing="0" w:afterAutospacing="0" w:line="240" w:lineRule="auto"/>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投标人商业信誉情况（在“信用中国”（www.creditchina.gov.cn）和中国政府采购网（www.ccgp.gov.cn）网站上未被列入失信被执行人、重大税收违法案件当事人名单以及政府采购严重违法失信行为记录名单）。个体工商户在中国裁判文书网查询（必须上传）。</w:t>
            </w:r>
          </w:p>
          <w:p>
            <w:pPr>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default"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符合性审查：</w:t>
            </w:r>
          </w:p>
          <w:p>
            <w:pPr>
              <w:keepNext w:val="0"/>
              <w:keepLines w:val="0"/>
              <w:pageBreakBefore w:val="0"/>
              <w:widowControl/>
              <w:numPr>
                <w:ilvl w:val="0"/>
                <w:numId w:val="5"/>
              </w:numPr>
              <w:suppressLineNumbers w:val="0"/>
              <w:kinsoku/>
              <w:wordWrap/>
              <w:overflowPunct/>
              <w:topLinePunct w:val="0"/>
              <w:autoSpaceDE/>
              <w:autoSpaceDN/>
              <w:bidi w:val="0"/>
              <w:adjustRightInd/>
              <w:spacing w:beforeAutospacing="0" w:afterAutospacing="0" w:line="240" w:lineRule="auto"/>
              <w:jc w:val="left"/>
              <w:textAlignment w:val="center"/>
              <w:rPr>
                <w:rFonts w:hint="eastAsia"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符合产品参数偏离表，请按照招标技术参数要求制作表格盖章并上传，直接复制招标技术参数要求的视为无效报价（必须上传）。</w:t>
            </w:r>
          </w:p>
          <w:p>
            <w:pPr>
              <w:keepNext w:val="0"/>
              <w:keepLines w:val="0"/>
              <w:pageBreakBefore w:val="0"/>
              <w:widowControl/>
              <w:numPr>
                <w:ilvl w:val="0"/>
                <w:numId w:val="5"/>
              </w:numPr>
              <w:suppressLineNumbers w:val="0"/>
              <w:kinsoku/>
              <w:wordWrap/>
              <w:overflowPunct/>
              <w:topLinePunct w:val="0"/>
              <w:autoSpaceDE/>
              <w:autoSpaceDN/>
              <w:bidi w:val="0"/>
              <w:adjustRightInd/>
              <w:spacing w:beforeAutospacing="0" w:afterAutospacing="0" w:line="240" w:lineRule="auto"/>
              <w:jc w:val="left"/>
              <w:textAlignment w:val="center"/>
              <w:rPr>
                <w:rFonts w:hint="default"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提供</w:t>
            </w:r>
            <w:r>
              <w:rPr>
                <w:rFonts w:hint="default" w:asciiTheme="majorEastAsia" w:hAnsiTheme="majorEastAsia" w:eastAsiaTheme="majorEastAsia" w:cstheme="majorEastAsia"/>
                <w:i w:val="0"/>
                <w:caps w:val="0"/>
                <w:color w:val="auto"/>
                <w:spacing w:val="0"/>
                <w:sz w:val="28"/>
                <w:szCs w:val="28"/>
                <w:u w:val="none"/>
                <w:shd w:val="clear" w:fill="FFFFFF"/>
                <w:lang w:val="en-US" w:eastAsia="zh-CN"/>
              </w:rPr>
              <w:t>相关的</w:t>
            </w: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产品合格证及</w:t>
            </w:r>
            <w:r>
              <w:rPr>
                <w:rFonts w:hint="default" w:asciiTheme="majorEastAsia" w:hAnsiTheme="majorEastAsia" w:eastAsiaTheme="majorEastAsia" w:cstheme="majorEastAsia"/>
                <w:i w:val="0"/>
                <w:caps w:val="0"/>
                <w:color w:val="auto"/>
                <w:spacing w:val="0"/>
                <w:sz w:val="28"/>
                <w:szCs w:val="28"/>
                <w:u w:val="none"/>
                <w:shd w:val="clear" w:fill="FFFFFF"/>
                <w:lang w:val="en-US" w:eastAsia="zh-CN"/>
              </w:rPr>
              <w:t>环保认证</w:t>
            </w: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（必须上传）。</w:t>
            </w:r>
          </w:p>
          <w:p>
            <w:pPr>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default" w:asciiTheme="majorEastAsia" w:hAnsiTheme="majorEastAsia" w:eastAsiaTheme="majorEastAsia" w:cstheme="majorEastAsia"/>
                <w:i w:val="0"/>
                <w:caps w:val="0"/>
                <w:color w:val="auto"/>
                <w:spacing w:val="0"/>
                <w:sz w:val="28"/>
                <w:szCs w:val="28"/>
                <w:u w:val="none"/>
                <w:shd w:val="clear" w:fill="FFFFFF"/>
                <w:lang w:val="en-US" w:eastAsia="zh-CN"/>
              </w:rPr>
            </w:pPr>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价格评审：对通过资格审查和符合性审查的报价单进行价格比较，确定个投标人的投标报价（报价单必须上传，缺项无效</w:t>
            </w:r>
            <w:bookmarkStart w:id="0" w:name="_GoBack"/>
            <w:bookmarkEnd w:id="0"/>
            <w:r>
              <w:rPr>
                <w:rFonts w:hint="eastAsia" w:asciiTheme="majorEastAsia" w:hAnsiTheme="majorEastAsia" w:eastAsiaTheme="majorEastAsia" w:cstheme="majorEastAsia"/>
                <w:i w:val="0"/>
                <w:caps w:val="0"/>
                <w:color w:val="auto"/>
                <w:spacing w:val="0"/>
                <w:sz w:val="28"/>
                <w:szCs w:val="28"/>
                <w:u w:val="none"/>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7D252"/>
    <w:multiLevelType w:val="singleLevel"/>
    <w:tmpl w:val="9907D252"/>
    <w:lvl w:ilvl="0" w:tentative="0">
      <w:start w:val="1"/>
      <w:numFmt w:val="decimal"/>
      <w:lvlText w:val="%1."/>
      <w:lvlJc w:val="left"/>
      <w:pPr>
        <w:tabs>
          <w:tab w:val="left" w:pos="312"/>
        </w:tabs>
      </w:pPr>
    </w:lvl>
  </w:abstractNum>
  <w:abstractNum w:abstractNumId="1">
    <w:nsid w:val="F6FC834A"/>
    <w:multiLevelType w:val="singleLevel"/>
    <w:tmpl w:val="F6FC834A"/>
    <w:lvl w:ilvl="0" w:tentative="0">
      <w:start w:val="1"/>
      <w:numFmt w:val="decimal"/>
      <w:suff w:val="nothing"/>
      <w:lvlText w:val="%1、"/>
      <w:lvlJc w:val="left"/>
    </w:lvl>
  </w:abstractNum>
  <w:abstractNum w:abstractNumId="2">
    <w:nsid w:val="4441AEB0"/>
    <w:multiLevelType w:val="singleLevel"/>
    <w:tmpl w:val="4441AEB0"/>
    <w:lvl w:ilvl="0" w:tentative="0">
      <w:start w:val="1"/>
      <w:numFmt w:val="decimal"/>
      <w:suff w:val="nothing"/>
      <w:lvlText w:val="（%1）"/>
      <w:lvlJc w:val="left"/>
    </w:lvl>
  </w:abstractNum>
  <w:abstractNum w:abstractNumId="3">
    <w:nsid w:val="616CA2AE"/>
    <w:multiLevelType w:val="singleLevel"/>
    <w:tmpl w:val="616CA2AE"/>
    <w:lvl w:ilvl="0" w:tentative="0">
      <w:start w:val="1"/>
      <w:numFmt w:val="decimal"/>
      <w:suff w:val="nothing"/>
      <w:lvlText w:val="（%1）"/>
      <w:lvlJc w:val="left"/>
    </w:lvl>
  </w:abstractNum>
  <w:abstractNum w:abstractNumId="4">
    <w:nsid w:val="7F74BC42"/>
    <w:multiLevelType w:val="singleLevel"/>
    <w:tmpl w:val="7F74BC42"/>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34336F3D"/>
    <w:rsid w:val="43B36F6B"/>
    <w:rsid w:val="4884704D"/>
    <w:rsid w:val="4C8B0C25"/>
    <w:rsid w:val="50153D7F"/>
    <w:rsid w:val="5107028F"/>
    <w:rsid w:val="64545EBB"/>
    <w:rsid w:val="6B7223F5"/>
    <w:rsid w:val="702D2669"/>
    <w:rsid w:val="759D6D02"/>
    <w:rsid w:val="778B49DD"/>
    <w:rsid w:val="7F7C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1441</Words>
  <Characters>1549</Characters>
  <Lines>0</Lines>
  <Paragraphs>0</Paragraphs>
  <TotalTime>2</TotalTime>
  <ScaleCrop>false</ScaleCrop>
  <LinksUpToDate>false</LinksUpToDate>
  <CharactersWithSpaces>1662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Lenovo</cp:lastModifiedBy>
  <dcterms:modified xsi:type="dcterms:W3CDTF">2025-06-25T03:22:26Z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eyJoZGlkIjoiNjZkODQxNjA1ZjFkZWU1ZmM5YjgyMGViZjgwZmVlZjIiLCJ1c2VySWQiOiI5NTU2OTY3NjIifQ==</vt:lpwstr>
  </property>
  <property fmtid="{D5CDD505-2E9C-101B-9397-08002B2CF9AE}" pid="4" name="ICV">
    <vt:lpwstr>200BFEFDDAE4474FBB70727A85D4E0CA_13</vt:lpwstr>
  </property>
</Properties>
</file>