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宋体" w:hAnsi="宋体" w:cs="宋体"/>
          <w:color w:val="auto"/>
          <w:sz w:val="32"/>
          <w:szCs w:val="32"/>
          <w:u w:val="single"/>
          <w:lang w:val="en-US" w:eastAsia="zh-CN"/>
        </w:rPr>
        <w:t>奇台县现代畜禽种业提升项目</w:t>
      </w:r>
      <w:r>
        <w:rPr>
          <w:rFonts w:hint="eastAsia" w:ascii="方正小标宋简体" w:hAnsi="方正小标宋简体" w:eastAsia="方正小标宋简体"/>
          <w:color w:val="auto"/>
          <w:sz w:val="32"/>
          <w:szCs w:val="32"/>
          <w:u w:val="single"/>
        </w:rPr>
        <w:t xml:space="preserve">  </w:t>
      </w:r>
    </w:p>
    <w:p>
      <w:pPr>
        <w:ind w:firstLine="1440" w:firstLineChars="450"/>
        <w:rPr>
          <w:rFonts w:hint="default" w:ascii="方正小标宋简体" w:hAnsi="方正小标宋简体" w:eastAsia="方正小标宋简体"/>
          <w:color w:val="auto"/>
          <w:sz w:val="32"/>
          <w:szCs w:val="32"/>
          <w:u w:val="single"/>
          <w:lang w:val="en-US"/>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宋体" w:hAnsi="宋体" w:eastAsia="宋体" w:cs="宋体"/>
          <w:color w:val="auto"/>
          <w:sz w:val="32"/>
          <w:szCs w:val="32"/>
          <w:u w:val="single"/>
          <w:lang w:val="en-US" w:eastAsia="zh-CN"/>
        </w:rPr>
        <w:t>奇台县农业农村局</w:t>
      </w:r>
      <w:r>
        <w:rPr>
          <w:rFonts w:hint="eastAsia" w:ascii="宋体" w:hAnsi="宋体" w:eastAsia="宋体" w:cs="宋体"/>
          <w:color w:val="auto"/>
          <w:sz w:val="32"/>
          <w:szCs w:val="32"/>
          <w:u w:val="single"/>
          <w:lang w:eastAsia="zh-CN"/>
        </w:rPr>
        <w:t>（盖公章）</w:t>
      </w:r>
      <w:r>
        <w:rPr>
          <w:rFonts w:hint="eastAsia" w:ascii="宋体" w:hAnsi="宋体" w:eastAsia="宋体" w:cs="宋体"/>
          <w:color w:val="auto"/>
          <w:sz w:val="32"/>
          <w:szCs w:val="32"/>
          <w:u w:val="single"/>
          <w:lang w:val="en-US" w:eastAsia="zh-CN"/>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bookmarkStart w:id="0" w:name="OLE_LINK3"/>
      <w:r>
        <w:rPr>
          <w:rFonts w:hint="eastAsia" w:ascii="宋体" w:hAnsi="宋体" w:eastAsia="宋体" w:cs="宋体"/>
          <w:color w:val="auto"/>
          <w:sz w:val="28"/>
          <w:szCs w:val="28"/>
          <w:lang w:val="en-US" w:eastAsia="zh-CN"/>
        </w:rPr>
        <w:t>根据《关于印发&lt;2025年自治区现代畜禽种业提升计划项目实施方案&gt;的通知》（新农办牧函〔2025〕29号）要求，为健全我县畜禽良种繁育体系，加强配种站点建设，实施本项目。根据要求项目实施分两部分。一是冷链体系建设，项目计划采购液氮罐44个；二是配种站点建设，计划健全完善16个牛配种站点和14个羊配种站点建设，配备输精枪、开殖器、显微镜、水浴锅等品种改良人工采精输精设备和羊同期发情药品耗材。项目的实施将大力推进我县畜禽品种改良进程，扩大良种覆盖面，提升牛羊养殖效率，增加农牧民收入。</w:t>
      </w:r>
      <w:bookmarkEnd w:id="0"/>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6"/>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9"/>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9"/>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52万元整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52万元整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6"/>
        <w:tblW w:w="8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2"/>
        <w:gridCol w:w="2568"/>
        <w:gridCol w:w="2016"/>
        <w:gridCol w:w="2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显微镜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显微镜</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水浴锅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羊采精架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B超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液氮罐</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解冻杯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可视输精枪外套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细管剪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采精器材</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套</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输精枪</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兽用注射器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5ml注射器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一次性乳胶手套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75%酒精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新洁尔灭</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红水温度计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手术托盘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脱脂棉</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卷</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纱布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包</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灭菌缸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白凡士林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开膣器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1ml注射器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试情布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干湿温度表</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带盖塑料桶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塑料盆</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长柄镊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把</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量杯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玻璃试管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消毒喷壶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载玻片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盖玻片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酒精灯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稀释液</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生理盐水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箱</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CIDR栓</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孕马血清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盒</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LH-A3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6"/>
        <w:tblW w:w="1409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174"/>
        <w:gridCol w:w="5529"/>
        <w:gridCol w:w="120"/>
        <w:gridCol w:w="2819"/>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758"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155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0"/>
                <w:b/>
                <w:bCs/>
                <w:color w:val="auto"/>
                <w:lang w:val="en-US" w:eastAsia="zh-CN" w:bidi="ar"/>
              </w:rPr>
              <w:t>付款方式</w:t>
            </w:r>
            <w:r>
              <w:rPr>
                <w:rStyle w:val="20"/>
                <w:b/>
                <w:bCs/>
                <w:color w:val="auto"/>
                <w:lang w:val="en-US" w:eastAsia="zh-CN" w:bidi="ar"/>
              </w:rPr>
              <w:br w:type="textWrapping"/>
            </w:r>
            <w:r>
              <w:rPr>
                <w:rStyle w:val="21"/>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20"/>
                <w:rFonts w:hint="eastAsia" w:ascii="宋体" w:hAnsi="宋体" w:eastAsia="宋体" w:cs="宋体"/>
                <w:color w:val="auto"/>
                <w:sz w:val="24"/>
                <w:szCs w:val="24"/>
                <w:lang w:val="en-US" w:eastAsia="zh-CN" w:bidi="ar"/>
              </w:rPr>
            </w:pPr>
            <w:r>
              <w:rPr>
                <w:rStyle w:val="20"/>
                <w:rFonts w:hint="eastAsia" w:ascii="宋体" w:hAnsi="宋体" w:eastAsia="宋体" w:cs="宋体"/>
                <w:color w:val="auto"/>
                <w:sz w:val="24"/>
                <w:szCs w:val="24"/>
                <w:lang w:val="en-US" w:eastAsia="zh-CN" w:bidi="ar"/>
              </w:rPr>
              <w:t>1、付款方式：</w:t>
            </w:r>
          </w:p>
          <w:p>
            <w:pPr>
              <w:spacing w:line="440" w:lineRule="exact"/>
              <w:rPr>
                <w:rFonts w:hint="eastAsia" w:ascii="宋体" w:hAnsi="宋体" w:eastAsia="宋体" w:cs="宋体"/>
                <w:i w:val="0"/>
                <w:color w:val="auto"/>
                <w:sz w:val="22"/>
                <w:szCs w:val="22"/>
                <w:u w:val="none"/>
              </w:rPr>
            </w:pPr>
            <w:r>
              <w:rPr>
                <w:rFonts w:hint="eastAsia" w:ascii="宋体" w:hAnsi="宋体" w:eastAsia="宋体" w:cs="宋体"/>
                <w:i w:val="0"/>
                <w:color w:val="auto"/>
                <w:sz w:val="24"/>
                <w:szCs w:val="24"/>
                <w:highlight w:val="none"/>
                <w:u w:val="none"/>
                <w:lang w:val="en-US" w:eastAsia="zh-CN"/>
              </w:rPr>
              <w:t>货物验收合格后支付合同价款的</w:t>
            </w:r>
            <w:r>
              <w:rPr>
                <w:rFonts w:hint="eastAsia" w:ascii="宋体" w:hAnsi="宋体" w:cs="宋体"/>
                <w:i w:val="0"/>
                <w:color w:val="auto"/>
                <w:sz w:val="24"/>
                <w:szCs w:val="24"/>
                <w:highlight w:val="none"/>
                <w:u w:val="none"/>
                <w:lang w:val="en-US" w:eastAsia="zh-CN"/>
              </w:rPr>
              <w:t>100</w:t>
            </w:r>
            <w:r>
              <w:rPr>
                <w:rFonts w:hint="eastAsia" w:ascii="宋体" w:hAnsi="宋体" w:eastAsia="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20"/>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15日内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4"/>
                <w:szCs w:val="24"/>
                <w:u w:val="none"/>
                <w:lang w:val="en-US" w:eastAsia="zh-CN"/>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FF0000"/>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Style w:val="22"/>
                <w:rFonts w:hint="eastAsia" w:ascii="宋体" w:hAnsi="宋体" w:eastAsia="宋体" w:cs="宋体"/>
                <w:color w:val="auto"/>
                <w:sz w:val="24"/>
                <w:szCs w:val="24"/>
                <w:lang w:val="en-US" w:eastAsia="zh-CN" w:bidi="ar"/>
              </w:rPr>
            </w:pPr>
            <w:r>
              <w:rPr>
                <w:rStyle w:val="22"/>
                <w:rFonts w:hint="eastAsia" w:ascii="宋体" w:hAnsi="宋体" w:eastAsia="宋体" w:cs="宋体"/>
                <w:color w:val="auto"/>
                <w:sz w:val="24"/>
                <w:szCs w:val="24"/>
                <w:lang w:val="en-US" w:eastAsia="zh-CN" w:bidi="ar"/>
              </w:rPr>
              <w:t>自项目验收合格</w:t>
            </w:r>
            <w:r>
              <w:rPr>
                <w:rStyle w:val="22"/>
                <w:rFonts w:hint="eastAsia" w:ascii="宋体" w:hAnsi="宋体" w:eastAsia="宋体" w:cs="宋体"/>
                <w:color w:val="auto"/>
                <w:sz w:val="24"/>
                <w:szCs w:val="24"/>
                <w:highlight w:val="none"/>
                <w:lang w:val="en-US" w:eastAsia="zh-CN" w:bidi="ar"/>
              </w:rPr>
              <w:t>后</w:t>
            </w:r>
            <w:r>
              <w:rPr>
                <w:rStyle w:val="23"/>
                <w:rFonts w:hint="eastAsia" w:ascii="宋体" w:hAnsi="宋体" w:eastAsia="宋体" w:cs="宋体"/>
                <w:color w:val="auto"/>
                <w:sz w:val="24"/>
                <w:szCs w:val="24"/>
                <w:highlight w:val="none"/>
                <w:lang w:val="en-US" w:eastAsia="zh-CN" w:bidi="ar"/>
              </w:rPr>
              <w:t xml:space="preserve">  1 </w:t>
            </w:r>
            <w:r>
              <w:rPr>
                <w:rStyle w:val="23"/>
                <w:rFonts w:hint="eastAsia" w:ascii="宋体" w:hAnsi="宋体" w:eastAsia="宋体" w:cs="宋体"/>
                <w:color w:val="auto"/>
                <w:sz w:val="24"/>
                <w:szCs w:val="24"/>
                <w:lang w:val="en-US" w:eastAsia="zh-CN" w:bidi="ar"/>
              </w:rPr>
              <w:t>年</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售后服务要求：</w:t>
            </w:r>
          </w:p>
          <w:p>
            <w:pPr>
              <w:keepNext w:val="0"/>
              <w:keepLines w:val="0"/>
              <w:widowControl/>
              <w:numPr>
                <w:ilvl w:val="0"/>
                <w:numId w:val="3"/>
              </w:numPr>
              <w:suppressLineNumbers w:val="0"/>
              <w:jc w:val="left"/>
              <w:textAlignment w:val="center"/>
              <w:rPr>
                <w:rStyle w:val="22"/>
                <w:rFonts w:hint="eastAsia"/>
                <w:color w:val="auto"/>
                <w:lang w:val="en-US" w:eastAsia="zh-CN" w:bidi="ar"/>
              </w:rPr>
            </w:pPr>
            <w:r>
              <w:rPr>
                <w:rStyle w:val="22"/>
                <w:rFonts w:hint="eastAsia"/>
                <w:color w:val="auto"/>
                <w:lang w:val="en-US" w:eastAsia="zh-CN" w:bidi="ar"/>
              </w:rPr>
              <w:t>仪器设备按质保要求给予退还和维修（不包括人为损坏）。</w:t>
            </w:r>
          </w:p>
          <w:p>
            <w:pPr>
              <w:keepNext w:val="0"/>
              <w:keepLines w:val="0"/>
              <w:widowControl/>
              <w:numPr>
                <w:ilvl w:val="0"/>
                <w:numId w:val="3"/>
              </w:numPr>
              <w:suppressLineNumbers w:val="0"/>
              <w:jc w:val="left"/>
              <w:textAlignment w:val="center"/>
              <w:rPr>
                <w:rFonts w:hint="eastAsia" w:ascii="宋体" w:hAnsi="宋体" w:eastAsia="宋体" w:cs="宋体"/>
                <w:i w:val="0"/>
                <w:color w:val="auto"/>
                <w:sz w:val="22"/>
                <w:szCs w:val="22"/>
                <w:u w:val="none"/>
              </w:rPr>
            </w:pPr>
            <w:r>
              <w:rPr>
                <w:rStyle w:val="22"/>
                <w:rFonts w:hint="eastAsia"/>
                <w:color w:val="auto"/>
                <w:lang w:val="en-US" w:eastAsia="zh-CN" w:bidi="ar"/>
              </w:rPr>
              <w:t>中标供应商需提供相关仪器设备使用培训服务。</w:t>
            </w:r>
            <w:r>
              <w:rPr>
                <w:rStyle w:val="22"/>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lang w:val="en-US" w:eastAsia="zh-CN"/>
              </w:rPr>
            </w:pPr>
            <w:r>
              <w:rPr>
                <w:rFonts w:hint="eastAsia"/>
                <w:lang w:val="en-US" w:eastAsia="zh-CN"/>
              </w:rPr>
              <w:t>投标人必须是符合《中华人民共和国政府采购法》第二十二条的合格</w:t>
            </w:r>
            <w:r>
              <w:rPr>
                <w:rFonts w:hint="eastAsia"/>
                <w:lang w:val="en-US" w:eastAsia="zh-CN"/>
              </w:rPr>
              <w:br w:type="textWrapping"/>
            </w:r>
            <w:r>
              <w:rPr>
                <w:rFonts w:hint="eastAsia"/>
                <w:lang w:val="en-US" w:eastAsia="zh-CN"/>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lang w:val="en-US" w:eastAsia="zh-CN"/>
              </w:rPr>
              <w:br w:type="textWrapping"/>
            </w:r>
            <w:r>
              <w:rPr>
                <w:rFonts w:hint="eastAsia"/>
                <w:lang w:val="en-US" w:eastAsia="zh-CN"/>
              </w:rPr>
              <w:br w:type="textWrapping"/>
            </w:r>
            <w:r>
              <w:rPr>
                <w:rFonts w:hint="eastAsia"/>
                <w:lang w:val="en-US" w:eastAsia="zh-CN"/>
              </w:rPr>
              <w:t>2、其他特定资格：</w:t>
            </w:r>
            <w:r>
              <w:rPr>
                <w:rFonts w:hint="eastAsia"/>
                <w:lang w:val="en-US" w:eastAsia="zh-CN"/>
              </w:rPr>
              <w:br w:type="textWrapping"/>
            </w:r>
            <w:r>
              <w:rPr>
                <w:rFonts w:hint="eastAsia"/>
                <w:lang w:val="en-US" w:eastAsia="zh-CN"/>
              </w:rPr>
              <w:t xml:space="preserve">□无 </w:t>
            </w:r>
            <w:r>
              <w:rPr>
                <w:rFonts w:hint="eastAsia"/>
                <w:lang w:val="en-US" w:eastAsia="zh-CN"/>
              </w:rPr>
              <w:br w:type="textWrapping"/>
            </w:r>
            <w:r>
              <w:rPr>
                <w:rFonts w:hint="eastAsia"/>
                <w:lang w:val="en-US" w:eastAsia="zh-CN"/>
              </w:rPr>
              <w:t>☑有：</w:t>
            </w:r>
            <w:r>
              <w:rPr>
                <w:rFonts w:hint="eastAsia"/>
                <w:lang w:val="en-US" w:eastAsia="zh-CN"/>
              </w:rPr>
              <w:br w:type="textWrapping"/>
            </w:r>
            <w:r>
              <w:rPr>
                <w:rFonts w:hint="eastAsia"/>
                <w:lang w:val="en-US" w:eastAsia="zh-CN"/>
              </w:rPr>
              <w:t>2.1兽药经营许可证</w:t>
            </w:r>
            <w:r>
              <w:rPr>
                <w:rFonts w:hint="eastAsia"/>
                <w:lang w:val="en-US" w:eastAsia="zh-CN"/>
              </w:rPr>
              <w:br w:type="textWrapping"/>
            </w:r>
            <w:r>
              <w:rPr>
                <w:rFonts w:hint="eastAsia"/>
                <w:lang w:val="en-US" w:eastAsia="zh-CN"/>
              </w:rPr>
              <w:t>2.2中小企业声明函</w:t>
            </w:r>
          </w:p>
          <w:p>
            <w:pPr>
              <w:pStyle w:val="2"/>
              <w:numPr>
                <w:ilvl w:val="0"/>
                <w:numId w:val="0"/>
              </w:numPr>
              <w:jc w:val="both"/>
              <w:rPr>
                <w:rFonts w:hint="eastAsia"/>
                <w:lang w:val="en-US" w:eastAsia="zh-CN"/>
              </w:rPr>
            </w:pPr>
            <w:r>
              <w:rPr>
                <w:rFonts w:hint="eastAsia"/>
                <w:lang w:val="en-US" w:eastAsia="zh-CN"/>
              </w:rPr>
              <w:t>2.3二类医疗器械经营备案凭证</w:t>
            </w:r>
          </w:p>
          <w:p>
            <w:pPr>
              <w:rPr>
                <w:rFonts w:hint="eastAsia"/>
                <w:lang w:val="en-US" w:eastAsia="zh-CN"/>
              </w:rPr>
            </w:pPr>
            <w:r>
              <w:rPr>
                <w:rFonts w:hint="eastAsia"/>
                <w:lang w:val="en-US" w:eastAsia="zh-CN"/>
              </w:rPr>
              <w:t>2.4信用中国截图</w:t>
            </w:r>
          </w:p>
          <w:p>
            <w:pPr>
              <w:pStyle w:val="2"/>
              <w:ind w:left="0" w:leftChars="0" w:firstLine="0" w:firstLineChars="0"/>
              <w:rPr>
                <w:rFonts w:hint="default"/>
                <w:lang w:val="en-US" w:eastAsia="zh-CN"/>
              </w:rPr>
            </w:pPr>
            <w:r>
              <w:rPr>
                <w:rFonts w:hint="eastAsia"/>
                <w:lang w:val="en-US" w:eastAsia="zh-CN"/>
              </w:rPr>
              <w:t>2.5产品授权委托书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758"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758" w:type="dxa"/>
          <w:trHeight w:val="640" w:hRule="atLeast"/>
        </w:trPr>
        <w:tc>
          <w:tcPr>
            <w:tcW w:w="8338" w:type="dxa"/>
            <w:gridSpan w:val="5"/>
            <w:shd w:val="clear" w:color="auto" w:fill="auto"/>
            <w:vAlign w:val="center"/>
          </w:tcPr>
          <w:p>
            <w:pPr>
              <w:pStyle w:val="19"/>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9"/>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09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color w:val="0000FF"/>
                <w:sz w:val="24"/>
                <w:lang w:val="en-US" w:eastAsia="zh-CN"/>
              </w:rPr>
              <w:t>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显微镜</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1、放大倍数：40X-1000X。</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2、目镜：大视野平场目镜PL10X。目镜放大准确率（需提供国家级光学仪器检测机构出具的产品检测报告）≤±0.5%。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观察筒：数码液晶观察筒：自带智能液晶屏，IPS11.6寸1080P全高清屏，采用4KP25（清晰）/1080P60（流畅）/720P120（高速）设计，无卡顿，无拖影，支持显示屏前后，左右旋转，便于调整合适角度；可实现拍照、录像，文字标注，长度、角度、测量等。铰链式观察筒，30°倾斜；瞳距调节范围不小于50-75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4、转换器：内倾式4孔转换器。转换器定位稳定性（需提供国家级光学仪器检测机构出具的产品检测报告）≤0.002mm。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物镜：4X/NA≥0.1/WD≥15mm，10X/NA≥0.25/WD≥8.57mm，40X（S）/NA≥0.65/WD≥0.38mm，100X(S、O)/NA≥1.25/WD≥0.09mm。物镜清晰圆直径（需提供国家级光学仪器检测机构出具的产品检测报告）：4X物镜≥18.6mm、10X物镜≥18.5mm、40X物镜≥18.6mm、100X物镜≥18.5mm。物镜放大率准确度不超过（需提供国家级光学仪器检测机构出具的产品检测报告）±0.5%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*6、物镜齐焦（需提供国家级光学仪器检测机构出具的产品检测报告）：10X-4X 不超过0.01mm，10X-40X 不超过0.006mm，40X-100X 不超过0.005mm。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*7、载物台：双层复合式机械移动载物台，面积≥140×132mm，移动范围≥76×50（mm）最小读数值0.1 mm，片夹带有缓冲装置。载物台侧向受5N水平方向作用力的最大位移（需提供国家级光学仪器检测机构出具的产品检测报告）≤0.01mm， 载物台侧向受5N水平方向作用力的不重复性（需提供国家级光学仪器检测机构出具的产品检测报告）≤0.002mm。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8、聚光镜：阿贝聚光镜N.A.1.25，齿轮齿条升降，带可变孔径光阑。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9、照明系统：100V-240V宽电压输入；单颗3W 大功率高亮度LED，预定中心，亮度连续可调。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10、调焦机构：低手位粗微调同轴调焦手轮，行程≥25mm，微调精度≤0.002mm，具有调节松紧装置,防止平台下滑，带限位装置，具有切片保护功能。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*11、具有国家级光学仪器检测机构出具的产品检测报告（提供复印件加盖生产企业公章）。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*12、产品的所采用零部件和生产过程，需对有害物质进行严格控制，符合《电器电子产品有害物质限制使用管理办法》（令第32号）环保要求，提供专业机构出具的证明材料（复印件加盖生产企业公章）。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*13、为确保产品质量需提供针对本项目出具的带有项目名称和项目编号的质量及售后承诺书。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显微镜</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单目带显示屏，数码恒温显微镜;  总放大倍数:40X-1000X;                                         目镜:H10X、H25X; 转换器:三孔外倾;                                                   *195消色差物镜:4X、10X、40X(弹)支架调焦结构: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粗微动同轴，粗调行程(调焦范围)20mm，微动行程:1.3mm，微动格值0.002毫米;                                                                             载物台:固定单层方平台110mmX120mm,移动尺60mmX30mm；                                     电源:电子变压器12V5A;                                                                  显示屏：380万像素高清7寸LCD显示屏;                                                   *恒温系统:室温至50度(温度可调);                                                    包装:布手提箱包装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为确保质量，必须提供厂家针对本项目的售后服务承诺书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color w:val="0000FF"/>
                <w:sz w:val="24"/>
                <w:lang w:val="en-US" w:eastAsia="zh-CN"/>
              </w:rPr>
              <w:t>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水浴锅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1.输入电源220V 50HZ，2.功率300W，3.显示方式：LED数码管，4.孔数：1个，5.控温范围：室温+5-100°C，6.水箱容积mm：150*140*150，7.净重：3.5KG，8.产品尺寸mm：270*160*190。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羊采精架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1、外形尺寸(长*宽*高)：≥930mm*430mm*690mm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2、输精架围栏部分全部使用镀锌管，所有圆管直径≥38mm，壁厚≥2.0mm；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3、输精架底部框架方管规格≥30*30mm，壁厚≥2.0mm；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4、输精架底部铺设防滑板厚度≥2.0mm。5、按甲方提供图纸施工。</w:t>
            </w:r>
          </w:p>
        </w:tc>
        <w:tc>
          <w:tcPr>
            <w:tcW w:w="2819" w:type="dxa"/>
            <w:shd w:val="clear" w:color="auto" w:fill="auto"/>
            <w:vAlign w:val="center"/>
          </w:tcPr>
          <w:p/>
        </w:tc>
        <w:tc>
          <w:tcPr>
            <w:tcW w:w="2819" w:type="dxa"/>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B超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1、测量深度：1-30cm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2、焦点位置：1-15cm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3、频率：变频2.9-3.5-5.0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4、增益：0-255</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5、发射功率：4档（25%-50%-75%-100%）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6、灰度条：9档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7、谐波：可开启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8、动态范围：15档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9、图像优化：9档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*10、图像存储：≥30000张以上（可一键分享至微信等其他APP），需提供功能截图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*11、视频录制：≥240分钟以上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12、模式：B、CF、PW</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13、参数存储: 可存储调整后的参数状态（三种自定义）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14、测量功能: 距离(背膘、卵泡、孕囊等大小)测量、描迹周长、面积、圆面积、血流速度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15、编号注释：编号、月龄、性别、物种、厂区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*16、可调参数：焦点、频率、增益、发射功率、动态范围、TGC 曲线、灰度条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17、图像处理：谐波、图像优化等级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*18、整机防水：IPX7</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19、连接方式：仪器与智能终端以 Wi-Fi 方式无线连接                                                                                               20、配牛羊双探头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21、功能参数：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1）动物信息管理界面化操作（可导出动物信息表格Excel）表格有编号、月龄、物种、雌雄、时间、厂区、图片展示（测量时保存的图像）选择某编号可重新进行测量及保存。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*2）视频展示区，可拍摄动物或动物信息一并保存至图像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*3）3.5MHz R60 微凸牛羊体内/体外通用探头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*22、为确保产品质量需提供针对本项目出具的带有项目名称和项目编号的质量及售后承诺书。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72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液氮罐</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ascii="宋体" w:hAnsi="宋体" w:eastAsia="宋体" w:cs="宋体"/>
                <w:i w:val="0"/>
                <w:color w:val="000000"/>
                <w:kern w:val="0"/>
                <w:sz w:val="16"/>
                <w:szCs w:val="16"/>
                <w:u w:val="none"/>
                <w:lang w:val="en-US" w:eastAsia="zh-CN" w:bidi="ar"/>
              </w:rPr>
              <w:t>贮存式液氮罐：有效容积（L）：≥30；口径（MM）：≤50；外径（MM）：≤455；高度（MM）：≤690；静态液氦保存期(天)：≥285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解冻杯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总高度：211mm ；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充电时间：3-5h；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盖体直径106mm；                                                                      刷新频率：2S；                                                                     </w:t>
            </w:r>
          </w:p>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内胆高度：128 mm ；                                                                   使用环境：-10-37℃；                                                                           设定温度区间：37-40℃；                                                               内胆直径：80mm；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缓冲温差：0.1-0.3℃ ；                                                                   0-20℃恒温待机：2-4h ；                                                                        输入电压：12-14 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兽用可视输精枪（牛用）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总长度：≥400mm；手柄宽度：≥35mm；探杆长度：≥300mm；探杆直径：≥16mm；扩张头长度：≥12mm；扩张头直径：≥18mm；气通道直径：≥lmm；输精通道直径：≥6mm；头直径:≥3.9 mm；屏幕尺寸:≥3.5寸；像素：≥1500万像素；内存容量:≥16G；电池容量：≥2000毫安；输精针长度：≥650mm；外套管长度：≥650mm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64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可视输精枪外套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长度：≥65cm，25根/包（牛用）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52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细管剪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产品材质:不锈钢+ABS材质；                                                              适用范围:适用于0.25ml、0.5ml规格的冻精细管剪切操作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63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采精器材</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羊用采精通长≥15cm直径≥4.6cm，内胎长≥23cm，集精杯内直径≥3.5cm，布套长度≥19cm</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内配：羊外壳、塞子、橡皮筋、羊采精杯、棉布套、乳胶内胎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89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输精枪</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羊用，不锈钢材质；                                                                    长度22cm,直径0.1cm；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圆头光滑。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0"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1"/>
                <w:szCs w:val="21"/>
                <w:u w:val="none"/>
                <w:lang w:val="en-US" w:eastAsia="zh-CN" w:bidi="ar"/>
              </w:rPr>
              <w:t>兽用注射器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规格：5ml。                                                                        2.疫苗专用托瓶：高品质塑料材料，结实耐用，保护药瓶倾斜。                                                        3.剂量调节装置位于手柄中部，旋转调节剂量，轻松方便，适用于连续注射使用。                                                                               *4.容量误差：单次剂量注射误差不超± 3%，提供第三方权威机构出具的检测报告。                                                                            5.密封圈、活塞橡胶圈、O型垫圈均采用天然乳胶制成，可耐 130 ℃高温的高温消毒，亦耐-50℃低温，不受温度影响，抗老化，经5000 次以上连续快速推压测试，不变形，具有良好的密封性、抗压性。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*6.注射器活塞与容量筒内壁的密合性良好，在承受0.30MPa的水 压时，10s内部的有水渗出。提供第三方权威机构出具的检测报告。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*7.玻璃管耐急冷急热，将玻璃管浸入18℃~20℃水中5min，然后浸入沸水中煮沸5min提出，迅速放入18℃~20℃水中取出，不应爆裂。提供第三方权威机构出具的检测报告。                                                                8.注射器各部件均可拆卸、更换，方便清洗。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*9.手柄及枪身全部为塑料材质，结实耐用，抗冲击强度＞6.0C kj/㎡，提供第三方权威机构出具的检测报告。                                                </w:t>
            </w:r>
          </w:p>
          <w:p>
            <w:pPr>
              <w:keepNext w:val="0"/>
              <w:keepLines w:val="0"/>
              <w:widowControl/>
              <w:numPr>
                <w:ilvl w:val="0"/>
                <w:numId w:val="5"/>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 xml:space="preserve"> *10.标准鲁尔锁接口，前端外接注射针头保护、消毒装置。                                   *11.为确保质量，必须提供厂家针对本项目的售后服务承诺书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5ml注射器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5ml注射器，100支/包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一次性乳胶手套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1、规格≥30副/盒;</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2、每副无菌独立包装、无粉，天然乳胶，良好的延展性，易穿戴，高弹力，全微麻表面。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75%酒精</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75%医用酒精，500mL*30 瓶/件，可用于灭菌消毒，不能创面消毒。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新洁尔灭</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1.规格：500ml/瓶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2.型号：30瓶/箱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红水温度计</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1.棒式，红水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2.温度范围：0-100℃</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3.规格：10支/盒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19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手术托盘</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2.尺寸：≥50*35*4.8cm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脱脂棉</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1.规格：500克/卷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纱布</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1.规格：80cm*1000cm/包</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2.型号：1卷/包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灭菌缸</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1.材质：201不锈钢，带把手，带盖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2.口径：≥9cm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白凡士林</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1.产品说明：本品为多种烃的半固体混合物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2.作用与用途：有润滑、防皲裂等作用，性能稳定，不易酸败，可作为润滑剂、软膏基质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3.规格：500ml/瓶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开膣器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羊用扩阴器； 长约16.5CM；                                                                    最大开口7.5CM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1ml注射器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1ml注射器，100支/盒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试情布</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试情布   50cm*40cm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干湿温度表</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温湿两用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带盖塑料桶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容量：3L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29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塑料盆</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直径45cm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长柄镊</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1.材质：不锈钢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2.长度：≥25cm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量杯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1.材质：玻璃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2.容量：500ml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试管刷</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玻璃棒</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长：400mm,直径：6mm.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玻璃试管</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20ml，带刻度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35</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试管架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铝制，≥40孔（配套20ml试管使用）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36</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消毒喷壶</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容积：≥2升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37</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载玻片</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长方形载玻片（50片/盒）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38</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盖玻片</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24*32mm长方形盖玻片（100片/盒）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39</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酒精灯</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1.容量250ml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40</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稀释液</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41</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生理盐水</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1.规格：500ml/瓶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2.型号：30瓶/箱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42</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CIDR栓</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16"/>
                <w:szCs w:val="16"/>
                <w:u w:val="none"/>
                <w:lang w:val="en-US" w:eastAsia="zh-CN" w:bidi="ar"/>
              </w:rPr>
              <w:t>50只/包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43</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孕马血清</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ascii="宋体" w:hAnsi="宋体" w:eastAsia="宋体" w:cs="宋体"/>
                <w:i w:val="0"/>
                <w:color w:val="000000"/>
                <w:kern w:val="0"/>
                <w:sz w:val="16"/>
                <w:szCs w:val="16"/>
                <w:u w:val="none"/>
                <w:lang w:val="en-US" w:eastAsia="zh-CN" w:bidi="ar"/>
              </w:rPr>
              <w:t>每盒规格：5支*1000iu产品，5支稀释液</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【主要成分】血促性素</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【性状】本品为白色冻干块状物或粉末。</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药理作用】药效学。血促性素属于激素类药物。具有促卵泡素（FSH）和促黄体素（LH）样作用。对母畜，主要表现卵泡刺激素样作用，促进卵泡的发育和成熟，引起母畜发情；也有轻度黄体生成素样作用，促进成熟卵泡排卵甚至超数排卵。对公畜，主要表现黄体生成样作用，能增加雄激素分泌，提高性兴奋。</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【作用与用途】激素类药。主用于母畜催情和促进卵泡发育，也用于胚胎移植时的超数排卵。</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*所投产品需提供有效期内的中华人民共和国农业农村部兽药产品批准文号批件</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*为了保证产品质量，所投产品需提供生产厂家针对本项目的质量及售后服务承诺书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911"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cs="宋体"/>
                <w:sz w:val="24"/>
                <w:lang w:val="en-US" w:eastAsia="zh-CN"/>
              </w:rPr>
              <w:t>44</w:t>
            </w: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0"/>
                <w:szCs w:val="20"/>
                <w:u w:val="none"/>
                <w:lang w:val="en-US" w:eastAsia="zh-CN" w:bidi="ar"/>
              </w:rPr>
              <w:t>LH-A3</w:t>
            </w: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ascii="宋体" w:hAnsi="宋体" w:eastAsia="宋体" w:cs="宋体"/>
                <w:i w:val="0"/>
                <w:color w:val="000000"/>
                <w:kern w:val="0"/>
                <w:sz w:val="16"/>
                <w:szCs w:val="16"/>
                <w:u w:val="none"/>
                <w:lang w:val="en-US" w:eastAsia="zh-CN" w:bidi="ar"/>
              </w:rPr>
              <w:t>每盒规格：25μg×10支</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【主要成分】促黄体素释放激素A3</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【性状】本品为白色冻干块状物或粉末。</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药理作用】促黄体素释放激素A3属于激素类药。本品为人工合成的多肽激素，为丘脑下部释放的促黄体素释放激素的类似物，兼具有促黄体素和促卵泡素作用。能促使动物腺垂体释放促黄体素（LH）和促卵泡素（FSH），使血浆中LH浓度明显升高（FSH浓度轻度升高）促使卵巢的卵泡成熟而排卵。不但可使垂体合成的激素立即释放，也能够刺激激素合成。对雄性动物，可促进精子形成。</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作用与用途】多肽类激素药。能促使动物垂体前叶分泌促黄体素（LH）和促卵泡素（FSH），促使卵巢的卵泡成熟而排卵，不但可使垂体已合成的激素立即释放，也能够刺激激素的合成。对雄性动物，可促进精子形成。常用于：</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1.提高产仔数。</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2.提高情期受胎率。</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3.治疗卵泡成熟度差、排卵迟缓、卵泡囊肿。</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4.加强超数排卵效果。</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5.加强黄体功能。</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*所投产品需提供有效期内的中华人民共和国农业农村部兽药产品批准文号批件</w:t>
            </w:r>
            <w:r>
              <w:rPr>
                <w:rFonts w:ascii="宋体" w:hAnsi="宋体" w:eastAsia="宋体" w:cs="宋体"/>
                <w:i w:val="0"/>
                <w:color w:val="000000"/>
                <w:kern w:val="0"/>
                <w:sz w:val="16"/>
                <w:szCs w:val="16"/>
                <w:u w:val="none"/>
                <w:lang w:val="en-US" w:eastAsia="zh-CN" w:bidi="ar"/>
              </w:rPr>
              <w:br w:type="textWrapping"/>
            </w:r>
            <w:r>
              <w:rPr>
                <w:rFonts w:ascii="宋体" w:hAnsi="宋体" w:eastAsia="宋体" w:cs="宋体"/>
                <w:i w:val="0"/>
                <w:color w:val="000000"/>
                <w:kern w:val="0"/>
                <w:sz w:val="16"/>
                <w:szCs w:val="16"/>
                <w:u w:val="none"/>
                <w:lang w:val="en-US" w:eastAsia="zh-CN" w:bidi="ar"/>
              </w:rPr>
              <w:t>*为了保证产品质量，所投产品需提供生产厂家针对本项目的质量及售后服务承诺书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638" w:type="dxa"/>
          <w:trHeight w:val="1091" w:hRule="atLeast"/>
        </w:trPr>
        <w:tc>
          <w:tcPr>
            <w:tcW w:w="8458" w:type="dxa"/>
            <w:gridSpan w:val="6"/>
            <w:shd w:val="clear" w:color="auto" w:fill="auto"/>
            <w:vAlign w:val="center"/>
          </w:tcPr>
          <w:p>
            <w:pPr>
              <w:pStyle w:val="7"/>
              <w:spacing w:before="117" w:line="219" w:lineRule="auto"/>
              <w:jc w:val="left"/>
              <w:rPr>
                <w:rFonts w:hint="eastAsia"/>
                <w:lang w:val="en-US" w:eastAsia="zh-CN"/>
              </w:rPr>
            </w:pPr>
          </w:p>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6"/>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5638" w:type="dxa"/>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pStyle w:val="2"/>
        <w:ind w:left="0" w:leftChars="0" w:firstLine="0" w:firstLineChars="0"/>
        <w:rPr>
          <w:rFonts w:hint="eastAsia"/>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宋体" w:hAnsi="宋体" w:eastAsia="宋体" w:cs="宋体"/>
          <w:i w:val="0"/>
          <w:color w:val="000000"/>
          <w:kern w:val="0"/>
          <w:sz w:val="22"/>
          <w:szCs w:val="22"/>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36CFA"/>
    <w:multiLevelType w:val="singleLevel"/>
    <w:tmpl w:val="90336CFA"/>
    <w:lvl w:ilvl="0" w:tentative="0">
      <w:start w:val="1"/>
      <w:numFmt w:val="decimal"/>
      <w:suff w:val="space"/>
      <w:lvlText w:val="%1、"/>
      <w:lvlJc w:val="left"/>
    </w:lvl>
  </w:abstractNum>
  <w:abstractNum w:abstractNumId="1">
    <w:nsid w:val="94504BE0"/>
    <w:multiLevelType w:val="singleLevel"/>
    <w:tmpl w:val="94504BE0"/>
    <w:lvl w:ilvl="0" w:tentative="0">
      <w:start w:val="1"/>
      <w:numFmt w:val="decimal"/>
      <w:suff w:val="nothing"/>
      <w:lvlText w:val="%1、"/>
      <w:lvlJc w:val="left"/>
    </w:lvl>
  </w:abstractNum>
  <w:abstractNum w:abstractNumId="2">
    <w:nsid w:val="C673F3EB"/>
    <w:multiLevelType w:val="singleLevel"/>
    <w:tmpl w:val="C673F3EB"/>
    <w:lvl w:ilvl="0" w:tentative="0">
      <w:start w:val="1"/>
      <w:numFmt w:val="decimal"/>
      <w:lvlText w:val="%1."/>
      <w:lvlJc w:val="left"/>
      <w:pPr>
        <w:tabs>
          <w:tab w:val="left" w:pos="312"/>
        </w:tabs>
      </w:pPr>
    </w:lvl>
  </w:abstractNum>
  <w:abstractNum w:abstractNumId="3">
    <w:nsid w:val="3A39FBDD"/>
    <w:multiLevelType w:val="singleLevel"/>
    <w:tmpl w:val="3A39FBDD"/>
    <w:lvl w:ilvl="0" w:tentative="0">
      <w:start w:val="1"/>
      <w:numFmt w:val="decimal"/>
      <w:suff w:val="nothing"/>
      <w:lvlText w:val="%1、"/>
      <w:lvlJc w:val="left"/>
    </w:lvl>
  </w:abstractNum>
  <w:abstractNum w:abstractNumId="4">
    <w:nsid w:val="7F74BC42"/>
    <w:multiLevelType w:val="singleLevel"/>
    <w:tmpl w:val="7F74BC42"/>
    <w:lvl w:ilvl="0" w:tentative="0">
      <w:start w:val="3"/>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76F0CFC"/>
    <w:rsid w:val="0A345F54"/>
    <w:rsid w:val="0BB2493C"/>
    <w:rsid w:val="149D16FF"/>
    <w:rsid w:val="162A5CF2"/>
    <w:rsid w:val="20A65B1E"/>
    <w:rsid w:val="24BF46F7"/>
    <w:rsid w:val="2B310CBB"/>
    <w:rsid w:val="33EF0D3C"/>
    <w:rsid w:val="34336F3D"/>
    <w:rsid w:val="43203605"/>
    <w:rsid w:val="43B36F6B"/>
    <w:rsid w:val="43FE581F"/>
    <w:rsid w:val="444B0BEC"/>
    <w:rsid w:val="49C27395"/>
    <w:rsid w:val="4DEC4926"/>
    <w:rsid w:val="51F2218D"/>
    <w:rsid w:val="54373440"/>
    <w:rsid w:val="5B733BCD"/>
    <w:rsid w:val="61BA7759"/>
    <w:rsid w:val="6438503E"/>
    <w:rsid w:val="68F32030"/>
    <w:rsid w:val="68FB346D"/>
    <w:rsid w:val="6BF156E5"/>
    <w:rsid w:val="6F8E7460"/>
    <w:rsid w:val="702D2669"/>
    <w:rsid w:val="72880EAE"/>
    <w:rsid w:val="7BF94FE8"/>
    <w:rsid w:val="B5FBD58B"/>
    <w:rsid w:val="FF77E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4">
    <w:name w:val="heading 2"/>
    <w:basedOn w:val="1"/>
    <w:next w:val="5"/>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ind w:firstLine="420"/>
    </w:pPr>
    <w:rPr>
      <w:sz w:val="21"/>
    </w:rPr>
  </w:style>
  <w:style w:type="paragraph" w:styleId="7">
    <w:name w:val="Body Text"/>
    <w:basedOn w:val="1"/>
    <w:next w:val="1"/>
    <w:qFormat/>
    <w:uiPriority w:val="1"/>
    <w:rPr>
      <w:rFonts w:ascii="仿宋" w:hAnsi="仿宋" w:eastAsia="仿宋" w:cs="仿宋"/>
      <w:sz w:val="32"/>
      <w:szCs w:val="32"/>
      <w:lang w:val="zh-CN" w:eastAsia="zh-CN" w:bidi="zh-CN"/>
    </w:rPr>
  </w:style>
  <w:style w:type="paragraph" w:styleId="8">
    <w:name w:val="Body Text Indent"/>
    <w:basedOn w:val="1"/>
    <w:qFormat/>
    <w:uiPriority w:val="0"/>
    <w:pPr>
      <w:ind w:firstLine="560" w:firstLineChars="200"/>
    </w:pPr>
    <w:rPr>
      <w:rFonts w:eastAsia="仿宋_GB2312"/>
      <w:sz w:val="28"/>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Body Text 2"/>
    <w:basedOn w:val="1"/>
    <w:qFormat/>
    <w:uiPriority w:val="0"/>
    <w:rPr>
      <w:sz w:val="2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next w:val="1"/>
    <w:qFormat/>
    <w:uiPriority w:val="99"/>
    <w:pPr>
      <w:tabs>
        <w:tab w:val="left" w:pos="562"/>
        <w:tab w:val="left" w:pos="567"/>
        <w:tab w:val="left" w:pos="3372"/>
        <w:tab w:val="left" w:pos="3653"/>
      </w:tabs>
      <w:ind w:firstLine="420" w:firstLineChars="100"/>
    </w:pPr>
    <w:rPr>
      <w:sz w:val="21"/>
    </w:rPr>
  </w:style>
  <w:style w:type="paragraph" w:styleId="15">
    <w:name w:val="Body Text First Indent 2"/>
    <w:basedOn w:val="8"/>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20">
    <w:name w:val="font51"/>
    <w:basedOn w:val="18"/>
    <w:qFormat/>
    <w:uiPriority w:val="0"/>
    <w:rPr>
      <w:rFonts w:hint="eastAsia" w:ascii="宋体" w:hAnsi="宋体" w:eastAsia="宋体" w:cs="宋体"/>
      <w:color w:val="000000"/>
      <w:sz w:val="22"/>
      <w:szCs w:val="22"/>
      <w:u w:val="none"/>
    </w:rPr>
  </w:style>
  <w:style w:type="character" w:customStyle="1" w:styleId="21">
    <w:name w:val="font121"/>
    <w:basedOn w:val="18"/>
    <w:qFormat/>
    <w:uiPriority w:val="0"/>
    <w:rPr>
      <w:rFonts w:hint="eastAsia" w:ascii="宋体" w:hAnsi="宋体" w:eastAsia="宋体" w:cs="宋体"/>
      <w:color w:val="FF0000"/>
      <w:sz w:val="20"/>
      <w:szCs w:val="20"/>
      <w:u w:val="none"/>
    </w:rPr>
  </w:style>
  <w:style w:type="character" w:customStyle="1" w:styleId="22">
    <w:name w:val="font81"/>
    <w:basedOn w:val="18"/>
    <w:qFormat/>
    <w:uiPriority w:val="0"/>
    <w:rPr>
      <w:rFonts w:hint="eastAsia" w:ascii="宋体" w:hAnsi="宋体" w:eastAsia="宋体" w:cs="宋体"/>
      <w:color w:val="000000"/>
      <w:sz w:val="22"/>
      <w:szCs w:val="22"/>
      <w:u w:val="none"/>
    </w:rPr>
  </w:style>
  <w:style w:type="character" w:customStyle="1" w:styleId="23">
    <w:name w:val="font41"/>
    <w:basedOn w:val="18"/>
    <w:qFormat/>
    <w:uiPriority w:val="0"/>
    <w:rPr>
      <w:rFonts w:hint="eastAsia" w:ascii="宋体" w:hAnsi="宋体" w:eastAsia="宋体" w:cs="宋体"/>
      <w:color w:val="000000"/>
      <w:sz w:val="22"/>
      <w:szCs w:val="22"/>
      <w:u w:val="single"/>
    </w:rPr>
  </w:style>
  <w:style w:type="character" w:customStyle="1" w:styleId="24">
    <w:name w:val="font71"/>
    <w:basedOn w:val="18"/>
    <w:qFormat/>
    <w:uiPriority w:val="0"/>
    <w:rPr>
      <w:rFonts w:hint="eastAsia" w:ascii="宋体" w:hAnsi="宋体" w:eastAsia="宋体" w:cs="宋体"/>
      <w:b/>
      <w:color w:val="FF0000"/>
      <w:sz w:val="20"/>
      <w:szCs w:val="20"/>
      <w:u w:val="none"/>
    </w:rPr>
  </w:style>
  <w:style w:type="character" w:customStyle="1" w:styleId="25">
    <w:name w:val="font61"/>
    <w:basedOn w:val="18"/>
    <w:qFormat/>
    <w:uiPriority w:val="0"/>
    <w:rPr>
      <w:rFonts w:hint="eastAsia" w:ascii="宋体" w:hAnsi="宋体" w:eastAsia="宋体" w:cs="宋体"/>
      <w:color w:val="000000"/>
      <w:sz w:val="22"/>
      <w:szCs w:val="22"/>
      <w:u w:val="single"/>
    </w:rPr>
  </w:style>
  <w:style w:type="character" w:customStyle="1" w:styleId="26">
    <w:name w:val="font31"/>
    <w:basedOn w:val="18"/>
    <w:qFormat/>
    <w:uiPriority w:val="0"/>
    <w:rPr>
      <w:rFonts w:hint="eastAsia" w:ascii="宋体" w:hAnsi="宋体" w:eastAsia="宋体" w:cs="宋体"/>
      <w:b/>
      <w:color w:val="000000"/>
      <w:sz w:val="22"/>
      <w:szCs w:val="22"/>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2024-07-12T10:08:00Z</dcterms:created>
  <dc:creator>Administrator</dc:creator>
  <cp:lastModifiedBy>Administrator</cp:lastModifiedBy>
  <dcterms:modified xsi:type="dcterms:W3CDTF">2025-06-18T05:33:45Z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DF4FF74045124A6C9EB70C6A000EA5B8_13</vt:lpwstr>
  </property>
</Properties>
</file>