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胶片打印机</w:t>
      </w:r>
      <w:r>
        <w:rPr>
          <w:rFonts w:hint="eastAsia"/>
          <w:b/>
          <w:bCs/>
          <w:sz w:val="32"/>
          <w:szCs w:val="32"/>
        </w:rPr>
        <w:t>招标参数要求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厂商资质: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1、厂商须具有热敏相机医疗器械生产许可证;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2、打印系统生产厂商具有医疗器械生产许可证: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3、打印系统生产厂商具有ISO13485质量体系认证: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4、生产厂商具有强大的本地化服务能力,配备并提供400和800国内免费电话，24小时不间断的远程维护与服务</w:t>
      </w:r>
      <w:r>
        <w:rPr>
          <w:rFonts w:hint="eastAsia"/>
          <w:sz w:val="30"/>
          <w:szCs w:val="30"/>
          <w:lang w:val="en-US" w:eastAsia="zh-CN"/>
        </w:rPr>
        <w:t>.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产品资质:</w:t>
      </w:r>
    </w:p>
    <w:p>
      <w:pPr>
        <w:rPr>
          <w:rFonts w:hint="eastAsia"/>
          <w:sz w:val="30"/>
          <w:szCs w:val="30"/>
        </w:rPr>
      </w:pPr>
      <w:bookmarkStart w:id="1" w:name="_GoBack"/>
      <w:bookmarkStart w:id="0" w:name="OLE_LINK1"/>
      <w:r>
        <w:rPr>
          <w:rFonts w:hint="eastAsia"/>
          <w:sz w:val="30"/>
          <w:szCs w:val="30"/>
        </w:rPr>
        <w:t>1、打印机必须是热敏打印机;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2、设备开放权限，实现所有厂家胶片及所有规格胶片均可在其上打印;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3、打印系统的胶片打印机使用干式热敏打印技术;胶片分辨率&gt;320dpi、灰阶≥14bit，8X10，14X17胶片打印速度≥90张/小时;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4、自助打印机接口费由设备提供商承担: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5、自助打印机需提供服务器，实现电子云胶片功能;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6、自助打印终端配备摄像头，记录病人自助打印过程;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7、自助打印终端满足多主机共享打印需求，支持≥2种尺寸胶片;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8、自助打印终端软件全中文图形化界面，动画与语音提示病人操作;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9、自助打印终端屏幕防爆处理;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10、自助打印系统支持第三方PACS/RIS进行数据集成;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11、自助打印系统支持集中监控各个终端运行状态(网络故障、缺纸、缺片等);12、自助打印系统常规OCR识别率99%以上;</w:t>
      </w:r>
    </w:p>
    <w:bookmarkEnd w:id="0"/>
    <w:p>
      <w:pPr>
        <w:rPr>
          <w:sz w:val="30"/>
          <w:szCs w:val="30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6F75"/>
    <w:rsid w:val="76D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493</Characters>
  <Lines>0</Lines>
  <Paragraphs>0</Paragraphs>
  <TotalTime>6</TotalTime>
  <ScaleCrop>false</ScaleCrop>
  <LinksUpToDate>false</LinksUpToDate>
  <CharactersWithSpaces>493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2025-02-21T03:20:00Z</dcterms:created>
  <dc:creator>Administrator</dc:creator>
  <cp:lastModifiedBy>Administrator</cp:lastModifiedBy>
  <dcterms:modified xsi:type="dcterms:W3CDTF">2025-02-21T03:38:58Z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85290A71A1DB46959CE0EF3ED5919045</vt:lpwstr>
  </property>
</Properties>
</file>