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olor w:val="auto"/>
          <w:sz w:val="32"/>
          <w:szCs w:val="32"/>
          <w:u w:val="single"/>
        </w:rPr>
        <w:drawing>
          <wp:anchor distT="0" distB="0" distL="114300" distR="114300" simplePos="0" relativeHeight="251659264" behindDoc="0" locked="0" layoutInCell="1" allowOverlap="1">
            <wp:simplePos x="0" y="0"/>
            <wp:positionH relativeFrom="column">
              <wp:posOffset>3368675</wp:posOffset>
            </wp:positionH>
            <wp:positionV relativeFrom="paragraph">
              <wp:posOffset>501650</wp:posOffset>
            </wp:positionV>
            <wp:extent cx="1493520" cy="1445895"/>
            <wp:effectExtent l="0" t="0" r="0" b="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493520" cy="1445895"/>
                    </a:xfrm>
                    <a:prstGeom prst="rect">
                      <a:avLst/>
                    </a:prstGeom>
                  </pic:spPr>
                </pic:pic>
              </a:graphicData>
            </a:graphic>
          </wp:anchor>
        </w:drawing>
      </w:r>
      <w:r>
        <w:rPr>
          <w:rFonts w:hint="eastAsia" w:ascii="方正小标宋简体" w:hAnsi="方正小标宋简体" w:eastAsia="方正小标宋简体" w:cs="宋体"/>
          <w:color w:val="auto"/>
          <w:sz w:val="56"/>
          <w:szCs w:val="56"/>
        </w:rPr>
        <w:t>采 购 需 求</w:t>
      </w:r>
    </w:p>
    <w:p>
      <w:pPr>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奇台县第四幼儿园购置书架</w:t>
      </w:r>
      <w:r>
        <w:rPr>
          <w:rFonts w:hint="eastAsia" w:ascii="方正小标宋简体" w:hAnsi="方正小标宋简体" w:eastAsia="方正小标宋简体"/>
          <w:color w:val="auto"/>
          <w:sz w:val="32"/>
          <w:szCs w:val="32"/>
          <w:u w:val="single"/>
        </w:rPr>
        <w:t xml:space="preserve">                  </w:t>
      </w:r>
    </w:p>
    <w:p>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奇台县第四幼儿园</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i w:val="0"/>
          <w:color w:val="auto"/>
          <w:kern w:val="0"/>
          <w:sz w:val="28"/>
          <w:szCs w:val="28"/>
          <w:u w:val="none"/>
          <w:lang w:val="en-US" w:eastAsia="zh-CN" w:bidi="ar"/>
        </w:rPr>
        <w:t>为放置幼儿图书及教师读物等阅读材料，切实提高幼儿及教师良好的阅读氛围，</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1.25万元整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最高限价：1.25</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书架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列</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color w:val="auto"/>
                <w:lang w:val="en-US" w:eastAsia="zh-CN" w:bidi="ar"/>
              </w:rPr>
              <w:t>验收合格后，</w:t>
            </w:r>
            <w:r>
              <w:rPr>
                <w:rStyle w:val="18"/>
                <w:rFonts w:hint="eastAsia"/>
                <w:color w:val="auto"/>
                <w:lang w:val="en-US" w:eastAsia="zh-CN" w:bidi="ar"/>
              </w:rPr>
              <w:t>一次性付款</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7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980" w:firstLineChars="900"/>
              <w:jc w:val="both"/>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奇台县第四幼儿园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r>
              <w:rPr>
                <w:rFonts w:hint="eastAsia" w:ascii="宋体" w:hAnsi="宋体" w:eastAsia="宋体" w:cs="宋体"/>
                <w:i w:val="0"/>
                <w:color w:val="auto"/>
                <w:kern w:val="0"/>
                <w:sz w:val="22"/>
                <w:szCs w:val="22"/>
                <w:u w:val="none"/>
                <w:lang w:val="en-US" w:eastAsia="zh-CN" w:bidi="ar"/>
              </w:rPr>
              <w:br w:type="textWrapping"/>
            </w:r>
          </w:p>
          <w:p>
            <w:pPr>
              <w:snapToGrid w:val="0"/>
              <w:spacing w:line="500" w:lineRule="exact"/>
              <w:ind w:firstLine="440" w:firstLineChars="200"/>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规格型号：书架的尺寸（如高度、宽度、深度）、层数、层间距等是否符合合同约定的规格型号，以满足幼儿和教师存放图书及物品的需求。核实书架的材质是否与合同规定一致，包括板材的种类（如实木等）、质量等级、环保标准等。对于幼儿书架，需特别关注其材质是否无毒无害，符合幼儿使用的安全标准。</w:t>
            </w:r>
          </w:p>
          <w:p>
            <w:pPr>
              <w:numPr>
                <w:ilvl w:val="0"/>
                <w:numId w:val="2"/>
              </w:numPr>
              <w:snapToGrid w:val="0"/>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供方应随货物提供合格证和质量证明文件</w:t>
            </w:r>
            <w:r>
              <w:rPr>
                <w:rFonts w:hint="eastAsia" w:ascii="宋体" w:hAnsi="宋体" w:eastAsia="宋体" w:cs="宋体"/>
                <w:sz w:val="21"/>
                <w:szCs w:val="21"/>
                <w:lang w:eastAsia="zh-CN"/>
              </w:rPr>
              <w:t>。</w:t>
            </w:r>
          </w:p>
          <w:p>
            <w:pPr>
              <w:numPr>
                <w:ilvl w:val="0"/>
                <w:numId w:val="0"/>
              </w:numPr>
              <w:snapToGrid w:val="0"/>
              <w:spacing w:line="5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所交货物的各种质量指标按谈判文件要求的技术指标和样品进行验收，售后服务质量要求按照竞价通知书和响应文件的内容执行。供方交货时，需方可根据需要随机抽取一部分货物送有关权威检测部门检测，如检测不合格，供方负责赔偿需方一切损失。</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货物验收报告应由</w:t>
            </w:r>
            <w:r>
              <w:rPr>
                <w:rFonts w:hint="eastAsia" w:ascii="宋体" w:hAnsi="宋体" w:eastAsia="宋体" w:cs="宋体"/>
                <w:sz w:val="21"/>
                <w:szCs w:val="21"/>
                <w:lang w:val="en-US" w:eastAsia="zh-CN"/>
              </w:rPr>
              <w:t>甲</w:t>
            </w:r>
            <w:r>
              <w:rPr>
                <w:rFonts w:hint="eastAsia" w:ascii="宋体" w:hAnsi="宋体" w:eastAsia="宋体" w:cs="宋体"/>
                <w:sz w:val="21"/>
                <w:szCs w:val="21"/>
              </w:rPr>
              <w:t>方相关人员签字，并加盖公章，以此作为支付凭据。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73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w:t>
            </w:r>
            <w:r>
              <w:rPr>
                <w:rStyle w:val="21"/>
                <w:color w:val="auto"/>
                <w:lang w:val="en-US" w:eastAsia="zh-CN" w:bidi="ar"/>
              </w:rPr>
              <w:t xml:space="preserve">   （年或月）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r>
              <w:rPr>
                <w:rStyle w:val="22"/>
                <w:i/>
                <w:iCs/>
                <w:color w:val="auto"/>
                <w:lang w:val="en-US" w:eastAsia="zh-CN" w:bidi="ar"/>
              </w:rPr>
              <w:br w:type="textWrapping"/>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3"/>
              </w:numPr>
              <w:suppressLineNumbers w:val="0"/>
              <w:ind w:firstLine="42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sz w:val="21"/>
                <w:szCs w:val="21"/>
                <w:lang w:val="en-US" w:eastAsia="zh-CN"/>
              </w:rPr>
              <w:t>书架</w:t>
            </w:r>
            <w:r>
              <w:rPr>
                <w:rFonts w:hint="eastAsia" w:ascii="宋体" w:hAnsi="宋体" w:eastAsia="宋体" w:cs="宋体"/>
                <w:sz w:val="21"/>
                <w:szCs w:val="21"/>
              </w:rPr>
              <w:t>质保期为</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rPr>
              <w:t>年，自最终验收合格之日起至质保期届满且经甲方确认无任何质量问题时止。乙方要严格履行售后服务要求，质保期内提供免费保养、更换服务</w:t>
            </w:r>
            <w:r>
              <w:rPr>
                <w:rFonts w:hint="eastAsia" w:ascii="宋体" w:hAnsi="宋体" w:eastAsia="宋体" w:cs="宋体"/>
                <w:sz w:val="21"/>
                <w:szCs w:val="21"/>
                <w:lang w:eastAsia="zh-CN"/>
              </w:rPr>
              <w:t>，</w:t>
            </w:r>
            <w:r>
              <w:rPr>
                <w:rFonts w:hint="eastAsia" w:ascii="宋体" w:hAnsi="宋体" w:eastAsia="宋体" w:cs="宋体"/>
                <w:sz w:val="21"/>
                <w:szCs w:val="21"/>
              </w:rPr>
              <w:t>如存在质量问题或货物质量检测问题方面的纠纷，乙方需承担纠纷内的所有经济及法律责任。质保期外，以优惠的价格提供更换、维修服务。</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397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 供应商需上传营业执照扫描件、法人身份证扫描件、开户许可证扫描件，竞价货物的检验报告。</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13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keepNext w:val="0"/>
              <w:keepLines w:val="0"/>
              <w:widowControl/>
              <w:suppressLineNumbers w:val="0"/>
              <w:ind w:firstLine="440" w:firstLineChars="2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FF0000"/>
                <w:sz w:val="22"/>
                <w:szCs w:val="22"/>
                <w:u w:val="none"/>
                <w:lang w:val="en-US" w:eastAsia="zh-CN"/>
              </w:rPr>
              <w:t>要求：可调节升降，竞价含运费及安装费，提供竞价附件需提供实物照片，如图片与所需物品不一致，将视为不符合处理，严格按照参数执行，如货品到货后参数不符，后期退货所有费用由供应商承担。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2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8"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书架</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采用spcc优质冷轧钢板，经过磷化，酸洗，高温喷塑，无甲醛无异味坚固耐用。木侧护板，顶底护板采用优质橡胶木制作。</w:t>
            </w:r>
          </w:p>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款式：单</w:t>
            </w:r>
            <w:r>
              <w:rPr>
                <w:rFonts w:hint="eastAsia" w:ascii="宋体" w:hAnsi="宋体" w:eastAsia="宋体" w:cs="宋体"/>
                <w:i w:val="0"/>
                <w:color w:val="auto"/>
                <w:sz w:val="22"/>
                <w:szCs w:val="22"/>
                <w:u w:val="none"/>
              </w:rPr>
              <w:t>面</w:t>
            </w:r>
            <w:r>
              <w:rPr>
                <w:rFonts w:hint="eastAsia" w:ascii="宋体" w:hAnsi="宋体" w:eastAsia="宋体" w:cs="宋体"/>
                <w:i w:val="0"/>
                <w:color w:val="auto"/>
                <w:sz w:val="22"/>
                <w:szCs w:val="22"/>
                <w:u w:val="none"/>
                <w:lang w:val="en-US" w:eastAsia="zh-CN"/>
              </w:rPr>
              <w:t xml:space="preserve">  一列两组  </w:t>
            </w:r>
          </w:p>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工艺：环保喷塑 钢架结构，实木包边</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尺寸：≧1900*</w:t>
            </w:r>
            <w:r>
              <w:rPr>
                <w:rFonts w:hint="eastAsia" w:ascii="宋体" w:hAnsi="宋体" w:eastAsia="宋体" w:cs="宋体"/>
                <w:i w:val="0"/>
                <w:color w:val="auto"/>
                <w:sz w:val="22"/>
                <w:szCs w:val="22"/>
                <w:u w:val="none"/>
                <w:lang w:val="en-US" w:eastAsia="zh-CN"/>
              </w:rPr>
              <w:t>300</w:t>
            </w:r>
            <w:r>
              <w:rPr>
                <w:rFonts w:hint="eastAsia" w:ascii="宋体" w:hAnsi="宋体" w:eastAsia="宋体" w:cs="宋体"/>
                <w:i w:val="0"/>
                <w:color w:val="auto"/>
                <w:sz w:val="22"/>
                <w:szCs w:val="22"/>
                <w:u w:val="none"/>
              </w:rPr>
              <w:t>*2000mm ，偏差±30 mm</w:t>
            </w:r>
          </w:p>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rPr>
              <w:t>材质：</w:t>
            </w:r>
            <w:r>
              <w:rPr>
                <w:rFonts w:hint="eastAsia" w:ascii="宋体" w:hAnsi="宋体" w:eastAsia="宋体" w:cs="宋体"/>
                <w:i w:val="0"/>
                <w:color w:val="auto"/>
                <w:sz w:val="22"/>
                <w:szCs w:val="22"/>
                <w:u w:val="none"/>
                <w:lang w:val="en-US" w:eastAsia="zh-CN"/>
              </w:rPr>
              <w:t xml:space="preserve">SPCC优质冷轧钢    </w:t>
            </w:r>
          </w:p>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rPr>
              <w:t>颜色：原木色</w:t>
            </w:r>
          </w:p>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单层承重：≥80kg</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书架层数：</w:t>
            </w:r>
            <w:r>
              <w:rPr>
                <w:rFonts w:hint="eastAsia" w:ascii="宋体" w:hAnsi="宋体" w:eastAsia="宋体" w:cs="宋体"/>
                <w:i w:val="0"/>
                <w:color w:val="auto"/>
                <w:sz w:val="22"/>
                <w:szCs w:val="22"/>
                <w:u w:val="none"/>
                <w:lang w:val="en-US" w:eastAsia="zh-CN"/>
              </w:rPr>
              <w:t>≥</w:t>
            </w:r>
            <w:r>
              <w:rPr>
                <w:rFonts w:hint="eastAsia" w:ascii="宋体" w:hAnsi="宋体" w:eastAsia="宋体" w:cs="宋体"/>
                <w:i w:val="0"/>
                <w:color w:val="auto"/>
                <w:sz w:val="22"/>
                <w:szCs w:val="22"/>
                <w:u w:val="none"/>
              </w:rPr>
              <w:t>5层</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层高：≧340mm</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1、钢结构</w:t>
            </w:r>
            <w:r>
              <w:rPr>
                <w:rFonts w:hint="eastAsia" w:ascii="宋体" w:hAnsi="宋体" w:eastAsia="宋体" w:cs="宋体"/>
                <w:i w:val="0"/>
                <w:color w:val="auto"/>
                <w:sz w:val="22"/>
                <w:szCs w:val="22"/>
                <w:u w:val="none"/>
              </w:rPr>
              <w:t>厚度：立柱≧1.</w:t>
            </w:r>
            <w:r>
              <w:rPr>
                <w:rFonts w:hint="eastAsia" w:ascii="宋体" w:hAnsi="宋体" w:eastAsia="宋体" w:cs="宋体"/>
                <w:i w:val="0"/>
                <w:color w:val="auto"/>
                <w:sz w:val="22"/>
                <w:szCs w:val="22"/>
                <w:u w:val="none"/>
                <w:lang w:val="en-US" w:eastAsia="zh-CN"/>
              </w:rPr>
              <w:t>3</w:t>
            </w:r>
            <w:r>
              <w:rPr>
                <w:rFonts w:hint="eastAsia" w:ascii="宋体" w:hAnsi="宋体" w:eastAsia="宋体" w:cs="宋体"/>
                <w:i w:val="0"/>
                <w:color w:val="auto"/>
                <w:sz w:val="22"/>
                <w:szCs w:val="22"/>
                <w:u w:val="none"/>
              </w:rPr>
              <w:t>mm</w:t>
            </w:r>
          </w:p>
          <w:p>
            <w:pPr>
              <w:ind w:firstLine="660" w:firstLineChars="300"/>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侧板：≥</w:t>
            </w:r>
            <w:r>
              <w:rPr>
                <w:rFonts w:hint="eastAsia" w:ascii="宋体" w:hAnsi="宋体" w:eastAsia="宋体" w:cs="宋体"/>
                <w:i w:val="0"/>
                <w:color w:val="auto"/>
                <w:sz w:val="22"/>
                <w:szCs w:val="22"/>
                <w:u w:val="none"/>
                <w:lang w:val="en-US" w:eastAsia="zh-CN"/>
              </w:rPr>
              <w:t>0.7</w:t>
            </w:r>
            <w:r>
              <w:rPr>
                <w:rFonts w:hint="eastAsia" w:ascii="宋体" w:hAnsi="宋体" w:eastAsia="宋体" w:cs="宋体"/>
                <w:i w:val="0"/>
                <w:color w:val="auto"/>
                <w:sz w:val="22"/>
                <w:szCs w:val="22"/>
                <w:u w:val="none"/>
              </w:rPr>
              <w:t>mm</w:t>
            </w:r>
          </w:p>
          <w:p>
            <w:pPr>
              <w:ind w:firstLine="660" w:firstLineChars="300"/>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横梁：≥</w:t>
            </w:r>
            <w:r>
              <w:rPr>
                <w:rFonts w:hint="eastAsia" w:ascii="宋体" w:hAnsi="宋体" w:eastAsia="宋体" w:cs="宋体"/>
                <w:i w:val="0"/>
                <w:color w:val="auto"/>
                <w:sz w:val="22"/>
                <w:szCs w:val="22"/>
                <w:u w:val="none"/>
                <w:lang w:val="en-US" w:eastAsia="zh-CN"/>
              </w:rPr>
              <w:t>1</w:t>
            </w:r>
            <w:r>
              <w:rPr>
                <w:rFonts w:hint="eastAsia" w:ascii="宋体" w:hAnsi="宋体" w:eastAsia="宋体" w:cs="宋体"/>
                <w:i w:val="0"/>
                <w:color w:val="auto"/>
                <w:sz w:val="22"/>
                <w:szCs w:val="22"/>
                <w:u w:val="none"/>
              </w:rPr>
              <w:t>mm</w:t>
            </w:r>
          </w:p>
          <w:p>
            <w:pPr>
              <w:ind w:firstLine="660" w:firstLineChars="300"/>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rPr>
              <w:t>隔板、顶板</w:t>
            </w:r>
            <w:r>
              <w:rPr>
                <w:rFonts w:hint="eastAsia" w:ascii="宋体" w:hAnsi="宋体" w:eastAsia="宋体" w:cs="宋体"/>
                <w:i w:val="0"/>
                <w:color w:val="auto"/>
                <w:sz w:val="22"/>
                <w:szCs w:val="22"/>
                <w:u w:val="none"/>
                <w:lang w:eastAsia="zh-CN"/>
              </w:rPr>
              <w:t>：</w:t>
            </w:r>
            <w:r>
              <w:rPr>
                <w:rFonts w:hint="eastAsia" w:ascii="宋体" w:hAnsi="宋体" w:eastAsia="宋体" w:cs="宋体"/>
                <w:i w:val="0"/>
                <w:color w:val="auto"/>
                <w:sz w:val="22"/>
                <w:szCs w:val="22"/>
                <w:u w:val="none"/>
              </w:rPr>
              <w:t>≧</w:t>
            </w:r>
            <w:r>
              <w:rPr>
                <w:rFonts w:hint="eastAsia" w:ascii="宋体" w:hAnsi="宋体" w:eastAsia="宋体" w:cs="宋体"/>
                <w:i w:val="0"/>
                <w:color w:val="auto"/>
                <w:sz w:val="22"/>
                <w:szCs w:val="22"/>
                <w:u w:val="none"/>
                <w:lang w:val="en-US" w:eastAsia="zh-CN"/>
              </w:rPr>
              <w:t>1</w:t>
            </w:r>
            <w:r>
              <w:rPr>
                <w:rFonts w:hint="eastAsia" w:ascii="宋体" w:hAnsi="宋体" w:eastAsia="宋体" w:cs="宋体"/>
                <w:i w:val="0"/>
                <w:color w:val="auto"/>
                <w:sz w:val="22"/>
                <w:szCs w:val="22"/>
                <w:u w:val="none"/>
              </w:rPr>
              <w:t>mm</w:t>
            </w:r>
            <w:r>
              <w:rPr>
                <w:rFonts w:hint="eastAsia" w:ascii="宋体" w:hAnsi="宋体" w:eastAsia="宋体" w:cs="宋体"/>
                <w:i w:val="0"/>
                <w:color w:val="auto"/>
                <w:sz w:val="22"/>
                <w:szCs w:val="22"/>
                <w:u w:val="none"/>
                <w:lang w:val="en-US" w:eastAsia="zh-CN"/>
              </w:rPr>
              <w:t xml:space="preserve">  </w:t>
            </w:r>
          </w:p>
          <w:p>
            <w:pPr>
              <w:ind w:firstLine="660" w:firstLineChars="300"/>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挂板</w:t>
            </w:r>
            <w:r>
              <w:rPr>
                <w:rFonts w:hint="eastAsia" w:ascii="宋体" w:hAnsi="宋体" w:eastAsia="宋体" w:cs="宋体"/>
                <w:i w:val="0"/>
                <w:color w:val="auto"/>
                <w:sz w:val="22"/>
                <w:szCs w:val="22"/>
                <w:u w:val="none"/>
                <w:lang w:eastAsia="zh-CN"/>
              </w:rPr>
              <w:t>：</w:t>
            </w:r>
            <w:r>
              <w:rPr>
                <w:rFonts w:hint="eastAsia" w:ascii="宋体" w:hAnsi="宋体" w:eastAsia="宋体" w:cs="宋体"/>
                <w:i w:val="0"/>
                <w:color w:val="auto"/>
                <w:sz w:val="22"/>
                <w:szCs w:val="22"/>
                <w:u w:val="none"/>
                <w:lang w:val="en-US" w:eastAsia="zh-CN"/>
              </w:rPr>
              <w:t>≥</w:t>
            </w:r>
            <w:r>
              <w:rPr>
                <w:rFonts w:hint="eastAsia" w:ascii="宋体" w:hAnsi="宋体" w:eastAsia="宋体" w:cs="宋体"/>
                <w:i w:val="0"/>
                <w:color w:val="auto"/>
                <w:sz w:val="22"/>
                <w:szCs w:val="22"/>
                <w:u w:val="none"/>
              </w:rPr>
              <w:t>1mm</w:t>
            </w:r>
          </w:p>
          <w:p>
            <w:pPr>
              <w:numPr>
                <w:ilvl w:val="0"/>
                <w:numId w:val="0"/>
              </w:num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2、实木包边木：侧板厚≥18mm</w:t>
            </w:r>
          </w:p>
          <w:p>
            <w:pPr>
              <w:numPr>
                <w:ilvl w:val="0"/>
                <w:numId w:val="0"/>
              </w:numPr>
              <w:ind w:leftChars="200"/>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顶护板厚≥25mm</w:t>
            </w:r>
          </w:p>
          <w:p>
            <w:pPr>
              <w:numPr>
                <w:ilvl w:val="0"/>
                <w:numId w:val="0"/>
              </w:numPr>
              <w:ind w:leftChars="200"/>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底护板厚≥16mm</w:t>
            </w:r>
          </w:p>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奇台县第四幼儿园书架报价单（货物类）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96543-DDD1-4EF4-AD4B-9207451871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embedRegular r:id="rId2" w:fontKey="{84A07B7D-F9C0-4BB5-8497-92F8B150C86C}"/>
  </w:font>
  <w:font w:name="方正小标宋简体">
    <w:panose1 w:val="02000000000000000000"/>
    <w:charset w:val="86"/>
    <w:family w:val="auto"/>
    <w:pitch w:val="default"/>
    <w:sig w:usb0="A00002BF" w:usb1="184F6CFA" w:usb2="00000012" w:usb3="00000000" w:csb0="00040001" w:csb1="00000000"/>
    <w:embedRegular r:id="rId3" w:fontKey="{1570DEDC-A7E7-432E-8506-77373A409E39}"/>
  </w:font>
  <w:font w:name="楷体_GB2312">
    <w:panose1 w:val="02010609030101010101"/>
    <w:charset w:val="86"/>
    <w:family w:val="auto"/>
    <w:pitch w:val="default"/>
    <w:sig w:usb0="00000001" w:usb1="080E0000" w:usb2="00000000" w:usb3="00000000" w:csb0="00040000" w:csb1="00000000"/>
    <w:embedRegular r:id="rId4" w:fontKey="{4597914A-A167-49D4-9A88-50D1F9205D65}"/>
  </w:font>
  <w:font w:name="微软雅黑">
    <w:panose1 w:val="020B0503020204020204"/>
    <w:charset w:val="86"/>
    <w:family w:val="auto"/>
    <w:pitch w:val="default"/>
    <w:sig w:usb0="80000287" w:usb1="2ACF3C50" w:usb2="00000016" w:usb3="00000000" w:csb0="0004001F" w:csb1="00000000"/>
    <w:embedRegular r:id="rId5" w:fontKey="{8A316E5F-1BD7-4D15-B15E-BAEABC74E1CA}"/>
  </w:font>
  <w:font w:name="仿宋_GB2312">
    <w:panose1 w:val="02010609030101010101"/>
    <w:charset w:val="86"/>
    <w:family w:val="auto"/>
    <w:pitch w:val="default"/>
    <w:sig w:usb0="00000001" w:usb1="080E0000" w:usb2="00000000" w:usb3="00000000" w:csb0="00040000" w:csb1="00000000"/>
    <w:embedRegular r:id="rId6" w:fontKey="{DC5E9A65-1D8E-410D-BD53-CE8B9A9C90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B7049"/>
    <w:multiLevelType w:val="singleLevel"/>
    <w:tmpl w:val="90EB7049"/>
    <w:lvl w:ilvl="0" w:tentative="0">
      <w:start w:val="2"/>
      <w:numFmt w:val="decimal"/>
      <w:suff w:val="nothing"/>
      <w:lvlText w:val="%1、"/>
      <w:lvlJc w:val="left"/>
    </w:lvl>
  </w:abstractNum>
  <w:abstractNum w:abstractNumId="1">
    <w:nsid w:val="F6FC834A"/>
    <w:multiLevelType w:val="singleLevel"/>
    <w:tmpl w:val="F6FC834A"/>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1584B7C"/>
    <w:rsid w:val="29F27035"/>
    <w:rsid w:val="317E07E5"/>
    <w:rsid w:val="34336F3D"/>
    <w:rsid w:val="36747394"/>
    <w:rsid w:val="37164F30"/>
    <w:rsid w:val="3D3300BF"/>
    <w:rsid w:val="3EBC6985"/>
    <w:rsid w:val="43B36F6B"/>
    <w:rsid w:val="43BC3B29"/>
    <w:rsid w:val="4A2777A0"/>
    <w:rsid w:val="51E15B0D"/>
    <w:rsid w:val="58910F35"/>
    <w:rsid w:val="606A3A73"/>
    <w:rsid w:val="67844C2B"/>
    <w:rsid w:val="6D124381"/>
    <w:rsid w:val="702D2669"/>
    <w:rsid w:val="74177178"/>
    <w:rsid w:val="762A4255"/>
    <w:rsid w:val="7A6C682D"/>
    <w:rsid w:val="7BF46A82"/>
    <w:rsid w:val="7CBA09B3"/>
    <w:rsid w:val="7DDB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1088</Words>
  <Characters>1102</Characters>
  <Lines>0</Lines>
  <Paragraphs>0</Paragraphs>
  <TotalTime>5</TotalTime>
  <ScaleCrop>false</ScaleCrop>
  <LinksUpToDate>false</LinksUpToDate>
  <CharactersWithSpaces>1224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2025-03-09T13:17:52Z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913D776370A94C9993AFF7FE6C4229FD</vt:lpwstr>
  </property>
  <property fmtid="{D5CDD505-2E9C-101B-9397-08002B2CF9AE}" pid="4" name="KSOTemplateDocerSaveRecord">
    <vt:lpwstr>eyJoZGlkIjoiZjFiZDQ0OTIxYzZmNGYyYTIwMjBlYTg5MDcyYjQ4MDYiLCJ1c2VySWQiOiI1NDY1MTIzOTcifQ==</vt:lpwstr>
  </property>
</Properties>
</file>