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419779">
      <w:pPr>
        <w:jc w:val="both"/>
        <w:rPr>
          <w:rFonts w:hint="default" w:asciiTheme="majorAscii"/>
          <w:b/>
          <w:bCs/>
          <w:color w:val="auto"/>
          <w:sz w:val="24"/>
          <w:szCs w:val="24"/>
          <w:lang w:val="en-US" w:eastAsia="zh-CN"/>
        </w:rPr>
      </w:pPr>
      <w:r>
        <w:rPr>
          <w:rFonts w:hint="eastAsia" w:asciiTheme="majorAscii"/>
          <w:b/>
          <w:bCs/>
          <w:color w:val="auto"/>
          <w:sz w:val="24"/>
          <w:szCs w:val="24"/>
          <w:lang w:val="en-US" w:eastAsia="zh-CN"/>
        </w:rPr>
        <w:t>附件3</w:t>
      </w:r>
    </w:p>
    <w:p w14:paraId="2ED98A31">
      <w:pPr>
        <w:jc w:val="center"/>
        <w:rPr>
          <w:rFonts w:hint="eastAsia" w:ascii="方正小标宋简体" w:hAnsi="方正小标宋简体" w:eastAsia="方正小标宋简体" w:cs="宋体"/>
          <w:color w:val="auto"/>
          <w:sz w:val="56"/>
          <w:szCs w:val="56"/>
        </w:rPr>
      </w:pPr>
    </w:p>
    <w:p w14:paraId="44B73CB9">
      <w:pPr>
        <w:jc w:val="center"/>
        <w:rPr>
          <w:rFonts w:hint="eastAsia" w:ascii="方正小标宋简体" w:hAnsi="方正小标宋简体" w:eastAsia="方正小标宋简体" w:cs="宋体"/>
          <w:color w:val="auto"/>
          <w:sz w:val="56"/>
          <w:szCs w:val="56"/>
        </w:rPr>
      </w:pPr>
    </w:p>
    <w:p w14:paraId="3AAB09E5">
      <w:pPr>
        <w:jc w:val="both"/>
        <w:rPr>
          <w:rFonts w:hint="eastAsia" w:ascii="方正小标宋简体" w:hAnsi="方正小标宋简体" w:eastAsia="方正小标宋简体" w:cs="宋体"/>
          <w:color w:val="auto"/>
          <w:sz w:val="56"/>
          <w:szCs w:val="56"/>
        </w:rPr>
      </w:pPr>
    </w:p>
    <w:p w14:paraId="29E8BCC5">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政府采购</w:t>
      </w:r>
      <w:r>
        <w:rPr>
          <w:rFonts w:hint="eastAsia" w:ascii="方正小标宋简体" w:hAnsi="方正小标宋简体" w:eastAsia="方正小标宋简体" w:cs="宋体"/>
          <w:color w:val="auto"/>
          <w:sz w:val="56"/>
          <w:szCs w:val="56"/>
          <w:lang w:eastAsia="zh-CN"/>
        </w:rPr>
        <w:t>（货物、</w:t>
      </w:r>
      <w:r>
        <w:rPr>
          <w:rFonts w:hint="eastAsia" w:ascii="方正小标宋简体" w:hAnsi="方正小标宋简体" w:eastAsia="方正小标宋简体" w:cs="宋体"/>
          <w:color w:val="auto"/>
          <w:sz w:val="56"/>
          <w:szCs w:val="56"/>
          <w:lang w:val="en-US" w:eastAsia="zh-CN"/>
        </w:rPr>
        <w:t>服务类</w:t>
      </w:r>
      <w:r>
        <w:rPr>
          <w:rFonts w:hint="eastAsia" w:ascii="方正小标宋简体" w:hAnsi="方正小标宋简体" w:eastAsia="方正小标宋简体" w:cs="宋体"/>
          <w:color w:val="auto"/>
          <w:sz w:val="56"/>
          <w:szCs w:val="56"/>
          <w:lang w:eastAsia="zh-CN"/>
        </w:rPr>
        <w:t>）</w:t>
      </w:r>
      <w:r>
        <w:rPr>
          <w:rFonts w:hint="eastAsia" w:ascii="方正小标宋简体" w:hAnsi="方正小标宋简体" w:eastAsia="方正小标宋简体" w:cs="宋体"/>
          <w:color w:val="auto"/>
          <w:sz w:val="56"/>
          <w:szCs w:val="56"/>
        </w:rPr>
        <w:t>项目</w:t>
      </w:r>
    </w:p>
    <w:p w14:paraId="4D761002">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采 购 需 求</w:t>
      </w:r>
    </w:p>
    <w:p w14:paraId="695F8B3C">
      <w:pPr>
        <w:jc w:val="center"/>
        <w:rPr>
          <w:rFonts w:ascii="方正小标宋简体" w:hAnsi="方正小标宋简体" w:eastAsia="方正小标宋简体"/>
          <w:color w:val="auto"/>
          <w:sz w:val="44"/>
          <w:szCs w:val="44"/>
        </w:rPr>
      </w:pPr>
    </w:p>
    <w:p w14:paraId="4C4041BF">
      <w:pPr>
        <w:ind w:left="3356" w:leftChars="760" w:hanging="1760" w:hangingChars="550"/>
        <w:rPr>
          <w:rFonts w:ascii="方正小标宋简体" w:hAnsi="方正小标宋简体" w:eastAsia="方正小标宋简体"/>
          <w:color w:val="auto"/>
          <w:sz w:val="32"/>
          <w:szCs w:val="32"/>
        </w:rPr>
      </w:pPr>
    </w:p>
    <w:p w14:paraId="5DD84ABC">
      <w:pPr>
        <w:ind w:left="3356" w:leftChars="760" w:hanging="1760" w:hangingChars="550"/>
        <w:rPr>
          <w:rFonts w:ascii="方正小标宋简体" w:hAnsi="方正小标宋简体" w:eastAsia="方正小标宋简体"/>
          <w:color w:val="auto"/>
          <w:sz w:val="32"/>
          <w:szCs w:val="32"/>
        </w:rPr>
      </w:pPr>
    </w:p>
    <w:p w14:paraId="21322D46">
      <w:pPr>
        <w:ind w:left="3356" w:leftChars="760" w:hanging="1760" w:hangingChars="550"/>
        <w:rPr>
          <w:rFonts w:hint="eastAsia" w:ascii="方正小标宋简体" w:hAnsi="方正小标宋简体" w:eastAsia="方正小标宋简体"/>
          <w:color w:val="auto"/>
          <w:sz w:val="32"/>
          <w:szCs w:val="32"/>
        </w:rPr>
      </w:pPr>
      <w:r>
        <w:rPr>
          <w:rFonts w:ascii="方正小标宋简体" w:hAnsi="方正小标宋简体" w:eastAsia="方正小标宋简体"/>
          <w:color w:val="auto"/>
          <w:sz w:val="32"/>
          <w:szCs w:val="32"/>
        </w:rPr>
        <w:t>项目名称</w:t>
      </w:r>
      <w:r>
        <w:rPr>
          <w:rFonts w:hint="eastAsia" w:ascii="方正小标宋简体" w:hAnsi="方正小标宋简体" w:eastAsia="方正小标宋简体"/>
          <w:color w:val="auto"/>
          <w:sz w:val="32"/>
          <w:szCs w:val="32"/>
        </w:rPr>
        <w:t>：</w:t>
      </w:r>
      <w:r>
        <w:rPr>
          <w:rFonts w:hint="eastAsia" w:ascii="方正小标宋简体" w:hAnsi="方正小标宋简体" w:eastAsia="方正小标宋简体"/>
          <w:color w:val="auto"/>
          <w:sz w:val="32"/>
          <w:szCs w:val="32"/>
          <w:u w:val="single"/>
        </w:rPr>
        <w:t>奇台县</w:t>
      </w:r>
      <w:r>
        <w:rPr>
          <w:rFonts w:hint="eastAsia" w:ascii="方正小标宋简体" w:hAnsi="方正小标宋简体" w:eastAsia="方正小标宋简体"/>
          <w:color w:val="auto"/>
          <w:sz w:val="32"/>
          <w:szCs w:val="32"/>
          <w:u w:val="single"/>
          <w:lang w:val="en-US" w:eastAsia="zh-CN"/>
        </w:rPr>
        <w:t>东湾镇</w:t>
      </w:r>
      <w:r>
        <w:rPr>
          <w:rFonts w:hint="eastAsia" w:ascii="方正小标宋简体" w:hAnsi="方正小标宋简体" w:eastAsia="方正小标宋简体"/>
          <w:color w:val="auto"/>
          <w:sz w:val="32"/>
          <w:szCs w:val="32"/>
          <w:u w:val="single"/>
          <w:lang w:eastAsia="zh-CN"/>
        </w:rPr>
        <w:t>中心学校</w:t>
      </w:r>
      <w:r>
        <w:rPr>
          <w:rFonts w:hint="eastAsia" w:ascii="方正小标宋简体" w:hAnsi="方正小标宋简体" w:eastAsia="方正小标宋简体"/>
          <w:color w:val="auto"/>
          <w:sz w:val="32"/>
          <w:szCs w:val="32"/>
          <w:u w:val="single"/>
        </w:rPr>
        <w:t>2025年薄改能力提升</w:t>
      </w:r>
      <w:r>
        <w:rPr>
          <w:rFonts w:hint="eastAsia" w:ascii="方正小标宋简体" w:hAnsi="方正小标宋简体" w:eastAsia="方正小标宋简体"/>
          <w:color w:val="auto"/>
          <w:sz w:val="32"/>
          <w:szCs w:val="32"/>
          <w:u w:val="single"/>
          <w:lang w:val="en-US" w:eastAsia="zh-CN"/>
        </w:rPr>
        <w:t>资金</w:t>
      </w:r>
      <w:r>
        <w:rPr>
          <w:rFonts w:hint="eastAsia" w:ascii="方正小标宋简体" w:hAnsi="方正小标宋简体" w:eastAsia="方正小标宋简体"/>
          <w:color w:val="auto"/>
          <w:sz w:val="32"/>
          <w:szCs w:val="32"/>
          <w:u w:val="single"/>
        </w:rPr>
        <w:t>设</w:t>
      </w:r>
      <w:r>
        <w:rPr>
          <w:rFonts w:hint="eastAsia" w:ascii="方正小标宋简体" w:hAnsi="方正小标宋简体" w:eastAsia="方正小标宋简体"/>
          <w:color w:val="auto"/>
          <w:sz w:val="32"/>
          <w:szCs w:val="32"/>
          <w:u w:val="single"/>
          <w:lang w:val="en-US" w:eastAsia="zh-CN"/>
        </w:rPr>
        <w:t>备购置</w:t>
      </w:r>
      <w:r>
        <w:rPr>
          <w:rFonts w:hint="eastAsia" w:ascii="方正小标宋简体" w:hAnsi="方正小标宋简体" w:eastAsia="方正小标宋简体"/>
          <w:color w:val="auto"/>
          <w:sz w:val="32"/>
          <w:szCs w:val="32"/>
          <w:u w:val="single"/>
        </w:rPr>
        <w:t xml:space="preserve">项目 </w:t>
      </w:r>
      <w:r>
        <w:rPr>
          <w:rFonts w:hint="eastAsia" w:ascii="方正小标宋简体" w:hAnsi="方正小标宋简体" w:eastAsia="方正小标宋简体"/>
          <w:color w:val="auto"/>
          <w:sz w:val="32"/>
          <w:szCs w:val="32"/>
          <w:u w:val="single"/>
          <w:lang w:val="en-US" w:eastAsia="zh-CN"/>
        </w:rPr>
        <w:t xml:space="preserve">   </w:t>
      </w:r>
      <w:r>
        <w:rPr>
          <w:rFonts w:hint="eastAsia" w:ascii="方正小标宋简体" w:hAnsi="方正小标宋简体" w:eastAsia="方正小标宋简体"/>
          <w:color w:val="auto"/>
          <w:sz w:val="32"/>
          <w:szCs w:val="32"/>
          <w:u w:val="single"/>
        </w:rPr>
        <w:t xml:space="preserve">        </w:t>
      </w:r>
    </w:p>
    <w:p w14:paraId="39EEB730">
      <w:pPr>
        <w:ind w:firstLine="1600" w:firstLineChars="500"/>
        <w:rPr>
          <w:rFonts w:ascii="方正小标宋简体" w:hAnsi="方正小标宋简体" w:eastAsia="方正小标宋简体"/>
          <w:color w:val="auto"/>
          <w:sz w:val="32"/>
          <w:szCs w:val="32"/>
          <w:u w:val="single"/>
        </w:rPr>
      </w:pPr>
      <w:r>
        <w:rPr>
          <w:rFonts w:hint="eastAsia" w:ascii="方正小标宋简体" w:hAnsi="方正小标宋简体" w:eastAsia="方正小标宋简体"/>
          <w:color w:val="auto"/>
          <w:sz w:val="32"/>
          <w:szCs w:val="32"/>
        </w:rPr>
        <w:t>采购单位：</w:t>
      </w:r>
      <w:r>
        <w:rPr>
          <w:rFonts w:hint="eastAsia" w:ascii="方正小标宋简体" w:hAnsi="方正小标宋简体" w:eastAsia="方正小标宋简体"/>
          <w:color w:val="auto"/>
          <w:sz w:val="32"/>
          <w:szCs w:val="32"/>
          <w:lang w:val="en-US" w:eastAsia="zh-CN"/>
        </w:rPr>
        <w:t xml:space="preserve"> </w:t>
      </w:r>
      <w:r>
        <w:rPr>
          <w:rFonts w:hint="eastAsia" w:ascii="方正小标宋简体" w:hAnsi="方正小标宋简体" w:eastAsia="方正小标宋简体"/>
          <w:color w:val="auto"/>
          <w:sz w:val="32"/>
          <w:szCs w:val="32"/>
          <w:u w:val="single"/>
          <w:lang w:val="en-US" w:eastAsia="zh-CN"/>
        </w:rPr>
        <w:t>奇台县东湾镇</w:t>
      </w:r>
      <w:r>
        <w:rPr>
          <w:rFonts w:hint="eastAsia" w:ascii="方正小标宋简体" w:hAnsi="方正小标宋简体" w:eastAsia="方正小标宋简体"/>
          <w:color w:val="auto"/>
          <w:sz w:val="32"/>
          <w:szCs w:val="32"/>
          <w:u w:val="single"/>
          <w:lang w:eastAsia="zh-CN"/>
        </w:rPr>
        <w:t>中心学校</w:t>
      </w:r>
      <w:r>
        <w:rPr>
          <w:rFonts w:hint="eastAsia" w:ascii="方正小标宋简体" w:hAnsi="方正小标宋简体" w:eastAsia="方正小标宋简体"/>
          <w:color w:val="auto"/>
          <w:sz w:val="32"/>
          <w:szCs w:val="32"/>
          <w:u w:val="single"/>
        </w:rPr>
        <w:t xml:space="preserve"> </w:t>
      </w:r>
      <w:r>
        <w:rPr>
          <w:rFonts w:hint="eastAsia" w:ascii="方正小标宋简体" w:hAnsi="方正小标宋简体" w:eastAsia="方正小标宋简体"/>
          <w:color w:val="auto"/>
          <w:sz w:val="32"/>
          <w:szCs w:val="32"/>
          <w:u w:val="single"/>
          <w:lang w:val="en-US" w:eastAsia="zh-CN"/>
        </w:rPr>
        <w:t xml:space="preserve">         </w:t>
      </w:r>
      <w:r>
        <w:rPr>
          <w:rFonts w:hint="eastAsia" w:ascii="方正小标宋简体" w:hAnsi="方正小标宋简体" w:eastAsia="方正小标宋简体"/>
          <w:color w:val="auto"/>
          <w:sz w:val="32"/>
          <w:szCs w:val="32"/>
          <w:u w:val="single"/>
        </w:rPr>
        <w:t xml:space="preserve"> </w:t>
      </w:r>
    </w:p>
    <w:p w14:paraId="30FC136A">
      <w:pPr>
        <w:jc w:val="center"/>
        <w:rPr>
          <w:rFonts w:hint="eastAsia" w:ascii="方正小标宋简体" w:hAnsi="方正小标宋简体" w:eastAsia="方正小标宋简体"/>
          <w:color w:val="auto"/>
          <w:sz w:val="44"/>
          <w:szCs w:val="44"/>
        </w:rPr>
      </w:pPr>
    </w:p>
    <w:p w14:paraId="58CA4ADF">
      <w:pPr>
        <w:jc w:val="center"/>
        <w:rPr>
          <w:rFonts w:hint="eastAsia" w:ascii="方正小标宋简体" w:hAnsi="方正小标宋简体" w:eastAsia="方正小标宋简体"/>
          <w:color w:val="auto"/>
          <w:sz w:val="44"/>
          <w:szCs w:val="44"/>
        </w:rPr>
      </w:pPr>
    </w:p>
    <w:p w14:paraId="498C7911">
      <w:pPr>
        <w:jc w:val="center"/>
        <w:rPr>
          <w:rFonts w:hint="eastAsia" w:ascii="方正小标宋简体" w:hAnsi="方正小标宋简体" w:eastAsia="方正小标宋简体"/>
          <w:color w:val="auto"/>
          <w:sz w:val="44"/>
          <w:szCs w:val="44"/>
        </w:rPr>
      </w:pPr>
    </w:p>
    <w:p w14:paraId="256007DA">
      <w:pPr>
        <w:jc w:val="center"/>
        <w:rPr>
          <w:rFonts w:hint="eastAsia" w:ascii="方正小标宋简体" w:hAnsi="方正小标宋简体" w:eastAsia="方正小标宋简体"/>
          <w:color w:val="auto"/>
          <w:sz w:val="44"/>
          <w:szCs w:val="44"/>
        </w:rPr>
      </w:pPr>
    </w:p>
    <w:p w14:paraId="5F320245">
      <w:pPr>
        <w:jc w:val="center"/>
        <w:rPr>
          <w:rFonts w:hint="eastAsia" w:ascii="方正小标宋简体" w:hAnsi="方正小标宋简体" w:eastAsia="方正小标宋简体"/>
          <w:color w:val="auto"/>
          <w:sz w:val="44"/>
          <w:szCs w:val="44"/>
        </w:rPr>
      </w:pPr>
    </w:p>
    <w:p w14:paraId="0F1CEC5D">
      <w:pPr>
        <w:jc w:val="center"/>
        <w:rPr>
          <w:rFonts w:ascii="仿宋" w:hAnsi="仿宋" w:eastAsia="仿宋"/>
          <w:color w:val="auto"/>
          <w:sz w:val="32"/>
          <w:szCs w:val="32"/>
        </w:rPr>
      </w:pPr>
      <w:r>
        <w:rPr>
          <w:rFonts w:hint="eastAsia" w:ascii="方正小标宋简体" w:hAnsi="方正小标宋简体" w:eastAsia="方正小标宋简体"/>
          <w:color w:val="auto"/>
          <w:sz w:val="44"/>
          <w:szCs w:val="44"/>
        </w:rPr>
        <w:t xml:space="preserve">编 制 </w:t>
      </w:r>
      <w:r>
        <w:rPr>
          <w:rFonts w:ascii="方正小标宋简体" w:hAnsi="方正小标宋简体" w:eastAsia="方正小标宋简体"/>
          <w:color w:val="auto"/>
          <w:sz w:val="44"/>
          <w:szCs w:val="44"/>
        </w:rPr>
        <w:t>说</w:t>
      </w:r>
      <w:r>
        <w:rPr>
          <w:rFonts w:hint="eastAsia" w:ascii="方正小标宋简体" w:hAnsi="方正小标宋简体" w:eastAsia="方正小标宋简体"/>
          <w:color w:val="auto"/>
          <w:sz w:val="44"/>
          <w:szCs w:val="44"/>
        </w:rPr>
        <w:t xml:space="preserve"> </w:t>
      </w:r>
      <w:r>
        <w:rPr>
          <w:rFonts w:ascii="方正小标宋简体" w:hAnsi="方正小标宋简体" w:eastAsia="方正小标宋简体"/>
          <w:color w:val="auto"/>
          <w:sz w:val="44"/>
          <w:szCs w:val="44"/>
        </w:rPr>
        <w:t>明</w:t>
      </w:r>
    </w:p>
    <w:p w14:paraId="67CF52E1">
      <w:pPr>
        <w:spacing w:line="560" w:lineRule="exact"/>
        <w:ind w:firstLine="640" w:firstLineChars="200"/>
        <w:rPr>
          <w:rFonts w:hint="eastAsia" w:ascii="仿宋_GB2312" w:hAnsi="仿宋" w:eastAsia="仿宋_GB2312"/>
          <w:color w:val="auto"/>
          <w:sz w:val="32"/>
          <w:szCs w:val="32"/>
        </w:rPr>
      </w:pPr>
      <w:r>
        <w:rPr>
          <w:rFonts w:hint="eastAsia" w:ascii="黑体" w:hAnsi="仿宋" w:eastAsia="黑体"/>
          <w:color w:val="auto"/>
          <w:sz w:val="32"/>
          <w:szCs w:val="32"/>
        </w:rPr>
        <w:t>一、</w:t>
      </w:r>
      <w:r>
        <w:rPr>
          <w:rFonts w:hint="eastAsia" w:ascii="仿宋_GB2312" w:hAnsi="仿宋" w:eastAsia="仿宋_GB2312"/>
          <w:color w:val="auto"/>
          <w:sz w:val="32"/>
          <w:szCs w:val="32"/>
        </w:rPr>
        <w:t>采购单位可以自行组织编制采购需求，也可以委托采购代理机构或者其他第三方机构编制。</w:t>
      </w:r>
    </w:p>
    <w:p w14:paraId="71FAFC3E">
      <w:pPr>
        <w:spacing w:line="560" w:lineRule="exact"/>
        <w:ind w:firstLine="640" w:firstLineChars="200"/>
        <w:rPr>
          <w:rFonts w:hint="eastAsia" w:ascii="仿宋_GB2312" w:hAnsi="仿宋" w:eastAsia="仿宋_GB2312"/>
          <w:color w:val="auto"/>
          <w:sz w:val="32"/>
          <w:szCs w:val="32"/>
        </w:rPr>
      </w:pPr>
      <w:r>
        <w:rPr>
          <w:rFonts w:hint="eastAsia" w:ascii="黑体" w:hAnsi="仿宋" w:eastAsia="黑体"/>
          <w:color w:val="auto"/>
          <w:sz w:val="32"/>
          <w:szCs w:val="32"/>
        </w:rPr>
        <w:t>二、</w:t>
      </w:r>
      <w:r>
        <w:rPr>
          <w:rFonts w:hint="eastAsia" w:ascii="仿宋_GB2312" w:hAnsi="仿宋" w:eastAsia="仿宋_GB2312"/>
          <w:color w:val="auto"/>
          <w:sz w:val="32"/>
          <w:szCs w:val="32"/>
        </w:rPr>
        <w:t>编制的采购需求应当符合《财政部关于印发政府采购需求管理办法的通知》（财库〔2021〕22号）要求及政府采购的相关规定。</w:t>
      </w:r>
    </w:p>
    <w:p w14:paraId="6B0A63C8">
      <w:pPr>
        <w:spacing w:line="560" w:lineRule="exact"/>
        <w:jc w:val="left"/>
        <w:rPr>
          <w:rFonts w:ascii="黑体" w:hAnsi="黑体" w:eastAsia="黑体"/>
          <w:b/>
          <w:bCs/>
          <w:color w:val="auto"/>
          <w:sz w:val="32"/>
          <w:szCs w:val="32"/>
        </w:rPr>
      </w:pPr>
      <w:r>
        <w:rPr>
          <w:rFonts w:hint="eastAsia" w:ascii="黑体" w:hAnsi="黑体" w:eastAsia="黑体"/>
          <w:b/>
          <w:bCs/>
          <w:i w:val="0"/>
          <w:iCs w:val="0"/>
          <w:color w:val="auto"/>
          <w:sz w:val="28"/>
          <w:szCs w:val="28"/>
          <w:highlight w:val="none"/>
        </w:rPr>
        <w:t>一、</w:t>
      </w:r>
      <w:r>
        <w:rPr>
          <w:rFonts w:hint="eastAsia" w:ascii="黑体" w:hAnsi="黑体" w:eastAsia="黑体"/>
          <w:b/>
          <w:bCs/>
          <w:color w:val="auto"/>
          <w:sz w:val="32"/>
          <w:szCs w:val="32"/>
        </w:rPr>
        <w:t>需求清单</w:t>
      </w:r>
    </w:p>
    <w:p w14:paraId="6416698C">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（一）项目概况</w:t>
      </w:r>
    </w:p>
    <w:p w14:paraId="269191A1">
      <w:pPr>
        <w:spacing w:line="560" w:lineRule="exact"/>
        <w:ind w:firstLine="560" w:firstLineChars="200"/>
        <w:jc w:val="left"/>
        <w:rPr>
          <w:rFonts w:hint="eastAsia" w:ascii="宋体" w:hAnsi="宋体" w:eastAsia="宋体" w:cs="宋体"/>
          <w:b w:val="0"/>
          <w:bCs w:val="0"/>
          <w:i w:val="0"/>
          <w:iCs/>
          <w:color w:val="auto"/>
          <w:sz w:val="28"/>
          <w:szCs w:val="28"/>
          <w:highlight w:val="none"/>
          <w:u w:val="none"/>
          <w:lang w:val="en-US" w:eastAsia="zh-CN"/>
        </w:rPr>
      </w:pPr>
      <w:r>
        <w:rPr>
          <w:rFonts w:hint="eastAsia" w:ascii="宋体" w:hAnsi="宋体" w:eastAsia="宋体" w:cs="宋体"/>
          <w:b w:val="0"/>
          <w:bCs w:val="0"/>
          <w:i w:val="0"/>
          <w:iCs/>
          <w:color w:val="auto"/>
          <w:sz w:val="28"/>
          <w:szCs w:val="28"/>
          <w:highlight w:val="none"/>
          <w:u w:val="none"/>
          <w:lang w:val="en-US" w:eastAsia="zh-CN"/>
        </w:rPr>
        <w:t>奇台县东湾镇中心学校2025年薄改能力提升资金设备购置项目</w:t>
      </w:r>
      <w:r>
        <w:rPr>
          <w:rFonts w:hint="eastAsia" w:ascii="宋体" w:hAnsi="宋体" w:cs="宋体"/>
          <w:b w:val="0"/>
          <w:bCs w:val="0"/>
          <w:i w:val="0"/>
          <w:iCs/>
          <w:color w:val="auto"/>
          <w:sz w:val="28"/>
          <w:szCs w:val="28"/>
          <w:highlight w:val="none"/>
          <w:u w:val="none"/>
          <w:lang w:val="en-US" w:eastAsia="zh-CN"/>
        </w:rPr>
        <w:t>，</w:t>
      </w:r>
      <w:r>
        <w:rPr>
          <w:rFonts w:hint="eastAsia" w:ascii="宋体" w:hAnsi="宋体" w:eastAsia="宋体" w:cs="宋体"/>
          <w:b w:val="0"/>
          <w:bCs w:val="0"/>
          <w:i w:val="0"/>
          <w:iCs/>
          <w:color w:val="auto"/>
          <w:sz w:val="28"/>
          <w:szCs w:val="28"/>
          <w:highlight w:val="none"/>
          <w:u w:val="none"/>
          <w:lang w:val="en-US" w:eastAsia="zh-CN"/>
        </w:rPr>
        <w:t>提高办学能力、改善教学环境。</w:t>
      </w:r>
    </w:p>
    <w:p w14:paraId="1C39EA19">
      <w:pPr>
        <w:pStyle w:val="7"/>
        <w:ind w:firstLine="560"/>
        <w:rPr>
          <w:rFonts w:hint="eastAsia" w:ascii="宋体" w:hAnsi="宋体" w:eastAsia="宋体" w:cs="宋体"/>
          <w:b w:val="0"/>
          <w:bCs w:val="0"/>
          <w:i w:val="0"/>
          <w:iCs/>
          <w:color w:val="auto"/>
          <w:kern w:val="2"/>
          <w:sz w:val="28"/>
          <w:szCs w:val="28"/>
          <w:highlight w:val="none"/>
          <w:u w:val="none"/>
          <w:lang w:val="en-US" w:eastAsia="zh-CN" w:bidi="ar-SA"/>
        </w:rPr>
      </w:pPr>
      <w:r>
        <w:rPr>
          <w:rFonts w:hint="eastAsia" w:ascii="宋体" w:hAnsi="宋体" w:eastAsia="宋体" w:cs="宋体"/>
          <w:b w:val="0"/>
          <w:bCs w:val="0"/>
          <w:i w:val="0"/>
          <w:iCs/>
          <w:color w:val="auto"/>
          <w:sz w:val="28"/>
          <w:szCs w:val="28"/>
          <w:highlight w:val="none"/>
          <w:u w:val="none"/>
          <w:lang w:val="en-US" w:eastAsia="zh-CN"/>
        </w:rPr>
        <w:t>采购内容一</w:t>
      </w:r>
      <w:r>
        <w:rPr>
          <w:rFonts w:hint="eastAsia" w:ascii="宋体" w:hAnsi="宋体" w:cs="宋体"/>
          <w:b w:val="0"/>
          <w:bCs w:val="0"/>
          <w:i w:val="0"/>
          <w:iCs/>
          <w:color w:val="auto"/>
          <w:sz w:val="28"/>
          <w:szCs w:val="28"/>
          <w:highlight w:val="none"/>
          <w:u w:val="none"/>
          <w:lang w:val="en-US" w:eastAsia="zh-CN"/>
        </w:rPr>
        <w:t>：</w:t>
      </w:r>
      <w:r>
        <w:rPr>
          <w:rFonts w:hint="eastAsia" w:ascii="宋体" w:hAnsi="宋体" w:eastAsia="宋体" w:cs="宋体"/>
          <w:b w:val="0"/>
          <w:bCs w:val="0"/>
          <w:i w:val="0"/>
          <w:iCs/>
          <w:color w:val="auto"/>
          <w:kern w:val="2"/>
          <w:sz w:val="28"/>
          <w:szCs w:val="28"/>
          <w:highlight w:val="none"/>
          <w:u w:val="none"/>
          <w:lang w:val="en-US" w:eastAsia="zh-CN" w:bidi="ar-SA"/>
        </w:rPr>
        <w:t>教学环境升级改造（</w:t>
      </w:r>
      <w:r>
        <w:rPr>
          <w:rFonts w:hint="eastAsia" w:ascii="宋体" w:hAnsi="宋体" w:cs="宋体"/>
          <w:b w:val="0"/>
          <w:bCs w:val="0"/>
          <w:i w:val="0"/>
          <w:iCs/>
          <w:color w:val="auto"/>
          <w:kern w:val="2"/>
          <w:sz w:val="28"/>
          <w:szCs w:val="28"/>
          <w:highlight w:val="none"/>
          <w:u w:val="none"/>
          <w:lang w:val="en-US" w:eastAsia="zh-CN" w:bidi="ar-SA"/>
        </w:rPr>
        <w:t>11个</w:t>
      </w:r>
      <w:r>
        <w:rPr>
          <w:rFonts w:hint="eastAsia" w:ascii="宋体" w:hAnsi="宋体" w:eastAsia="宋体" w:cs="宋体"/>
          <w:b w:val="0"/>
          <w:bCs w:val="0"/>
          <w:i w:val="0"/>
          <w:iCs/>
          <w:color w:val="auto"/>
          <w:kern w:val="2"/>
          <w:sz w:val="28"/>
          <w:szCs w:val="28"/>
          <w:highlight w:val="none"/>
          <w:u w:val="none"/>
          <w:lang w:val="en-US" w:eastAsia="zh-CN" w:bidi="ar-SA"/>
        </w:rPr>
        <w:t>间教学班护眼灯更换</w:t>
      </w:r>
      <w:r>
        <w:rPr>
          <w:rFonts w:hint="eastAsia" w:ascii="宋体" w:hAnsi="宋体" w:cs="宋体"/>
          <w:b w:val="0"/>
          <w:bCs w:val="0"/>
          <w:i w:val="0"/>
          <w:iCs/>
          <w:color w:val="auto"/>
          <w:kern w:val="2"/>
          <w:sz w:val="28"/>
          <w:szCs w:val="28"/>
          <w:highlight w:val="none"/>
          <w:u w:val="none"/>
          <w:lang w:val="en-US" w:eastAsia="zh-CN" w:bidi="ar-SA"/>
        </w:rPr>
        <w:t>，共计125盏</w:t>
      </w:r>
      <w:r>
        <w:rPr>
          <w:rFonts w:hint="eastAsia" w:ascii="宋体" w:hAnsi="宋体" w:eastAsia="宋体" w:cs="宋体"/>
          <w:b w:val="0"/>
          <w:bCs w:val="0"/>
          <w:i w:val="0"/>
          <w:iCs/>
          <w:color w:val="auto"/>
          <w:kern w:val="2"/>
          <w:sz w:val="28"/>
          <w:szCs w:val="28"/>
          <w:highlight w:val="none"/>
          <w:u w:val="none"/>
          <w:lang w:val="en-US" w:eastAsia="zh-CN" w:bidi="ar-SA"/>
        </w:rPr>
        <w:t>）；</w:t>
      </w:r>
    </w:p>
    <w:p w14:paraId="7BD1C5AE">
      <w:pPr>
        <w:pStyle w:val="7"/>
        <w:ind w:firstLine="560"/>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（二）采购项目预（概）算</w:t>
      </w:r>
    </w:p>
    <w:tbl>
      <w:tblPr>
        <w:tblStyle w:val="15"/>
        <w:tblW w:w="857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7412"/>
      </w:tblGrid>
      <w:tr w14:paraId="435B6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3FDE2D40">
            <w:pPr>
              <w:keepNext w:val="0"/>
              <w:keepLines w:val="0"/>
              <w:widowControl/>
              <w:suppressLineNumbers w:val="0"/>
              <w:jc w:val="center"/>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  资金</w:t>
            </w:r>
          </w:p>
          <w:p w14:paraId="05E21EEF">
            <w:pPr>
              <w:keepNext w:val="0"/>
              <w:keepLines w:val="0"/>
              <w:widowControl/>
              <w:suppressLineNumbers w:val="0"/>
              <w:jc w:val="center"/>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 xml:space="preserve">  来源</w:t>
            </w:r>
          </w:p>
        </w:tc>
        <w:tc>
          <w:tcPr>
            <w:tcW w:w="7412" w:type="dxa"/>
            <w:tcBorders>
              <w:tl2br w:val="nil"/>
              <w:tr2bl w:val="nil"/>
            </w:tcBorders>
            <w:shd w:val="clear" w:color="auto" w:fill="auto"/>
            <w:vAlign w:val="center"/>
          </w:tcPr>
          <w:p w14:paraId="2C5B5AA5">
            <w:pPr>
              <w:keepNext w:val="0"/>
              <w:keepLines w:val="0"/>
              <w:widowControl/>
              <w:suppressLineNumbers w:val="0"/>
              <w:ind w:left="638" w:leftChars="304" w:firstLine="0" w:firstLineChars="0"/>
              <w:jc w:val="left"/>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☑财政    □自筹资金      </w:t>
            </w:r>
          </w:p>
          <w:p w14:paraId="49BC0F6D">
            <w:pPr>
              <w:keepNext w:val="0"/>
              <w:keepLines w:val="0"/>
              <w:widowControl/>
              <w:suppressLineNumbers w:val="0"/>
              <w:ind w:left="638" w:leftChars="304" w:firstLine="0" w:firstLineChars="0"/>
              <w:jc w:val="left"/>
              <w:textAlignment w:val="center"/>
              <w:rPr>
                <w:rFonts w:hint="eastAsia"/>
              </w:rPr>
            </w:pPr>
            <w:r>
              <w:rPr>
                <w:rFonts w:hint="eastAsia" w:asciiTheme="majorEastAsia" w:hAnsiTheme="majorEastAsia" w:eastAsiaTheme="majorEastAsia" w:cstheme="majorEastAsia"/>
                <w:i w:val="0"/>
                <w:color w:val="auto"/>
                <w:kern w:val="0"/>
                <w:sz w:val="28"/>
                <w:szCs w:val="28"/>
                <w:u w:val="none"/>
                <w:lang w:val="en-US" w:eastAsia="zh-CN" w:bidi="ar"/>
              </w:rPr>
              <w:t>项目资金批复文件□无  ☑有</w:t>
            </w:r>
          </w:p>
        </w:tc>
      </w:tr>
    </w:tbl>
    <w:p w14:paraId="630DC164">
      <w:pPr>
        <w:spacing w:line="560" w:lineRule="exact"/>
        <w:jc w:val="left"/>
        <w:rPr>
          <w:rFonts w:hint="eastAsia" w:asciiTheme="majorEastAsia" w:hAnsiTheme="majorEastAsia" w:eastAsiaTheme="majorEastAsia" w:cstheme="majorEastAsia"/>
          <w:color w:val="auto"/>
          <w:sz w:val="28"/>
          <w:szCs w:val="28"/>
          <w:lang w:val="en-US" w:eastAsia="zh-CN"/>
        </w:rPr>
      </w:pPr>
      <w:r>
        <w:rPr>
          <w:rFonts w:hint="eastAsia" w:asciiTheme="majorEastAsia" w:hAnsiTheme="majorEastAsia" w:eastAsiaTheme="majorEastAsia" w:cstheme="majorEastAsia"/>
          <w:color w:val="auto"/>
          <w:sz w:val="28"/>
          <w:szCs w:val="28"/>
          <w:lang w:val="en-US" w:eastAsia="zh-CN"/>
        </w:rPr>
        <w:t>采购方式：竞价</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邀请招标</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竞争性谈判</w:t>
      </w:r>
      <w:r>
        <w:rPr>
          <w:rFonts w:hint="eastAsia" w:asciiTheme="majorEastAsia" w:hAnsiTheme="majorEastAsia" w:eastAsiaTheme="majorEastAsia" w:cstheme="majorEastAsia"/>
          <w:i w:val="0"/>
          <w:color w:val="auto"/>
          <w:kern w:val="0"/>
          <w:sz w:val="28"/>
          <w:szCs w:val="28"/>
          <w:u w:val="none"/>
          <w:lang w:val="en-US" w:eastAsia="zh-CN" w:bidi="ar"/>
        </w:rPr>
        <w:sym w:font="Wingdings 2" w:char="00A3"/>
      </w:r>
      <w:r>
        <w:rPr>
          <w:rFonts w:hint="eastAsia" w:asciiTheme="majorEastAsia" w:hAnsiTheme="majorEastAsia" w:eastAsiaTheme="majorEastAsia" w:cstheme="majorEastAsia"/>
          <w:color w:val="auto"/>
          <w:sz w:val="28"/>
          <w:szCs w:val="28"/>
          <w:lang w:val="en-US" w:eastAsia="zh-CN"/>
        </w:rPr>
        <w:t xml:space="preserve">  </w:t>
      </w:r>
    </w:p>
    <w:p w14:paraId="1AC84E51">
      <w:pPr>
        <w:spacing w:line="560" w:lineRule="exact"/>
        <w:ind w:firstLine="1400" w:firstLineChars="500"/>
        <w:jc w:val="left"/>
        <w:rPr>
          <w:rFonts w:hint="default" w:asciiTheme="majorEastAsia" w:hAnsiTheme="majorEastAsia" w:eastAsiaTheme="majorEastAsia" w:cstheme="majorEastAsia"/>
          <w:b/>
          <w:bCs/>
          <w:i/>
          <w:iCs w:val="0"/>
          <w:snapToGrid/>
          <w:color w:val="auto"/>
          <w:kern w:val="2"/>
          <w:sz w:val="20"/>
          <w:szCs w:val="20"/>
          <w:highlight w:val="yellow"/>
          <w:u w:val="single"/>
          <w:lang w:val="en-US" w:eastAsia="zh-CN" w:bidi="ar-SA"/>
        </w:rPr>
      </w:pPr>
      <w:r>
        <w:rPr>
          <w:rFonts w:hint="eastAsia" w:asciiTheme="majorEastAsia" w:hAnsiTheme="majorEastAsia" w:eastAsiaTheme="majorEastAsia" w:cstheme="majorEastAsia"/>
          <w:color w:val="auto"/>
          <w:sz w:val="28"/>
          <w:szCs w:val="28"/>
          <w:lang w:val="en-US" w:eastAsia="zh-CN"/>
        </w:rPr>
        <w:t>竞争性磋商</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询价</w:t>
      </w:r>
      <w:r>
        <w:rPr>
          <w:rFonts w:hint="eastAsia" w:asciiTheme="majorEastAsia" w:hAnsiTheme="majorEastAsia" w:eastAsiaTheme="majorEastAsia" w:cstheme="majorEastAsia"/>
          <w:i w:val="0"/>
          <w:color w:val="auto"/>
          <w:kern w:val="0"/>
          <w:sz w:val="28"/>
          <w:szCs w:val="28"/>
          <w:u w:val="none"/>
          <w:lang w:val="en-US" w:eastAsia="zh-CN" w:bidi="ar"/>
        </w:rPr>
        <w:t>□   单一来源□</w:t>
      </w:r>
      <w:r>
        <w:rPr>
          <w:rFonts w:hint="eastAsia" w:asciiTheme="majorEastAsia" w:hAnsiTheme="majorEastAsia" w:eastAsiaTheme="majorEastAsia" w:cstheme="majorEastAsia"/>
          <w:color w:val="auto"/>
          <w:sz w:val="28"/>
          <w:szCs w:val="28"/>
          <w:lang w:val="en-US" w:eastAsia="zh-CN"/>
        </w:rPr>
        <w:t xml:space="preserve">  框架协议</w:t>
      </w:r>
      <w:r>
        <w:rPr>
          <w:rFonts w:hint="eastAsia" w:asciiTheme="majorEastAsia" w:hAnsiTheme="majorEastAsia" w:eastAsiaTheme="majorEastAsia" w:cstheme="majorEastAsia"/>
          <w:i w:val="0"/>
          <w:color w:val="auto"/>
          <w:kern w:val="0"/>
          <w:sz w:val="28"/>
          <w:szCs w:val="28"/>
          <w:u w:val="none"/>
          <w:lang w:val="en-US" w:eastAsia="zh-CN" w:bidi="ar"/>
        </w:rPr>
        <w:t>□</w:t>
      </w:r>
    </w:p>
    <w:p w14:paraId="42F2C200">
      <w:pPr>
        <w:pStyle w:val="18"/>
        <w:ind w:left="0" w:leftChars="0" w:firstLine="0" w:firstLineChars="0"/>
        <w:rPr>
          <w:rFonts w:hint="eastAsia" w:asciiTheme="majorEastAsia" w:hAnsiTheme="majorEastAsia" w:eastAsiaTheme="majorEastAsia" w:cstheme="majorEastAsia"/>
          <w:color w:val="auto"/>
          <w:sz w:val="28"/>
          <w:szCs w:val="28"/>
          <w:u w:val="single"/>
        </w:rPr>
      </w:pPr>
      <w:r>
        <w:rPr>
          <w:rFonts w:hint="eastAsia" w:asciiTheme="majorEastAsia" w:hAnsiTheme="majorEastAsia" w:eastAsiaTheme="majorEastAsia" w:cstheme="majorEastAsia"/>
          <w:color w:val="auto"/>
          <w:sz w:val="28"/>
          <w:szCs w:val="28"/>
        </w:rPr>
        <w:t>总 预 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48750.00元</w:t>
      </w:r>
      <w:r>
        <w:rPr>
          <w:rFonts w:hint="eastAsia" w:asciiTheme="majorEastAsia" w:hAnsiTheme="majorEastAsia" w:eastAsiaTheme="majorEastAsia" w:cstheme="majorEastAsia"/>
          <w:color w:val="auto"/>
          <w:sz w:val="28"/>
          <w:szCs w:val="28"/>
          <w:u w:val="single"/>
        </w:rPr>
        <w:t xml:space="preserve">             </w:t>
      </w:r>
    </w:p>
    <w:p w14:paraId="3F71D862">
      <w:pPr>
        <w:spacing w:line="560" w:lineRule="exact"/>
        <w:jc w:val="left"/>
        <w:rPr>
          <w:rFonts w:hint="eastAsia" w:asciiTheme="majorEastAsia" w:hAnsiTheme="majorEastAsia" w:eastAsiaTheme="majorEastAsia" w:cstheme="majorEastAsia"/>
          <w:color w:val="auto"/>
          <w:sz w:val="28"/>
          <w:szCs w:val="28"/>
          <w:u w:val="single"/>
        </w:rPr>
      </w:pPr>
      <w:r>
        <w:rPr>
          <w:rFonts w:hint="eastAsia" w:asciiTheme="majorEastAsia" w:hAnsiTheme="majorEastAsia" w:eastAsiaTheme="majorEastAsia" w:cstheme="majorEastAsia"/>
          <w:color w:val="auto"/>
          <w:sz w:val="28"/>
          <w:szCs w:val="28"/>
          <w:lang w:val="en-US" w:eastAsia="zh-CN"/>
        </w:rPr>
        <w:t>标项</w:t>
      </w:r>
      <w:r>
        <w:rPr>
          <w:rFonts w:hint="eastAsia" w:asciiTheme="majorEastAsia" w:hAnsiTheme="majorEastAsia" w:eastAsiaTheme="majorEastAsia" w:cstheme="majorEastAsia"/>
          <w:color w:val="auto"/>
          <w:sz w:val="28"/>
          <w:szCs w:val="28"/>
        </w:rPr>
        <w:t>1预算：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49000元</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 xml:space="preserve"> </w:t>
      </w:r>
      <w:r>
        <w:rPr>
          <w:rFonts w:hint="eastAsia" w:asciiTheme="majorEastAsia" w:hAnsiTheme="majorEastAsia" w:eastAsiaTheme="majorEastAsia" w:cstheme="majorEastAsia"/>
          <w:color w:val="auto"/>
          <w:sz w:val="28"/>
          <w:szCs w:val="28"/>
          <w:lang w:val="en-US" w:eastAsia="zh-CN"/>
        </w:rPr>
        <w:t>最高限价：</w:t>
      </w:r>
      <w:r>
        <w:rPr>
          <w:rFonts w:hint="eastAsia" w:asciiTheme="majorEastAsia" w:hAnsiTheme="majorEastAsia" w:eastAsiaTheme="majorEastAsia" w:cstheme="majorEastAsia"/>
          <w:color w:val="auto"/>
          <w:sz w:val="28"/>
          <w:szCs w:val="28"/>
          <w:u w:val="single"/>
          <w:lang w:val="en-US" w:eastAsia="zh-CN"/>
        </w:rPr>
        <w:t>48750元整</w:t>
      </w:r>
    </w:p>
    <w:tbl>
      <w:tblPr>
        <w:tblStyle w:val="15"/>
        <w:tblpPr w:leftFromText="180" w:rightFromText="180" w:vertAnchor="text" w:horzAnchor="page" w:tblpX="1819" w:tblpY="475"/>
        <w:tblOverlap w:val="never"/>
        <w:tblW w:w="856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83"/>
        <w:gridCol w:w="645"/>
        <w:gridCol w:w="2610"/>
        <w:gridCol w:w="692"/>
        <w:gridCol w:w="1078"/>
        <w:gridCol w:w="1215"/>
        <w:gridCol w:w="1745"/>
      </w:tblGrid>
      <w:tr w14:paraId="6E44D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80" w:hRule="atLeast"/>
        </w:trPr>
        <w:tc>
          <w:tcPr>
            <w:tcW w:w="583" w:type="dxa"/>
            <w:tcBorders>
              <w:top w:val="single" w:color="000000" w:sz="4" w:space="0"/>
              <w:left w:val="single" w:color="000000" w:sz="4" w:space="0"/>
              <w:bottom w:val="single" w:color="auto" w:sz="4" w:space="0"/>
              <w:right w:val="single" w:color="000000" w:sz="4" w:space="0"/>
            </w:tcBorders>
            <w:shd w:val="clear" w:color="auto" w:fill="auto"/>
            <w:vAlign w:val="center"/>
          </w:tcPr>
          <w:p w14:paraId="07B8BD82">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cs="宋体"/>
                <w:i w:val="0"/>
                <w:color w:val="auto"/>
                <w:kern w:val="0"/>
                <w:sz w:val="22"/>
                <w:szCs w:val="22"/>
                <w:u w:val="none"/>
                <w:lang w:val="en-US" w:eastAsia="zh-CN" w:bidi="ar"/>
              </w:rPr>
              <w:t>标项</w:t>
            </w:r>
            <w:r>
              <w:rPr>
                <w:rFonts w:hint="eastAsia" w:ascii="宋体" w:hAnsi="宋体" w:eastAsia="宋体" w:cs="宋体"/>
                <w:i w:val="0"/>
                <w:color w:val="auto"/>
                <w:kern w:val="0"/>
                <w:sz w:val="22"/>
                <w:szCs w:val="22"/>
                <w:u w:val="none"/>
                <w:lang w:val="en-US" w:eastAsia="zh-CN" w:bidi="ar"/>
              </w:rPr>
              <w:t>号</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7A904">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标的序号</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8B8E2">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标的名称</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02A01">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单</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位</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7C44E">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数量</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E0648">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预算单价</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（元）</w:t>
            </w: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D778">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合计（元）</w:t>
            </w:r>
          </w:p>
        </w:tc>
      </w:tr>
      <w:tr w14:paraId="4BD581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09" w:hRule="atLeast"/>
        </w:trPr>
        <w:tc>
          <w:tcPr>
            <w:tcW w:w="583" w:type="dxa"/>
            <w:tcBorders>
              <w:top w:val="single" w:color="auto" w:sz="4" w:space="0"/>
              <w:left w:val="single" w:color="auto" w:sz="4" w:space="0"/>
              <w:bottom w:val="single" w:color="auto" w:sz="4" w:space="0"/>
              <w:right w:val="single" w:color="auto" w:sz="4" w:space="0"/>
            </w:tcBorders>
            <w:shd w:val="clear" w:color="auto" w:fill="auto"/>
            <w:vAlign w:val="center"/>
          </w:tcPr>
          <w:p w14:paraId="222FD228">
            <w:pPr>
              <w:keepNext w:val="0"/>
              <w:keepLines w:val="0"/>
              <w:widowControl/>
              <w:suppressLineNumbers w:val="0"/>
              <w:jc w:val="center"/>
              <w:textAlignment w:val="center"/>
              <w:rPr>
                <w:rFonts w:hint="eastAsia" w:ascii="宋体" w:hAnsi="宋体" w:eastAsia="宋体" w:cs="宋体"/>
                <w:i w:val="0"/>
                <w:color w:val="C00000"/>
                <w:sz w:val="18"/>
                <w:szCs w:val="18"/>
                <w:u w:val="none"/>
                <w:lang w:val="en-US" w:eastAsia="zh-CN"/>
              </w:rPr>
            </w:pPr>
            <w:r>
              <w:rPr>
                <w:rFonts w:hint="eastAsia" w:ascii="宋体" w:hAnsi="宋体" w:eastAsia="宋体" w:cs="宋体"/>
                <w:i w:val="0"/>
                <w:color w:val="C00000"/>
                <w:sz w:val="18"/>
                <w:szCs w:val="18"/>
                <w:u w:val="none"/>
                <w:lang w:val="en-US" w:eastAsia="zh-CN"/>
              </w:rPr>
              <w:t>标项1</w:t>
            </w:r>
          </w:p>
        </w:tc>
        <w:tc>
          <w:tcPr>
            <w:tcW w:w="645" w:type="dxa"/>
            <w:tcBorders>
              <w:top w:val="single" w:color="000000" w:sz="4" w:space="0"/>
              <w:left w:val="single" w:color="auto" w:sz="4" w:space="0"/>
              <w:bottom w:val="single" w:color="000000" w:sz="4" w:space="0"/>
              <w:right w:val="single" w:color="000000" w:sz="4" w:space="0"/>
            </w:tcBorders>
            <w:shd w:val="clear" w:color="auto" w:fill="auto"/>
            <w:vAlign w:val="center"/>
          </w:tcPr>
          <w:p w14:paraId="293A0EAC">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F6253">
            <w:pPr>
              <w:jc w:val="center"/>
              <w:rPr>
                <w:rFonts w:hint="default" w:ascii="宋体" w:hAnsi="宋体" w:eastAsia="宋体" w:cs="宋体"/>
                <w:i w:val="0"/>
                <w:color w:val="auto"/>
                <w:kern w:val="2"/>
                <w:sz w:val="18"/>
                <w:szCs w:val="18"/>
                <w:u w:val="none"/>
                <w:lang w:val="en-US" w:eastAsia="zh-CN" w:bidi="ar-SA"/>
              </w:rPr>
            </w:pPr>
            <w:r>
              <w:rPr>
                <w:rFonts w:hint="eastAsia" w:ascii="宋体" w:hAnsi="宋体" w:eastAsia="宋体" w:cs="宋体"/>
                <w:i w:val="0"/>
                <w:color w:val="auto"/>
                <w:sz w:val="22"/>
                <w:szCs w:val="22"/>
                <w:u w:val="none"/>
                <w:lang w:val="en-US" w:eastAsia="zh-CN"/>
              </w:rPr>
              <w:t>奇台县东湾镇中心学校采购护眼灯</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FF7B3">
            <w:pPr>
              <w:jc w:val="center"/>
              <w:rPr>
                <w:rFonts w:hint="default" w:ascii="宋体" w:hAnsi="宋体" w:eastAsia="宋体" w:cs="宋体"/>
                <w:i w:val="0"/>
                <w:color w:val="auto"/>
                <w:kern w:val="2"/>
                <w:sz w:val="18"/>
                <w:szCs w:val="18"/>
                <w:u w:val="none"/>
                <w:lang w:val="en-US" w:eastAsia="zh-CN" w:bidi="ar-SA"/>
              </w:rPr>
            </w:pPr>
            <w:r>
              <w:rPr>
                <w:rFonts w:hint="eastAsia" w:ascii="宋体" w:hAnsi="宋体" w:eastAsia="宋体" w:cs="宋体"/>
                <w:i w:val="0"/>
                <w:color w:val="auto"/>
                <w:sz w:val="18"/>
                <w:szCs w:val="18"/>
                <w:u w:val="none"/>
                <w:lang w:val="en-US" w:eastAsia="zh-CN"/>
              </w:rPr>
              <w:t>盏</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CDE4D">
            <w:pPr>
              <w:jc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125</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C8801">
            <w:pPr>
              <w:jc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390</w:t>
            </w: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97DF3">
            <w:pPr>
              <w:jc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48750</w:t>
            </w:r>
          </w:p>
        </w:tc>
      </w:tr>
      <w:tr w14:paraId="62B07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28" w:hRule="atLeast"/>
        </w:trPr>
        <w:tc>
          <w:tcPr>
            <w:tcW w:w="583" w:type="dxa"/>
            <w:tcBorders>
              <w:top w:val="single" w:color="auto" w:sz="4" w:space="0"/>
              <w:left w:val="single" w:color="auto" w:sz="4" w:space="0"/>
              <w:bottom w:val="single" w:color="auto" w:sz="4" w:space="0"/>
              <w:right w:val="single" w:color="auto" w:sz="4" w:space="0"/>
            </w:tcBorders>
            <w:shd w:val="clear" w:color="auto" w:fill="auto"/>
            <w:vAlign w:val="center"/>
          </w:tcPr>
          <w:p w14:paraId="34041DD2">
            <w:pPr>
              <w:rPr>
                <w:rFonts w:hint="eastAsia" w:ascii="宋体" w:hAnsi="宋体" w:eastAsia="宋体" w:cs="宋体"/>
                <w:i w:val="0"/>
                <w:color w:val="C00000"/>
                <w:sz w:val="18"/>
                <w:szCs w:val="18"/>
                <w:u w:val="none"/>
                <w:lang w:val="en-US" w:eastAsia="zh-CN"/>
              </w:rPr>
            </w:pPr>
          </w:p>
        </w:tc>
        <w:tc>
          <w:tcPr>
            <w:tcW w:w="645" w:type="dxa"/>
            <w:tcBorders>
              <w:top w:val="single" w:color="000000" w:sz="4" w:space="0"/>
              <w:left w:val="single" w:color="auto" w:sz="4" w:space="0"/>
              <w:bottom w:val="single" w:color="000000" w:sz="4" w:space="0"/>
              <w:right w:val="single" w:color="000000" w:sz="4" w:space="0"/>
            </w:tcBorders>
            <w:shd w:val="clear" w:color="auto" w:fill="auto"/>
            <w:vAlign w:val="center"/>
          </w:tcPr>
          <w:p w14:paraId="5373CBF4">
            <w:pPr>
              <w:jc w:val="center"/>
              <w:rPr>
                <w:rFonts w:hint="default" w:ascii="宋体" w:hAnsi="宋体" w:eastAsia="宋体" w:cs="宋体"/>
                <w:i w:val="0"/>
                <w:color w:val="auto"/>
                <w:sz w:val="18"/>
                <w:szCs w:val="18"/>
                <w:u w:val="none"/>
                <w:lang w:val="en-US" w:eastAsia="zh-CN"/>
              </w:rPr>
            </w:pP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F49C8">
            <w:pPr>
              <w:rPr>
                <w:rFonts w:hint="eastAsia" w:ascii="宋体" w:hAnsi="宋体" w:eastAsia="宋体" w:cs="宋体"/>
                <w:i w:val="0"/>
                <w:color w:val="auto"/>
                <w:sz w:val="18"/>
                <w:szCs w:val="18"/>
                <w:u w:val="none"/>
                <w:lang w:val="en-US" w:eastAsia="zh-CN"/>
              </w:rPr>
            </w:pP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D5EB2">
            <w:pPr>
              <w:rPr>
                <w:rFonts w:hint="default" w:ascii="宋体" w:hAnsi="宋体" w:eastAsia="宋体" w:cs="宋体"/>
                <w:i w:val="0"/>
                <w:color w:val="auto"/>
                <w:sz w:val="18"/>
                <w:szCs w:val="18"/>
                <w:u w:val="none"/>
                <w:lang w:val="en-US" w:eastAsia="zh-CN"/>
              </w:rPr>
            </w:pP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7CFA8">
            <w:pPr>
              <w:rPr>
                <w:rFonts w:hint="default" w:ascii="宋体" w:hAnsi="宋体" w:eastAsia="宋体" w:cs="宋体"/>
                <w:i w:val="0"/>
                <w:color w:val="auto"/>
                <w:sz w:val="21"/>
                <w:szCs w:val="21"/>
                <w:u w:val="none"/>
                <w:lang w:val="en-US" w:eastAsia="zh-CN"/>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C3FE9">
            <w:pPr>
              <w:rPr>
                <w:rFonts w:hint="default" w:ascii="宋体" w:hAnsi="宋体" w:eastAsia="宋体" w:cs="宋体"/>
                <w:i w:val="0"/>
                <w:color w:val="auto"/>
                <w:sz w:val="21"/>
                <w:szCs w:val="21"/>
                <w:u w:val="none"/>
                <w:lang w:val="en-US" w:eastAsia="zh-CN"/>
              </w:rPr>
            </w:pP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A6C44">
            <w:pPr>
              <w:rPr>
                <w:rFonts w:hint="default" w:ascii="宋体" w:hAnsi="宋体" w:eastAsia="宋体" w:cs="宋体"/>
                <w:i w:val="0"/>
                <w:color w:val="auto"/>
                <w:sz w:val="21"/>
                <w:szCs w:val="21"/>
                <w:u w:val="none"/>
                <w:lang w:val="en-US" w:eastAsia="zh-CN"/>
              </w:rPr>
            </w:pPr>
          </w:p>
        </w:tc>
      </w:tr>
      <w:tr w14:paraId="0E08CA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28" w:hRule="atLeast"/>
        </w:trPr>
        <w:tc>
          <w:tcPr>
            <w:tcW w:w="583" w:type="dxa"/>
            <w:tcBorders>
              <w:top w:val="single" w:color="auto" w:sz="4" w:space="0"/>
              <w:left w:val="single" w:color="auto" w:sz="4" w:space="0"/>
              <w:bottom w:val="single" w:color="auto" w:sz="4" w:space="0"/>
              <w:right w:val="single" w:color="auto" w:sz="4" w:space="0"/>
            </w:tcBorders>
            <w:shd w:val="clear" w:color="auto" w:fill="auto"/>
            <w:vAlign w:val="center"/>
          </w:tcPr>
          <w:p w14:paraId="714643D8">
            <w:pPr>
              <w:rPr>
                <w:rFonts w:hint="eastAsia" w:ascii="宋体" w:hAnsi="宋体" w:eastAsia="宋体" w:cs="宋体"/>
                <w:i w:val="0"/>
                <w:color w:val="C00000"/>
                <w:sz w:val="18"/>
                <w:szCs w:val="18"/>
                <w:u w:val="none"/>
                <w:lang w:val="en-US" w:eastAsia="zh-CN"/>
              </w:rPr>
            </w:pPr>
          </w:p>
        </w:tc>
        <w:tc>
          <w:tcPr>
            <w:tcW w:w="645" w:type="dxa"/>
            <w:tcBorders>
              <w:top w:val="single" w:color="000000" w:sz="4" w:space="0"/>
              <w:left w:val="single" w:color="auto" w:sz="4" w:space="0"/>
              <w:bottom w:val="single" w:color="000000" w:sz="4" w:space="0"/>
              <w:right w:val="single" w:color="000000" w:sz="4" w:space="0"/>
            </w:tcBorders>
            <w:shd w:val="clear" w:color="auto" w:fill="auto"/>
            <w:vAlign w:val="center"/>
          </w:tcPr>
          <w:p w14:paraId="2FA3C635">
            <w:pPr>
              <w:jc w:val="center"/>
              <w:rPr>
                <w:rFonts w:hint="default" w:ascii="宋体" w:hAnsi="宋体" w:eastAsia="宋体" w:cs="宋体"/>
                <w:i w:val="0"/>
                <w:color w:val="auto"/>
                <w:sz w:val="18"/>
                <w:szCs w:val="18"/>
                <w:u w:val="none"/>
                <w:lang w:val="en-US" w:eastAsia="zh-CN"/>
              </w:rPr>
            </w:pP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405DA">
            <w:pPr>
              <w:rPr>
                <w:rFonts w:hint="eastAsia" w:ascii="宋体" w:hAnsi="宋体" w:eastAsia="宋体" w:cs="宋体"/>
                <w:i w:val="0"/>
                <w:color w:val="auto"/>
                <w:sz w:val="18"/>
                <w:szCs w:val="18"/>
                <w:u w:val="none"/>
                <w:lang w:val="en-US" w:eastAsia="zh-CN"/>
              </w:rPr>
            </w:pP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312E0">
            <w:pPr>
              <w:rPr>
                <w:rFonts w:hint="default" w:ascii="宋体" w:hAnsi="宋体" w:eastAsia="宋体" w:cs="宋体"/>
                <w:i w:val="0"/>
                <w:color w:val="auto"/>
                <w:sz w:val="18"/>
                <w:szCs w:val="18"/>
                <w:u w:val="none"/>
                <w:lang w:val="en-US" w:eastAsia="zh-CN"/>
              </w:rPr>
            </w:pP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7F508">
            <w:pPr>
              <w:rPr>
                <w:rFonts w:hint="default" w:ascii="宋体" w:hAnsi="宋体" w:eastAsia="宋体" w:cs="宋体"/>
                <w:i w:val="0"/>
                <w:color w:val="auto"/>
                <w:sz w:val="21"/>
                <w:szCs w:val="21"/>
                <w:u w:val="none"/>
                <w:lang w:val="en-US" w:eastAsia="zh-CN"/>
              </w:rPr>
            </w:pPr>
          </w:p>
        </w:tc>
        <w:tc>
          <w:tcPr>
            <w:tcW w:w="1215" w:type="dxa"/>
            <w:tcBorders>
              <w:top w:val="single" w:color="000000" w:sz="4" w:space="0"/>
              <w:left w:val="single" w:color="000000" w:sz="4" w:space="0"/>
              <w:bottom w:val="single" w:color="auto" w:sz="4" w:space="0"/>
              <w:right w:val="single" w:color="000000" w:sz="4" w:space="0"/>
            </w:tcBorders>
            <w:shd w:val="clear" w:color="auto" w:fill="auto"/>
            <w:vAlign w:val="center"/>
          </w:tcPr>
          <w:p w14:paraId="4EC1071C">
            <w:pPr>
              <w:rPr>
                <w:rFonts w:hint="default" w:ascii="宋体" w:hAnsi="宋体" w:eastAsia="宋体" w:cs="宋体"/>
                <w:i w:val="0"/>
                <w:color w:val="auto"/>
                <w:sz w:val="21"/>
                <w:szCs w:val="21"/>
                <w:u w:val="none"/>
                <w:lang w:val="en-US" w:eastAsia="zh-CN"/>
              </w:rPr>
            </w:pP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4F8CA">
            <w:pPr>
              <w:rPr>
                <w:rFonts w:hint="default" w:ascii="宋体" w:hAnsi="宋体" w:eastAsia="宋体" w:cs="宋体"/>
                <w:i w:val="0"/>
                <w:color w:val="auto"/>
                <w:sz w:val="21"/>
                <w:szCs w:val="21"/>
                <w:u w:val="none"/>
                <w:lang w:val="en-US" w:eastAsia="zh-CN"/>
              </w:rPr>
            </w:pPr>
          </w:p>
        </w:tc>
      </w:tr>
    </w:tbl>
    <w:p w14:paraId="34738B95">
      <w:pPr>
        <w:numPr>
          <w:ilvl w:val="0"/>
          <w:numId w:val="1"/>
        </w:num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商务</w:t>
      </w:r>
      <w:r>
        <w:rPr>
          <w:rFonts w:hint="eastAsia" w:ascii="楷体_GB2312" w:hAnsi="楷体_GB2312" w:eastAsia="楷体_GB2312" w:cs="楷体_GB2312"/>
          <w:b/>
          <w:bCs/>
          <w:color w:val="auto"/>
          <w:sz w:val="28"/>
          <w:szCs w:val="28"/>
          <w:lang w:eastAsia="zh-CN"/>
        </w:rPr>
        <w:t>、</w:t>
      </w:r>
      <w:r>
        <w:rPr>
          <w:rFonts w:hint="eastAsia" w:ascii="楷体_GB2312" w:hAnsi="楷体_GB2312" w:eastAsia="楷体_GB2312" w:cs="楷体_GB2312"/>
          <w:b/>
          <w:bCs/>
          <w:color w:val="auto"/>
          <w:sz w:val="28"/>
          <w:szCs w:val="28"/>
        </w:rPr>
        <w:t>技术要求</w:t>
      </w:r>
    </w:p>
    <w:tbl>
      <w:tblPr>
        <w:tblStyle w:val="15"/>
        <w:tblW w:w="8674"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41"/>
        <w:gridCol w:w="1436"/>
        <w:gridCol w:w="6597"/>
      </w:tblGrid>
      <w:tr w14:paraId="31685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80" w:hRule="atLeast"/>
        </w:trPr>
        <w:tc>
          <w:tcPr>
            <w:tcW w:w="8674" w:type="dxa"/>
            <w:gridSpan w:val="3"/>
            <w:shd w:val="clear" w:color="auto" w:fill="auto"/>
            <w:vAlign w:val="center"/>
          </w:tcPr>
          <w:p w14:paraId="6F47019B">
            <w:pPr>
              <w:spacing w:line="560" w:lineRule="exact"/>
              <w:ind w:firstLine="560" w:firstLineChars="200"/>
              <w:jc w:val="left"/>
              <w:rPr>
                <w:rFonts w:hint="eastAsia" w:asciiTheme="majorEastAsia" w:hAnsiTheme="majorEastAsia" w:eastAsiaTheme="majorEastAsia" w:cstheme="majorEastAsia"/>
                <w:b/>
                <w:i w:val="0"/>
                <w:color w:val="auto"/>
                <w:sz w:val="30"/>
                <w:szCs w:val="30"/>
                <w:u w:val="none"/>
              </w:rPr>
            </w:pPr>
            <w:r>
              <w:rPr>
                <w:rFonts w:hint="eastAsia" w:asciiTheme="majorEastAsia" w:hAnsiTheme="majorEastAsia" w:eastAsiaTheme="majorEastAsia" w:cstheme="majorEastAsia"/>
                <w:b w:val="0"/>
                <w:bCs/>
                <w:i w:val="0"/>
                <w:color w:val="auto"/>
                <w:kern w:val="0"/>
                <w:sz w:val="28"/>
                <w:szCs w:val="28"/>
                <w:u w:val="none"/>
                <w:lang w:val="en-US" w:eastAsia="zh-CN" w:bidi="ar"/>
              </w:rPr>
              <w:t xml:space="preserve">（1） </w:t>
            </w:r>
            <w:r>
              <w:rPr>
                <w:rFonts w:hint="eastAsia" w:asciiTheme="majorEastAsia" w:hAnsiTheme="majorEastAsia" w:eastAsiaTheme="majorEastAsia" w:cstheme="majorEastAsia"/>
                <w:b w:val="0"/>
                <w:bCs/>
                <w:color w:val="auto"/>
                <w:sz w:val="28"/>
                <w:szCs w:val="28"/>
              </w:rPr>
              <w:t>商务要求</w:t>
            </w:r>
          </w:p>
        </w:tc>
      </w:tr>
      <w:tr w14:paraId="4F696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0"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0D9D7">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序号</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F90C9">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名称</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299B1">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内容</w:t>
            </w:r>
          </w:p>
        </w:tc>
      </w:tr>
      <w:tr w14:paraId="380B7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1"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C96C3">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CD2EE">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Style w:val="19"/>
                <w:color w:val="auto"/>
                <w:lang w:val="en-US" w:eastAsia="zh-CN" w:bidi="ar"/>
              </w:rPr>
              <w:t>付款方式</w:t>
            </w:r>
            <w:r>
              <w:rPr>
                <w:rStyle w:val="19"/>
                <w:color w:val="auto"/>
                <w:lang w:val="en-US" w:eastAsia="zh-CN" w:bidi="ar"/>
              </w:rPr>
              <w:br w:type="textWrapping"/>
            </w:r>
            <w:r>
              <w:rPr>
                <w:rStyle w:val="20"/>
                <w:color w:val="auto"/>
                <w:lang w:val="en-US" w:eastAsia="zh-CN" w:bidi="ar"/>
              </w:rPr>
              <w:t>（付款的时间及比例）</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6D047">
            <w:pPr>
              <w:spacing w:line="440" w:lineRule="exact"/>
              <w:rPr>
                <w:rFonts w:hint="eastAsia" w:ascii="宋体" w:hAnsi="宋体" w:eastAsia="宋体" w:cs="宋体"/>
                <w:i w:val="0"/>
                <w:color w:val="auto"/>
                <w:sz w:val="22"/>
                <w:szCs w:val="22"/>
                <w:u w:val="none"/>
              </w:rPr>
            </w:pPr>
            <w:r>
              <w:rPr>
                <w:rStyle w:val="19"/>
                <w:color w:val="auto"/>
                <w:lang w:val="en-US" w:eastAsia="zh-CN" w:bidi="ar"/>
              </w:rPr>
              <w:t xml:space="preserve"> </w:t>
            </w:r>
            <w:r>
              <w:rPr>
                <w:rFonts w:hint="eastAsia" w:ascii="宋体" w:hAnsi="宋体" w:eastAsia="宋体" w:cs="宋体"/>
                <w:b w:val="0"/>
                <w:bCs/>
                <w:sz w:val="24"/>
                <w:szCs w:val="24"/>
                <w:lang w:val="en-US" w:eastAsia="zh-CN"/>
              </w:rPr>
              <w:t>合同签订后支付合同价的30%，货物进场安装完成支付合同价的50%，验收合格后支付合同价的20%。</w:t>
            </w:r>
          </w:p>
        </w:tc>
      </w:tr>
      <w:tr w14:paraId="7ACE5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0"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1AB28">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2</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4BB0F">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Style w:val="19"/>
                <w:rFonts w:hint="eastAsia"/>
                <w:color w:val="auto"/>
                <w:lang w:val="en-US" w:eastAsia="zh-CN" w:bidi="ar"/>
              </w:rPr>
              <w:t>交付（实施）的时间（期限）</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E1D93">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4"/>
                <w:szCs w:val="24"/>
                <w:u w:val="none"/>
                <w:lang w:val="en-US" w:eastAsia="zh-CN" w:bidi="ar"/>
              </w:rPr>
              <w:t>合同签订后30个日历日完成</w:t>
            </w:r>
          </w:p>
        </w:tc>
      </w:tr>
      <w:tr w14:paraId="6078E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40"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519A3">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3</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B79A0">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交货</w:t>
            </w:r>
            <w:r>
              <w:rPr>
                <w:rFonts w:hint="eastAsia" w:ascii="宋体" w:hAnsi="宋体" w:cs="宋体"/>
                <w:i w:val="0"/>
                <w:color w:val="auto"/>
                <w:kern w:val="0"/>
                <w:sz w:val="22"/>
                <w:szCs w:val="22"/>
                <w:u w:val="none"/>
                <w:lang w:val="en-US" w:eastAsia="zh-CN" w:bidi="ar"/>
              </w:rPr>
              <w:t>（实施）</w:t>
            </w:r>
            <w:r>
              <w:rPr>
                <w:rFonts w:hint="eastAsia" w:ascii="宋体" w:hAnsi="宋体" w:eastAsia="宋体" w:cs="宋体"/>
                <w:i w:val="0"/>
                <w:color w:val="auto"/>
                <w:kern w:val="0"/>
                <w:sz w:val="22"/>
                <w:szCs w:val="22"/>
                <w:u w:val="none"/>
                <w:lang w:val="en-US" w:eastAsia="zh-CN" w:bidi="ar"/>
              </w:rPr>
              <w:t>地点</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8C504">
            <w:pPr>
              <w:jc w:val="both"/>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奇台</w:t>
            </w:r>
            <w:r>
              <w:rPr>
                <w:rFonts w:hint="eastAsia" w:ascii="宋体" w:hAnsi="宋体" w:eastAsia="宋体" w:cs="宋体"/>
                <w:i w:val="0"/>
                <w:color w:val="auto"/>
                <w:kern w:val="0"/>
                <w:sz w:val="22"/>
                <w:szCs w:val="22"/>
                <w:u w:val="none"/>
                <w:lang w:val="en-US" w:eastAsia="zh-CN" w:bidi="ar"/>
              </w:rPr>
              <w:t>县东湾镇中心学校</w:t>
            </w:r>
          </w:p>
        </w:tc>
      </w:tr>
      <w:tr w14:paraId="32613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716"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271FB">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4</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8E4F7">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履约验收</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（含验收内容、标准、程序等）</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D36CF">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采购人依据国家有关规定、招标文件、中标人的投标文件以及合同约定的内容和验收标准进行验收，采购人可以邀请相关专家或参加本项目的其他投标人或者第三方机构参与验收。参与验收的投标人或者第三方机构的意见作为验收书的参考资料一并存档。货物</w:t>
            </w:r>
            <w:r>
              <w:rPr>
                <w:rFonts w:hint="eastAsia" w:ascii="宋体" w:hAnsi="宋体" w:cs="宋体"/>
                <w:i w:val="0"/>
                <w:color w:val="auto"/>
                <w:kern w:val="0"/>
                <w:sz w:val="22"/>
                <w:szCs w:val="22"/>
                <w:u w:val="none"/>
                <w:lang w:val="en-US" w:eastAsia="zh-CN" w:bidi="ar"/>
              </w:rPr>
              <w:t>类项目因</w:t>
            </w:r>
            <w:r>
              <w:rPr>
                <w:rFonts w:hint="eastAsia" w:ascii="宋体" w:hAnsi="宋体" w:eastAsia="宋体" w:cs="宋体"/>
                <w:i w:val="0"/>
                <w:color w:val="auto"/>
                <w:kern w:val="0"/>
                <w:sz w:val="22"/>
                <w:szCs w:val="22"/>
                <w:u w:val="none"/>
                <w:lang w:val="en-US" w:eastAsia="zh-CN" w:bidi="ar"/>
              </w:rPr>
              <w:t>质量问题发生争议时，</w:t>
            </w:r>
            <w:r>
              <w:rPr>
                <w:rFonts w:hint="eastAsia" w:ascii="宋体" w:hAnsi="宋体" w:cs="宋体"/>
                <w:i w:val="0"/>
                <w:color w:val="auto"/>
                <w:kern w:val="0"/>
                <w:sz w:val="22"/>
                <w:szCs w:val="22"/>
                <w:u w:val="none"/>
                <w:lang w:val="en-US" w:eastAsia="zh-CN" w:bidi="ar"/>
              </w:rPr>
              <w:t>以</w:t>
            </w:r>
            <w:r>
              <w:rPr>
                <w:rFonts w:hint="eastAsia" w:ascii="宋体" w:hAnsi="宋体" w:eastAsia="宋体" w:cs="宋体"/>
                <w:i w:val="0"/>
                <w:color w:val="auto"/>
                <w:kern w:val="0"/>
                <w:sz w:val="22"/>
                <w:szCs w:val="22"/>
                <w:u w:val="none"/>
                <w:lang w:val="en-US" w:eastAsia="zh-CN" w:bidi="ar"/>
              </w:rPr>
              <w:t>质量技术检验检测机构检验结果为准，如产生检验费用，则该费用由过失方承担。1、中标方提供的货物必须符合我国最新颁布的与之相关的技术规范与标准，同时必须满足招标文件中所列全部规格、具体配置、技术条件及功能要求和投标人承诺的其它指标。</w:t>
            </w:r>
          </w:p>
          <w:p w14:paraId="6FE8D31B">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2．中标方提供的所有货物必须为合格产品，质量符合国家通用标准，如出现质量问题、内容问题或系假冒伪劣产品，中标方负责包退、包换，一切责任和费用由中标方承担（产品合格证随货物一同进场）。</w:t>
            </w:r>
          </w:p>
          <w:p w14:paraId="3171C26A">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3．中标方必须承诺满足招标文件中提出的全部质量和服务要求，提供的材料如有虚假(如节能认证证书、检测报告等)，视为不实质性响应招标文件要求，已中标的取消其中标资格,并按《中华人民共和国政府采购法》第七十七条“提供虚假材料谋取中标”相关处理办法处理。</w:t>
            </w:r>
          </w:p>
          <w:p w14:paraId="5947F993">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4、本项目工期紧、任务重，投标商供应要充分考虑项目实际情况，提前做好相关准备。</w:t>
            </w:r>
          </w:p>
          <w:p w14:paraId="6447DBD4">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5、如供货商所供型号参数与投标文件不符且协商沟通无法履约，一切责任由供货商承担，并赔偿甲方损失的一切责任。</w:t>
            </w:r>
          </w:p>
          <w:p w14:paraId="540933BB">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6、在履约验收阶段要求供应商提供产品相关检测报告及认证报告的复印件加盖厂家公章纸质版材料。</w:t>
            </w:r>
          </w:p>
          <w:p w14:paraId="28424D39">
            <w:pPr>
              <w:keepNext w:val="0"/>
              <w:keepLines w:val="0"/>
              <w:widowControl/>
              <w:suppressLineNumbers w:val="0"/>
              <w:jc w:val="left"/>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7、投标方在投标前需实地踏勘，踏勘时并带护眼灯样品及相关合格证书，投标时需上传踏勘证明。</w:t>
            </w:r>
          </w:p>
          <w:p w14:paraId="4F77A1E1">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其他要求：☑无   □有</w:t>
            </w:r>
          </w:p>
        </w:tc>
      </w:tr>
      <w:tr w14:paraId="0B5B5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591"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72678">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5</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AB710">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售后服务</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09819">
            <w:pPr>
              <w:keepNext w:val="0"/>
              <w:keepLines w:val="0"/>
              <w:widowControl/>
              <w:suppressLineNumbers w:val="0"/>
              <w:jc w:val="left"/>
              <w:textAlignment w:val="center"/>
              <w:rPr>
                <w:rStyle w:val="22"/>
                <w:rFonts w:hint="eastAsia" w:ascii="宋体" w:hAnsi="宋体" w:eastAsia="宋体" w:cs="宋体"/>
                <w:color w:val="auto"/>
                <w:sz w:val="24"/>
                <w:szCs w:val="24"/>
                <w:u w:val="none"/>
                <w:lang w:val="en-US" w:eastAsia="zh-CN" w:bidi="ar"/>
              </w:rPr>
            </w:pPr>
            <w:r>
              <w:rPr>
                <w:rStyle w:val="21"/>
                <w:rFonts w:hint="eastAsia" w:ascii="宋体" w:hAnsi="宋体" w:eastAsia="宋体" w:cs="宋体"/>
                <w:color w:val="auto"/>
                <w:sz w:val="24"/>
                <w:szCs w:val="24"/>
                <w:lang w:val="en-US" w:eastAsia="zh-CN" w:bidi="ar"/>
              </w:rPr>
              <w:t>自项目验收合格后</w:t>
            </w:r>
            <w:r>
              <w:rPr>
                <w:rStyle w:val="22"/>
                <w:rFonts w:hint="eastAsia" w:ascii="宋体" w:hAnsi="宋体" w:eastAsia="宋体" w:cs="宋体"/>
                <w:color w:val="auto"/>
                <w:sz w:val="24"/>
                <w:szCs w:val="24"/>
                <w:u w:val="none"/>
                <w:lang w:val="en-US" w:eastAsia="zh-CN" w:bidi="ar"/>
              </w:rPr>
              <w:t>质保期不得低于招标参数质保期限。</w:t>
            </w:r>
          </w:p>
          <w:p w14:paraId="2950EFDF">
            <w:pPr>
              <w:keepNext w:val="0"/>
              <w:keepLines w:val="0"/>
              <w:widowControl/>
              <w:numPr>
                <w:ilvl w:val="0"/>
                <w:numId w:val="2"/>
              </w:numPr>
              <w:suppressLineNumbers w:val="0"/>
              <w:ind w:firstLine="480" w:firstLineChars="200"/>
              <w:jc w:val="left"/>
              <w:textAlignment w:val="center"/>
              <w:rPr>
                <w:rFonts w:hint="eastAsia" w:ascii="宋体" w:hAnsi="宋体" w:eastAsia="宋体" w:cs="宋体"/>
                <w:i w:val="0"/>
                <w:color w:val="auto"/>
                <w:sz w:val="22"/>
                <w:szCs w:val="22"/>
                <w:u w:val="none"/>
              </w:rPr>
            </w:pPr>
            <w:r>
              <w:rPr>
                <w:rStyle w:val="21"/>
                <w:rFonts w:hint="eastAsia" w:ascii="宋体" w:hAnsi="宋体" w:eastAsia="宋体" w:cs="宋体"/>
                <w:color w:val="auto"/>
                <w:sz w:val="24"/>
                <w:szCs w:val="24"/>
                <w:lang w:val="en-US" w:eastAsia="zh-CN" w:bidi="ar"/>
              </w:rPr>
              <w:t>售后服务要求：</w:t>
            </w:r>
            <w:r>
              <w:rPr>
                <w:rStyle w:val="21"/>
                <w:rFonts w:hint="eastAsia" w:ascii="宋体" w:hAnsi="宋体" w:eastAsia="宋体" w:cs="宋体"/>
                <w:b w:val="0"/>
                <w:bCs w:val="0"/>
                <w:color w:val="auto"/>
                <w:sz w:val="24"/>
                <w:szCs w:val="24"/>
                <w:lang w:val="en-US" w:eastAsia="zh-CN" w:bidi="ar"/>
              </w:rPr>
              <w:t>标项1</w:t>
            </w:r>
            <w:r>
              <w:rPr>
                <w:rStyle w:val="21"/>
                <w:rFonts w:hint="eastAsia" w:ascii="宋体" w:hAnsi="宋体" w:cs="宋体"/>
                <w:b w:val="0"/>
                <w:bCs w:val="0"/>
                <w:color w:val="auto"/>
                <w:sz w:val="24"/>
                <w:szCs w:val="24"/>
                <w:lang w:val="en-US" w:eastAsia="zh-CN" w:bidi="ar"/>
              </w:rPr>
              <w:t>、护眼灯</w:t>
            </w:r>
            <w:r>
              <w:rPr>
                <w:rFonts w:hint="eastAsia" w:ascii="宋体" w:hAnsi="宋体" w:cs="宋体"/>
                <w:b w:val="0"/>
                <w:bCs w:val="0"/>
                <w:i w:val="0"/>
                <w:iCs w:val="0"/>
                <w:color w:val="000000"/>
                <w:kern w:val="0"/>
                <w:sz w:val="24"/>
                <w:szCs w:val="24"/>
                <w:u w:val="none"/>
                <w:lang w:val="en-US" w:eastAsia="zh-CN"/>
              </w:rPr>
              <w:t>提供5年质保服务。</w:t>
            </w:r>
          </w:p>
          <w:p w14:paraId="7C7AB9FC">
            <w:pPr>
              <w:keepNext w:val="0"/>
              <w:keepLines w:val="0"/>
              <w:widowControl/>
              <w:numPr>
                <w:ilvl w:val="0"/>
                <w:numId w:val="2"/>
              </w:numPr>
              <w:suppressLineNumbers w:val="0"/>
              <w:ind w:firstLine="480" w:firstLineChars="200"/>
              <w:jc w:val="left"/>
              <w:textAlignment w:val="center"/>
              <w:rPr>
                <w:rFonts w:hint="eastAsia" w:ascii="宋体" w:hAnsi="宋体" w:eastAsia="宋体" w:cs="宋体"/>
                <w:i w:val="0"/>
                <w:color w:val="auto"/>
                <w:sz w:val="22"/>
                <w:szCs w:val="22"/>
                <w:u w:val="none"/>
              </w:rPr>
            </w:pPr>
            <w:r>
              <w:rPr>
                <w:rFonts w:hint="eastAsia" w:ascii="宋体" w:hAnsi="宋体" w:cs="宋体"/>
                <w:b w:val="0"/>
                <w:bCs w:val="0"/>
                <w:i w:val="0"/>
                <w:iCs w:val="0"/>
                <w:color w:val="000000"/>
                <w:kern w:val="0"/>
                <w:sz w:val="24"/>
                <w:szCs w:val="24"/>
                <w:u w:val="none"/>
                <w:lang w:val="en-US" w:eastAsia="zh-CN"/>
              </w:rPr>
              <w:t>项目负责人需提供近6个月社保证明和劳动合同。</w:t>
            </w:r>
          </w:p>
        </w:tc>
      </w:tr>
      <w:tr w14:paraId="62885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573"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BD0A7">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6</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61E27">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投标人资</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格要求</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DF337">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1、投标人必须是符合《中华人民共和国政府采购法》第二十二条的合格</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供应商（1.1具有承担民事责任能力、为中国境内合法成立的法人单位或其他组织；1.2具有良好的商业信誉和健全的财务会计制度；1.3具有履行合同所必需的设备和专业技术能力；1.4有依法缴纳税收和社会保障资金的良好记录；1.5参加政府采购活动前三年内，在经营活动中没有重大违法记录；1.6法律、行政法规规定的其他条件；）</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2、其他特定资格：</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 xml:space="preserve">☑无 </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□有：</w:t>
            </w:r>
          </w:p>
        </w:tc>
      </w:tr>
      <w:tr w14:paraId="6F1EB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31"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9D114">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7</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04001">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是否接受联合体投标</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8FF32">
            <w:pPr>
              <w:keepNext w:val="0"/>
              <w:keepLines w:val="0"/>
              <w:widowControl/>
              <w:suppressLineNumbers w:val="0"/>
              <w:jc w:val="left"/>
              <w:textAlignment w:val="center"/>
              <w:rPr>
                <w:rFonts w:hint="eastAsia" w:ascii="宋体" w:hAnsi="宋体" w:eastAsia="宋体" w:cs="宋体"/>
                <w:i w:val="0"/>
                <w:color w:val="auto"/>
                <w:sz w:val="22"/>
                <w:szCs w:val="22"/>
                <w:u w:val="none"/>
              </w:rPr>
            </w:pPr>
            <w:r>
              <w:rPr>
                <w:rStyle w:val="19"/>
                <w:color w:val="auto"/>
                <w:lang w:val="en-US" w:eastAsia="zh-CN" w:bidi="ar"/>
              </w:rPr>
              <w:t>☑不接受</w:t>
            </w:r>
            <w:r>
              <w:rPr>
                <w:rStyle w:val="19"/>
                <w:color w:val="auto"/>
                <w:lang w:val="en-US" w:eastAsia="zh-CN" w:bidi="ar"/>
              </w:rPr>
              <w:br w:type="textWrapping"/>
            </w:r>
            <w:r>
              <w:rPr>
                <w:rStyle w:val="19"/>
                <w:color w:val="auto"/>
                <w:lang w:val="en-US" w:eastAsia="zh-CN" w:bidi="ar"/>
              </w:rPr>
              <w:t xml:space="preserve">□接受，因满足的条件要求：      </w:t>
            </w:r>
          </w:p>
        </w:tc>
      </w:tr>
      <w:tr w14:paraId="06092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437" w:hRule="atLeast"/>
        </w:trPr>
        <w:tc>
          <w:tcPr>
            <w:tcW w:w="641" w:type="dxa"/>
            <w:tcBorders>
              <w:top w:val="single" w:color="000000" w:sz="4" w:space="0"/>
              <w:left w:val="single" w:color="000000" w:sz="4" w:space="0"/>
              <w:bottom w:val="single" w:color="auto" w:sz="4" w:space="0"/>
              <w:right w:val="single" w:color="000000" w:sz="4" w:space="0"/>
            </w:tcBorders>
            <w:shd w:val="clear" w:color="auto" w:fill="auto"/>
            <w:vAlign w:val="center"/>
          </w:tcPr>
          <w:p w14:paraId="2B616049">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8</w:t>
            </w:r>
          </w:p>
        </w:tc>
        <w:tc>
          <w:tcPr>
            <w:tcW w:w="1436" w:type="dxa"/>
            <w:tcBorders>
              <w:top w:val="single" w:color="000000" w:sz="4" w:space="0"/>
              <w:left w:val="single" w:color="000000" w:sz="4" w:space="0"/>
              <w:bottom w:val="single" w:color="auto" w:sz="4" w:space="0"/>
              <w:right w:val="single" w:color="000000" w:sz="4" w:space="0"/>
            </w:tcBorders>
            <w:shd w:val="clear" w:color="auto" w:fill="auto"/>
            <w:vAlign w:val="center"/>
          </w:tcPr>
          <w:p w14:paraId="4E56E6E2">
            <w:pPr>
              <w:keepNext w:val="0"/>
              <w:keepLines w:val="0"/>
              <w:widowControl/>
              <w:suppressLineNumbers w:val="0"/>
              <w:jc w:val="center"/>
              <w:textAlignment w:val="center"/>
              <w:rPr>
                <w:rFonts w:hint="eastAsia" w:ascii="宋体" w:hAnsi="宋体" w:eastAsia="宋体" w:cs="宋体"/>
                <w:i w:val="0"/>
                <w:color w:val="auto"/>
                <w:sz w:val="22"/>
                <w:szCs w:val="22"/>
                <w:u w:val="none"/>
                <w:lang w:eastAsia="zh-CN"/>
              </w:rPr>
            </w:pPr>
            <w:r>
              <w:rPr>
                <w:rFonts w:hint="eastAsia" w:ascii="宋体" w:hAnsi="宋体" w:cs="宋体"/>
                <w:i w:val="0"/>
                <w:color w:val="auto"/>
                <w:sz w:val="22"/>
                <w:szCs w:val="22"/>
                <w:u w:val="none"/>
                <w:lang w:eastAsia="zh-CN"/>
              </w:rPr>
              <w:t>是否属于专门面向中小企业预留采购份额的采购项目</w:t>
            </w:r>
          </w:p>
        </w:tc>
        <w:tc>
          <w:tcPr>
            <w:tcW w:w="6597" w:type="dxa"/>
            <w:tcBorders>
              <w:top w:val="single" w:color="000000" w:sz="4" w:space="0"/>
              <w:left w:val="single" w:color="000000" w:sz="4" w:space="0"/>
              <w:bottom w:val="single" w:color="auto" w:sz="4" w:space="0"/>
              <w:right w:val="single" w:color="000000" w:sz="4" w:space="0"/>
            </w:tcBorders>
            <w:shd w:val="clear" w:color="auto" w:fill="auto"/>
            <w:vAlign w:val="center"/>
          </w:tcPr>
          <w:p w14:paraId="2135AE7F">
            <w:pPr>
              <w:pStyle w:val="13"/>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19"/>
                <w:rFonts w:hint="eastAsia"/>
                <w:color w:val="auto"/>
                <w:kern w:val="2"/>
                <w:lang w:val="en-US" w:eastAsia="zh-CN" w:bidi="ar"/>
              </w:rPr>
            </w:pPr>
            <w:r>
              <w:rPr>
                <w:rStyle w:val="19"/>
                <w:rFonts w:hint="eastAsia"/>
                <w:color w:val="auto"/>
                <w:kern w:val="2"/>
                <w:lang w:val="en-US" w:eastAsia="zh-CN" w:bidi="ar"/>
              </w:rPr>
              <w:t>标一：</w:t>
            </w:r>
            <w:r>
              <w:rPr>
                <w:rStyle w:val="19"/>
                <w:rFonts w:hint="eastAsia"/>
                <w:color w:val="auto"/>
                <w:kern w:val="2"/>
                <w:lang w:val="en-US" w:eastAsia="zh-CN" w:bidi="ar"/>
              </w:rPr>
              <w:sym w:font="Wingdings 2" w:char="00A3"/>
            </w:r>
            <w:r>
              <w:rPr>
                <w:rStyle w:val="19"/>
                <w:color w:val="auto"/>
                <w:lang w:val="en-US" w:eastAsia="zh-CN" w:bidi="ar"/>
              </w:rPr>
              <w:t>☑</w:t>
            </w:r>
            <w:r>
              <w:rPr>
                <w:rStyle w:val="19"/>
                <w:rFonts w:hint="eastAsia"/>
                <w:color w:val="auto"/>
                <w:kern w:val="2"/>
                <w:lang w:val="en-US" w:eastAsia="zh-CN" w:bidi="ar"/>
              </w:rPr>
              <w:t xml:space="preserve">是     </w:t>
            </w:r>
            <w:r>
              <w:rPr>
                <w:rStyle w:val="19"/>
                <w:rFonts w:hint="eastAsia"/>
                <w:color w:val="auto"/>
                <w:kern w:val="2"/>
                <w:lang w:val="en-US" w:eastAsia="zh-CN" w:bidi="ar"/>
              </w:rPr>
              <w:sym w:font="Wingdings 2" w:char="00A3"/>
            </w:r>
            <w:r>
              <w:rPr>
                <w:rStyle w:val="19"/>
                <w:color w:val="auto"/>
                <w:lang w:val="en-US" w:eastAsia="zh-CN" w:bidi="ar"/>
              </w:rPr>
              <w:t>□</w:t>
            </w:r>
            <w:r>
              <w:rPr>
                <w:rStyle w:val="19"/>
                <w:rFonts w:hint="eastAsia"/>
                <w:color w:val="auto"/>
                <w:kern w:val="2"/>
                <w:lang w:val="en-US" w:eastAsia="zh-CN" w:bidi="ar"/>
              </w:rPr>
              <w:t>否</w:t>
            </w:r>
          </w:p>
          <w:p w14:paraId="6DAA8C33">
            <w:pPr>
              <w:pStyle w:val="13"/>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default" w:ascii="宋体" w:hAnsi="宋体" w:eastAsia="宋体" w:cs="宋体"/>
                <w:b/>
                <w:bCs/>
                <w:i/>
                <w:iCs/>
                <w:color w:val="auto"/>
                <w:kern w:val="0"/>
                <w:sz w:val="16"/>
                <w:szCs w:val="16"/>
                <w:highlight w:val="yellow"/>
                <w:u w:val="single"/>
                <w:lang w:val="en-US" w:eastAsia="zh-CN" w:bidi="ar"/>
              </w:rPr>
            </w:pPr>
            <w:r>
              <w:rPr>
                <w:rFonts w:hint="eastAsia" w:ascii="宋体" w:hAnsi="宋体" w:eastAsia="宋体" w:cs="宋体"/>
                <w:b w:val="0"/>
                <w:bCs w:val="0"/>
                <w:sz w:val="24"/>
                <w:szCs w:val="24"/>
                <w:highlight w:val="none"/>
                <w:lang w:val="en-US" w:eastAsia="zh-CN"/>
              </w:rPr>
              <w:t>本项目属于</w:t>
            </w:r>
            <w:r>
              <w:rPr>
                <w:rFonts w:hint="eastAsia" w:ascii="宋体" w:hAnsi="宋体" w:eastAsia="宋体" w:cs="宋体"/>
                <w:sz w:val="24"/>
                <w:szCs w:val="24"/>
                <w:highlight w:val="none"/>
              </w:rPr>
              <w:t>非预留份额的采购项目</w:t>
            </w:r>
          </w:p>
        </w:tc>
      </w:tr>
      <w:tr w14:paraId="07B766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267"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vAlign w:val="center"/>
          </w:tcPr>
          <w:p w14:paraId="79852D63">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9</w:t>
            </w:r>
          </w:p>
        </w:tc>
        <w:tc>
          <w:tcPr>
            <w:tcW w:w="1436" w:type="dxa"/>
            <w:tcBorders>
              <w:top w:val="single" w:color="auto" w:sz="4" w:space="0"/>
              <w:left w:val="single" w:color="000000" w:sz="4" w:space="0"/>
              <w:bottom w:val="single" w:color="auto" w:sz="4" w:space="0"/>
              <w:right w:val="single" w:color="000000" w:sz="4" w:space="0"/>
            </w:tcBorders>
            <w:shd w:val="clear" w:color="auto" w:fill="auto"/>
            <w:vAlign w:val="center"/>
          </w:tcPr>
          <w:p w14:paraId="55834D93">
            <w:pPr>
              <w:keepNext w:val="0"/>
              <w:keepLines w:val="0"/>
              <w:widowControl/>
              <w:suppressLineNumbers w:val="0"/>
              <w:jc w:val="center"/>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中小企业划分标准所属行业</w:t>
            </w:r>
          </w:p>
        </w:tc>
        <w:tc>
          <w:tcPr>
            <w:tcW w:w="6597" w:type="dxa"/>
            <w:tcBorders>
              <w:top w:val="single" w:color="auto" w:sz="4" w:space="0"/>
              <w:left w:val="single" w:color="000000" w:sz="4" w:space="0"/>
              <w:bottom w:val="single" w:color="auto" w:sz="4" w:space="0"/>
              <w:right w:val="single" w:color="000000" w:sz="4" w:space="0"/>
            </w:tcBorders>
            <w:shd w:val="clear" w:color="auto" w:fill="auto"/>
            <w:vAlign w:val="center"/>
          </w:tcPr>
          <w:p w14:paraId="3BEE03D9">
            <w:pPr>
              <w:pStyle w:val="13"/>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19"/>
                <w:rFonts w:hint="eastAsia"/>
                <w:color w:val="auto"/>
                <w:u w:val="single"/>
                <w:lang w:val="en-US" w:eastAsia="zh-CN" w:bidi="ar"/>
              </w:rPr>
            </w:pPr>
            <w:r>
              <w:rPr>
                <w:rFonts w:hint="eastAsia" w:ascii="宋体" w:hAnsi="宋体" w:cs="宋体"/>
                <w:i w:val="0"/>
                <w:color w:val="auto"/>
                <w:sz w:val="22"/>
                <w:szCs w:val="22"/>
                <w:u w:val="none"/>
                <w:lang w:val="en-US" w:eastAsia="zh-CN"/>
              </w:rPr>
              <w:t>采购标的</w:t>
            </w:r>
            <w:r>
              <w:rPr>
                <w:rStyle w:val="19"/>
                <w:rFonts w:hint="eastAsia"/>
                <w:color w:val="auto"/>
                <w:lang w:val="en-US" w:eastAsia="zh-CN" w:bidi="ar"/>
              </w:rPr>
              <w:t>所属行业：</w:t>
            </w:r>
          </w:p>
          <w:p w14:paraId="79DFBF02">
            <w:pPr>
              <w:pageBreakBefore w:val="0"/>
              <w:widowControl w:val="0"/>
              <w:kinsoku/>
              <w:wordWrap/>
              <w:overflowPunct/>
              <w:topLinePunct w:val="0"/>
              <w:autoSpaceDE/>
              <w:autoSpaceDN/>
              <w:bidi w:val="0"/>
              <w:adjustRightInd w:val="0"/>
              <w:snapToGrid/>
              <w:spacing w:line="240" w:lineRule="auto"/>
              <w:ind w:right="0" w:rightChars="0"/>
              <w:textAlignment w:val="auto"/>
              <w:rPr>
                <w:rFonts w:hint="default"/>
                <w:lang w:val="en-US" w:eastAsia="zh-CN"/>
              </w:rPr>
            </w:pPr>
            <w:r>
              <w:rPr>
                <w:rFonts w:hint="eastAsia" w:ascii="宋体" w:hAnsi="宋体" w:eastAsia="宋体" w:cs="宋体"/>
                <w:b w:val="0"/>
                <w:bCs w:val="0"/>
                <w:sz w:val="24"/>
                <w:szCs w:val="24"/>
                <w:highlight w:val="none"/>
                <w:lang w:val="en-US" w:eastAsia="zh-CN"/>
              </w:rPr>
              <w:t>标项1：</w:t>
            </w:r>
            <w:r>
              <w:rPr>
                <w:rFonts w:hint="eastAsia" w:ascii="宋体" w:hAnsi="宋体" w:eastAsia="宋体" w:cs="宋体"/>
                <w:b w:val="0"/>
                <w:bCs w:val="0"/>
                <w:sz w:val="24"/>
                <w:szCs w:val="24"/>
                <w:highlight w:val="none"/>
                <w:u w:val="single"/>
                <w:lang w:val="en-US" w:eastAsia="zh-CN"/>
              </w:rPr>
              <w:t>制造业</w:t>
            </w:r>
            <w:r>
              <w:rPr>
                <w:rFonts w:hint="eastAsia" w:ascii="宋体" w:hAnsi="宋体" w:eastAsia="宋体" w:cs="宋体"/>
                <w:i w:val="0"/>
                <w:caps w:val="0"/>
                <w:color w:val="070707"/>
                <w:spacing w:val="0"/>
                <w:sz w:val="24"/>
                <w:szCs w:val="24"/>
                <w:highlight w:val="none"/>
                <w:u w:val="single"/>
                <w:lang w:eastAsia="zh-CN"/>
              </w:rPr>
              <w:t>；</w:t>
            </w:r>
          </w:p>
        </w:tc>
      </w:tr>
      <w:tr w14:paraId="4DFA6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25"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vAlign w:val="center"/>
          </w:tcPr>
          <w:p w14:paraId="672A638E">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10</w:t>
            </w:r>
          </w:p>
        </w:tc>
        <w:tc>
          <w:tcPr>
            <w:tcW w:w="1436" w:type="dxa"/>
            <w:tcBorders>
              <w:top w:val="single" w:color="auto" w:sz="4" w:space="0"/>
              <w:left w:val="single" w:color="000000" w:sz="4" w:space="0"/>
              <w:bottom w:val="single" w:color="auto" w:sz="4" w:space="0"/>
              <w:right w:val="single" w:color="000000" w:sz="4" w:space="0"/>
            </w:tcBorders>
            <w:shd w:val="clear" w:color="auto" w:fill="auto"/>
            <w:vAlign w:val="center"/>
          </w:tcPr>
          <w:p w14:paraId="10CB4AAB">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投标报价</w:t>
            </w:r>
          </w:p>
        </w:tc>
        <w:tc>
          <w:tcPr>
            <w:tcW w:w="6597" w:type="dxa"/>
            <w:tcBorders>
              <w:top w:val="single" w:color="auto" w:sz="4" w:space="0"/>
              <w:left w:val="single" w:color="000000" w:sz="4" w:space="0"/>
              <w:bottom w:val="single" w:color="auto" w:sz="4" w:space="0"/>
              <w:right w:val="single" w:color="000000" w:sz="4" w:space="0"/>
            </w:tcBorders>
            <w:shd w:val="clear" w:color="auto" w:fill="auto"/>
            <w:vAlign w:val="center"/>
          </w:tcPr>
          <w:p w14:paraId="103CDC83">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招标报价采用总承包方式，投标人的报价应包括所投产品费用、安装调试费、测试验收费、培训费、运行维护费用、税金、国际国内运输保险、报关清关、开证、办理全套免税手续费用及其他有关的为完成本项目发生的所有费用，采购文件中另有规定的除外。</w:t>
            </w:r>
          </w:p>
        </w:tc>
      </w:tr>
      <w:tr w14:paraId="36A00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49"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vAlign w:val="center"/>
          </w:tcPr>
          <w:p w14:paraId="579FB807">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11</w:t>
            </w:r>
          </w:p>
        </w:tc>
        <w:tc>
          <w:tcPr>
            <w:tcW w:w="1436" w:type="dxa"/>
            <w:tcBorders>
              <w:top w:val="single" w:color="auto" w:sz="4" w:space="0"/>
              <w:left w:val="single" w:color="000000" w:sz="4" w:space="0"/>
              <w:bottom w:val="single" w:color="auto" w:sz="4" w:space="0"/>
              <w:right w:val="single" w:color="000000" w:sz="4" w:space="0"/>
            </w:tcBorders>
            <w:shd w:val="clear" w:color="auto" w:fill="auto"/>
            <w:vAlign w:val="center"/>
          </w:tcPr>
          <w:p w14:paraId="5401DCB4">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标投保证金收取比例</w:t>
            </w:r>
          </w:p>
        </w:tc>
        <w:tc>
          <w:tcPr>
            <w:tcW w:w="6597" w:type="dxa"/>
            <w:tcBorders>
              <w:top w:val="single" w:color="auto" w:sz="4" w:space="0"/>
              <w:left w:val="single" w:color="000000" w:sz="4" w:space="0"/>
              <w:bottom w:val="single" w:color="auto" w:sz="4" w:space="0"/>
              <w:right w:val="single" w:color="000000" w:sz="4" w:space="0"/>
            </w:tcBorders>
            <w:shd w:val="clear" w:color="auto" w:fill="auto"/>
            <w:vAlign w:val="center"/>
          </w:tcPr>
          <w:p w14:paraId="5FF0E1C8">
            <w:pPr>
              <w:keepNext w:val="0"/>
              <w:keepLines w:val="0"/>
              <w:widowControl/>
              <w:suppressLineNumbers w:val="0"/>
              <w:jc w:val="left"/>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是否收取投标保证金：是</w:t>
            </w:r>
            <w:r>
              <w:rPr>
                <w:rStyle w:val="19"/>
                <w:color w:val="auto"/>
                <w:lang w:val="en-US" w:eastAsia="zh-CN" w:bidi="ar"/>
              </w:rPr>
              <w:t>□</w:t>
            </w:r>
            <w:r>
              <w:rPr>
                <w:rStyle w:val="19"/>
                <w:rFonts w:hint="eastAsia"/>
                <w:color w:val="auto"/>
                <w:lang w:val="en-US" w:eastAsia="zh-CN" w:bidi="ar"/>
              </w:rPr>
              <w:t xml:space="preserve">  </w:t>
            </w:r>
            <w:r>
              <w:rPr>
                <w:rFonts w:hint="eastAsia" w:ascii="宋体" w:hAnsi="宋体" w:eastAsia="宋体" w:cs="宋体"/>
                <w:i w:val="0"/>
                <w:color w:val="auto"/>
                <w:kern w:val="0"/>
                <w:sz w:val="22"/>
                <w:szCs w:val="22"/>
                <w:u w:val="none"/>
                <w:lang w:val="en-US" w:eastAsia="zh-CN" w:bidi="ar"/>
              </w:rPr>
              <w:t>否</w:t>
            </w:r>
            <w:r>
              <w:rPr>
                <w:rStyle w:val="19"/>
                <w:color w:val="auto"/>
                <w:lang w:val="en-US" w:eastAsia="zh-CN" w:bidi="ar"/>
              </w:rPr>
              <w:t>☑</w:t>
            </w:r>
          </w:p>
          <w:p w14:paraId="72389965">
            <w:pPr>
              <w:keepNext w:val="0"/>
              <w:keepLines w:val="0"/>
              <w:widowControl/>
              <w:suppressLineNumbers w:val="0"/>
              <w:jc w:val="left"/>
              <w:textAlignment w:val="center"/>
              <w:rPr>
                <w:rFonts w:hint="default" w:eastAsia="仿宋_GB2312"/>
                <w:lang w:val="en-US" w:eastAsia="zh-CN"/>
              </w:rPr>
            </w:pPr>
            <w:r>
              <w:rPr>
                <w:rFonts w:hint="eastAsia" w:ascii="宋体" w:hAnsi="宋体" w:eastAsia="宋体" w:cs="宋体"/>
                <w:i w:val="0"/>
                <w:color w:val="auto"/>
                <w:kern w:val="0"/>
                <w:sz w:val="22"/>
                <w:szCs w:val="22"/>
                <w:u w:val="none"/>
                <w:lang w:val="en-US" w:eastAsia="zh-CN" w:bidi="ar"/>
              </w:rPr>
              <w:t>收取比例：预算总价</w:t>
            </w:r>
            <w:r>
              <w:rPr>
                <w:rFonts w:hint="eastAsia" w:ascii="宋体" w:hAnsi="宋体" w:eastAsia="宋体" w:cs="宋体"/>
                <w:i w:val="0"/>
                <w:color w:val="auto"/>
                <w:kern w:val="0"/>
                <w:sz w:val="22"/>
                <w:szCs w:val="22"/>
                <w:u w:val="single"/>
                <w:lang w:val="en-US" w:eastAsia="zh-CN" w:bidi="ar"/>
              </w:rPr>
              <w:t xml:space="preserve">   </w:t>
            </w:r>
            <w:r>
              <w:rPr>
                <w:rFonts w:hint="eastAsia" w:ascii="宋体" w:hAnsi="宋体" w:eastAsia="宋体" w:cs="宋体"/>
                <w:i w:val="0"/>
                <w:color w:val="auto"/>
                <w:kern w:val="0"/>
                <w:sz w:val="22"/>
                <w:szCs w:val="22"/>
                <w:u w:val="none"/>
                <w:lang w:val="en-US" w:eastAsia="zh-CN" w:bidi="ar"/>
              </w:rPr>
              <w:t>%。</w:t>
            </w:r>
          </w:p>
        </w:tc>
      </w:tr>
      <w:tr w14:paraId="5698AF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05" w:hRule="atLeast"/>
        </w:trPr>
        <w:tc>
          <w:tcPr>
            <w:tcW w:w="641" w:type="dxa"/>
            <w:tcBorders>
              <w:top w:val="single" w:color="auto" w:sz="4" w:space="0"/>
              <w:left w:val="single" w:color="000000" w:sz="4" w:space="0"/>
              <w:bottom w:val="single" w:color="000000" w:sz="4" w:space="0"/>
              <w:right w:val="single" w:color="000000" w:sz="4" w:space="0"/>
            </w:tcBorders>
            <w:shd w:val="clear" w:color="auto" w:fill="auto"/>
            <w:vAlign w:val="center"/>
          </w:tcPr>
          <w:p w14:paraId="10748B0A">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12</w:t>
            </w:r>
          </w:p>
        </w:tc>
        <w:tc>
          <w:tcPr>
            <w:tcW w:w="1436" w:type="dxa"/>
            <w:tcBorders>
              <w:top w:val="single" w:color="auto" w:sz="4" w:space="0"/>
              <w:left w:val="single" w:color="000000" w:sz="4" w:space="0"/>
              <w:bottom w:val="single" w:color="000000" w:sz="4" w:space="0"/>
              <w:right w:val="single" w:color="000000" w:sz="4" w:space="0"/>
            </w:tcBorders>
            <w:shd w:val="clear" w:color="auto" w:fill="auto"/>
            <w:vAlign w:val="center"/>
          </w:tcPr>
          <w:p w14:paraId="075EDEC6">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履约保证金收取比例</w:t>
            </w:r>
          </w:p>
        </w:tc>
        <w:tc>
          <w:tcPr>
            <w:tcW w:w="6597" w:type="dxa"/>
            <w:tcBorders>
              <w:top w:val="single" w:color="auto" w:sz="4" w:space="0"/>
              <w:left w:val="single" w:color="000000" w:sz="4" w:space="0"/>
              <w:bottom w:val="single" w:color="000000" w:sz="4" w:space="0"/>
              <w:right w:val="single" w:color="000000" w:sz="4" w:space="0"/>
            </w:tcBorders>
            <w:shd w:val="clear" w:color="auto" w:fill="auto"/>
            <w:vAlign w:val="center"/>
          </w:tcPr>
          <w:p w14:paraId="537B32B2">
            <w:pPr>
              <w:keepNext w:val="0"/>
              <w:keepLines w:val="0"/>
              <w:widowControl/>
              <w:suppressLineNumbers w:val="0"/>
              <w:jc w:val="left"/>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是否收取履约保证金：是</w:t>
            </w:r>
            <w:r>
              <w:rPr>
                <w:rStyle w:val="19"/>
                <w:color w:val="auto"/>
                <w:lang w:val="en-US" w:eastAsia="zh-CN" w:bidi="ar"/>
              </w:rPr>
              <w:t>□</w:t>
            </w:r>
            <w:r>
              <w:rPr>
                <w:rStyle w:val="19"/>
                <w:rFonts w:hint="eastAsia"/>
                <w:color w:val="auto"/>
                <w:lang w:val="en-US" w:eastAsia="zh-CN" w:bidi="ar"/>
              </w:rPr>
              <w:t xml:space="preserve">  </w:t>
            </w:r>
            <w:r>
              <w:rPr>
                <w:rFonts w:hint="eastAsia" w:ascii="宋体" w:hAnsi="宋体" w:eastAsia="宋体" w:cs="宋体"/>
                <w:i w:val="0"/>
                <w:color w:val="auto"/>
                <w:kern w:val="0"/>
                <w:sz w:val="22"/>
                <w:szCs w:val="22"/>
                <w:u w:val="none"/>
                <w:lang w:val="en-US" w:eastAsia="zh-CN" w:bidi="ar"/>
              </w:rPr>
              <w:t>否</w:t>
            </w:r>
            <w:r>
              <w:rPr>
                <w:rStyle w:val="19"/>
                <w:color w:val="auto"/>
                <w:lang w:val="en-US" w:eastAsia="zh-CN" w:bidi="ar"/>
              </w:rPr>
              <w:t>☑</w:t>
            </w:r>
          </w:p>
          <w:p w14:paraId="666A3510">
            <w:pPr>
              <w:keepNext w:val="0"/>
              <w:keepLines w:val="0"/>
              <w:widowControl/>
              <w:suppressLineNumbers w:val="0"/>
              <w:jc w:val="left"/>
              <w:textAlignment w:val="center"/>
              <w:rPr>
                <w:rFonts w:hint="eastAsia" w:ascii="宋体" w:hAnsi="宋体" w:eastAsia="宋体" w:cs="宋体"/>
                <w:b/>
                <w:bCs/>
                <w:i/>
                <w:iCs/>
                <w:color w:val="auto"/>
                <w:kern w:val="0"/>
                <w:sz w:val="16"/>
                <w:szCs w:val="16"/>
                <w:highlight w:val="yellow"/>
                <w:u w:val="single"/>
                <w:lang w:val="en-US" w:eastAsia="zh-CN" w:bidi="ar"/>
              </w:rPr>
            </w:pPr>
            <w:r>
              <w:rPr>
                <w:rFonts w:hint="eastAsia" w:ascii="宋体" w:hAnsi="宋体" w:eastAsia="宋体" w:cs="宋体"/>
                <w:i w:val="0"/>
                <w:color w:val="auto"/>
                <w:kern w:val="0"/>
                <w:sz w:val="22"/>
                <w:szCs w:val="22"/>
                <w:u w:val="none"/>
                <w:lang w:val="en-US" w:eastAsia="zh-CN" w:bidi="ar"/>
              </w:rPr>
              <w:t>收取比例：合同总价</w:t>
            </w:r>
            <w:r>
              <w:rPr>
                <w:rFonts w:hint="eastAsia" w:ascii="宋体" w:hAnsi="宋体" w:eastAsia="宋体" w:cs="宋体"/>
                <w:i w:val="0"/>
                <w:color w:val="auto"/>
                <w:kern w:val="0"/>
                <w:sz w:val="22"/>
                <w:szCs w:val="22"/>
                <w:u w:val="single"/>
                <w:lang w:val="en-US" w:eastAsia="zh-CN" w:bidi="ar"/>
              </w:rPr>
              <w:t xml:space="preserve">   </w:t>
            </w:r>
            <w:r>
              <w:rPr>
                <w:rFonts w:hint="eastAsia" w:ascii="宋体" w:hAnsi="宋体" w:eastAsia="宋体" w:cs="宋体"/>
                <w:i w:val="0"/>
                <w:color w:val="auto"/>
                <w:kern w:val="0"/>
                <w:sz w:val="22"/>
                <w:szCs w:val="22"/>
                <w:u w:val="none"/>
                <w:lang w:val="en-US" w:eastAsia="zh-CN" w:bidi="ar"/>
              </w:rPr>
              <w:t>%。</w:t>
            </w:r>
          </w:p>
        </w:tc>
      </w:tr>
    </w:tbl>
    <w:p w14:paraId="2E1C12E7">
      <w:pPr>
        <w:spacing w:line="560" w:lineRule="exact"/>
        <w:jc w:val="left"/>
        <w:rPr>
          <w:rFonts w:hint="eastAsia" w:ascii="黑体" w:hAnsi="黑体" w:eastAsia="黑体"/>
          <w:b/>
          <w:bCs/>
          <w:i w:val="0"/>
          <w:iCs w:val="0"/>
          <w:color w:val="auto"/>
          <w:sz w:val="28"/>
          <w:szCs w:val="28"/>
          <w:highlight w:val="none"/>
        </w:rPr>
      </w:pPr>
    </w:p>
    <w:tbl>
      <w:tblPr>
        <w:tblStyle w:val="15"/>
        <w:tblW w:w="8651"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718"/>
        <w:gridCol w:w="1333"/>
        <w:gridCol w:w="6600"/>
      </w:tblGrid>
      <w:tr w14:paraId="4FA04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40" w:hRule="atLeast"/>
        </w:trPr>
        <w:tc>
          <w:tcPr>
            <w:tcW w:w="8651" w:type="dxa"/>
            <w:gridSpan w:val="3"/>
            <w:shd w:val="clear" w:color="auto" w:fill="auto"/>
            <w:vAlign w:val="center"/>
          </w:tcPr>
          <w:p w14:paraId="7643C1FD">
            <w:pPr>
              <w:pStyle w:val="18"/>
              <w:numPr>
                <w:ilvl w:val="0"/>
                <w:numId w:val="0"/>
              </w:numPr>
              <w:rPr>
                <w:rFonts w:hint="eastAsia" w:asciiTheme="majorEastAsia" w:hAnsiTheme="majorEastAsia" w:eastAsiaTheme="majorEastAsia" w:cstheme="majorEastAsia"/>
                <w:b w:val="0"/>
                <w:bCs/>
                <w:i w:val="0"/>
                <w:snapToGrid/>
                <w:color w:val="auto"/>
                <w:kern w:val="0"/>
                <w:sz w:val="28"/>
                <w:szCs w:val="28"/>
                <w:u w:val="none"/>
                <w:lang w:val="en-US" w:eastAsia="zh-CN" w:bidi="ar"/>
              </w:rPr>
            </w:pPr>
          </w:p>
          <w:p w14:paraId="739A2DED">
            <w:pPr>
              <w:pStyle w:val="18"/>
              <w:numPr>
                <w:ilvl w:val="0"/>
                <w:numId w:val="3"/>
              </w:numPr>
              <w:rPr>
                <w:rFonts w:hint="default"/>
                <w:lang w:val="en-US" w:eastAsia="zh-CN"/>
              </w:rPr>
            </w:pPr>
            <w:r>
              <w:rPr>
                <w:rFonts w:hint="eastAsia" w:asciiTheme="majorEastAsia" w:hAnsiTheme="majorEastAsia" w:eastAsiaTheme="majorEastAsia" w:cstheme="majorEastAsia"/>
                <w:b w:val="0"/>
                <w:bCs/>
                <w:i w:val="0"/>
                <w:snapToGrid/>
                <w:color w:val="auto"/>
                <w:kern w:val="0"/>
                <w:sz w:val="28"/>
                <w:szCs w:val="28"/>
                <w:u w:val="none"/>
                <w:lang w:val="en-US" w:eastAsia="zh-CN" w:bidi="ar"/>
              </w:rPr>
              <w:t>技术要求</w:t>
            </w:r>
          </w:p>
        </w:tc>
      </w:tr>
      <w:tr w14:paraId="6BB8E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27" w:hRule="atLeast"/>
        </w:trPr>
        <w:tc>
          <w:tcPr>
            <w:tcW w:w="718" w:type="dxa"/>
            <w:tcBorders>
              <w:top w:val="single" w:color="000000" w:sz="4" w:space="0"/>
              <w:left w:val="single" w:color="000000" w:sz="4" w:space="0"/>
              <w:bottom w:val="single" w:color="000000" w:sz="4" w:space="0"/>
              <w:right w:val="single" w:color="auto" w:sz="4" w:space="0"/>
            </w:tcBorders>
            <w:shd w:val="clear" w:color="auto" w:fill="auto"/>
            <w:vAlign w:val="center"/>
          </w:tcPr>
          <w:p w14:paraId="4B6C1D14">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标的序号</w:t>
            </w:r>
          </w:p>
        </w:tc>
        <w:tc>
          <w:tcPr>
            <w:tcW w:w="1333" w:type="dxa"/>
            <w:tcBorders>
              <w:top w:val="single" w:color="000000" w:sz="4" w:space="0"/>
              <w:left w:val="single" w:color="auto" w:sz="4" w:space="0"/>
              <w:bottom w:val="single" w:color="000000" w:sz="4" w:space="0"/>
              <w:right w:val="single" w:color="000000" w:sz="4" w:space="0"/>
            </w:tcBorders>
            <w:shd w:val="clear" w:color="auto" w:fill="auto"/>
            <w:vAlign w:val="center"/>
          </w:tcPr>
          <w:p w14:paraId="5694DA0C">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标的名称</w:t>
            </w:r>
          </w:p>
        </w:tc>
        <w:tc>
          <w:tcPr>
            <w:tcW w:w="6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16E9A">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招标技术参数要求</w:t>
            </w:r>
          </w:p>
        </w:tc>
      </w:tr>
      <w:tr w14:paraId="1CB0F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8" w:hRule="atLeast"/>
        </w:trPr>
        <w:tc>
          <w:tcPr>
            <w:tcW w:w="718" w:type="dxa"/>
            <w:tcBorders>
              <w:top w:val="single" w:color="000000" w:sz="4" w:space="0"/>
              <w:left w:val="single" w:color="000000" w:sz="4" w:space="0"/>
              <w:bottom w:val="single" w:color="000000" w:sz="4" w:space="0"/>
              <w:right w:val="single" w:color="auto" w:sz="4" w:space="0"/>
            </w:tcBorders>
            <w:shd w:val="clear" w:color="auto" w:fill="auto"/>
            <w:vAlign w:val="center"/>
          </w:tcPr>
          <w:p w14:paraId="13041E8B">
            <w:pPr>
              <w:rPr>
                <w:rFonts w:hint="default"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标项1</w:t>
            </w:r>
          </w:p>
        </w:tc>
        <w:tc>
          <w:tcPr>
            <w:tcW w:w="1333" w:type="dxa"/>
            <w:tcBorders>
              <w:top w:val="single" w:color="000000" w:sz="4" w:space="0"/>
              <w:left w:val="single" w:color="auto" w:sz="4" w:space="0"/>
              <w:bottom w:val="single" w:color="000000" w:sz="4" w:space="0"/>
              <w:right w:val="single" w:color="000000" w:sz="4" w:space="0"/>
            </w:tcBorders>
            <w:shd w:val="clear" w:color="auto" w:fill="auto"/>
            <w:vAlign w:val="center"/>
          </w:tcPr>
          <w:p w14:paraId="2077A592">
            <w:pPr>
              <w:rPr>
                <w:rFonts w:hint="eastAsia" w:ascii="宋体" w:hAnsi="宋体" w:eastAsia="宋体" w:cs="宋体"/>
                <w:b/>
                <w:bCs/>
                <w:i w:val="0"/>
                <w:color w:val="auto"/>
                <w:sz w:val="22"/>
                <w:szCs w:val="22"/>
                <w:u w:val="none"/>
              </w:rPr>
            </w:pPr>
            <w:r>
              <w:rPr>
                <w:rFonts w:hint="eastAsia" w:ascii="宋体" w:hAnsi="宋体" w:eastAsia="宋体" w:cs="宋体"/>
                <w:b/>
                <w:bCs/>
                <w:i w:val="0"/>
                <w:iCs w:val="0"/>
                <w:color w:val="000000"/>
                <w:kern w:val="0"/>
                <w:sz w:val="21"/>
                <w:szCs w:val="21"/>
                <w:u w:val="none"/>
                <w:lang w:val="en-US" w:eastAsia="zh-CN" w:bidi="ar"/>
              </w:rPr>
              <w:t>护眼灯</w:t>
            </w:r>
          </w:p>
        </w:tc>
        <w:tc>
          <w:tcPr>
            <w:tcW w:w="6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C1240">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LED教室灯技术参数</w:t>
            </w:r>
          </w:p>
          <w:p w14:paraId="2BD40152">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 LED教室灯为一体式防眩灯具，灯具长度≥1080mm，宽度≥250mm。（提供相关佐证材料）</w:t>
            </w:r>
          </w:p>
          <w:p w14:paraId="5FBA18E8">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 为了保证灯具的散热性良好及延长使用寿命且发光更均匀，LED教室灯正面发光模组不少于3条。（提供相关佐证）</w:t>
            </w:r>
          </w:p>
          <w:p w14:paraId="6A314C7F">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 LED教室灯色温（或相关色温）4300 - 5300K，显色指数Ra≥95、R9≥90。（提供第三方检测机构出具的封面带有CMA及CNAS标志的检测报告及检测报告编号在全国认证认可信息公共服务平台的查询证明复印件。）</w:t>
            </w:r>
          </w:p>
          <w:p w14:paraId="5A104061">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 LED教室灯色容差≤5SDCM，色品空间不一致性≤0.004。（提供第三方检测机构出具的封面带有CMA及CNAS标志的检测报告及检测报告编号在全国认证认可信息公共服务平台的查询证明复印件。）</w:t>
            </w:r>
          </w:p>
          <w:p w14:paraId="5242B9BC">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 LED教室灯额定功率≤40W，光源额定总功率是灯具额定功率的2.5倍或以上，且最高使用环境温度ta≥40℃。（提供第三方认证机构出具的认证证书及全国认证认可信息公共服务平台证书状态为“有效”查询证明复印件（证书与查询证明文件上均须同时体现产品型号及认证标准））</w:t>
            </w:r>
          </w:p>
          <w:p w14:paraId="12AA04F3">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 LED教室灯至少依据（GB/T 26572）标准通过电器电子产品ROHS认证。（提供第三方认证机构出具的认证证书及全国认证认可信息公共服务平台证书状态为“有效”查询证明复印件（证书与查询证明文件上均须同时体现产品型号及认证标准））</w:t>
            </w:r>
          </w:p>
          <w:p w14:paraId="4B64010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 LED教室灯通过频闪无危害或无频闪危害或无显著影响认证。</w:t>
            </w:r>
          </w:p>
          <w:p w14:paraId="0F943543">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8. LED教室灯视网膜蓝光危害类别等级为RG0（或0类危险）。</w:t>
            </w:r>
          </w:p>
          <w:p w14:paraId="388792C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 LED教室灯至少依据（GB7793）标准通过教室优质照明光环境认证。（提供第三方认证机构出具的认证证书及全国认证认可信息公共服务平台证书状态为“有效”查询证明复印件（证书与查询证明文件上均须同时体现产品型号及认证标准））</w:t>
            </w:r>
          </w:p>
          <w:p w14:paraId="7905DAAC">
            <w:pP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10. LED教室灯至少依据（GB40070）标准通过教室灯具青少年近视防控认证。（提供第三方认证机构出具的认证证书及全国认证认可信息公共服务平台证书状态为“有效”查询证明复印件（证书与查询证明文件上均须同时体现产品型号及认证标准）</w:t>
            </w:r>
          </w:p>
          <w:p w14:paraId="11492AE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LED黑板灯技术参数</w:t>
            </w:r>
          </w:p>
          <w:p w14:paraId="3252A812">
            <w:pPr>
              <w:pStyle w:val="8"/>
              <w:keepNext w:val="0"/>
              <w:keepLines w:val="0"/>
              <w:pageBreakBefore w:val="0"/>
              <w:kinsoku/>
              <w:wordWrap/>
              <w:overflowPunct/>
              <w:topLinePunct w:val="0"/>
              <w:autoSpaceDE/>
              <w:autoSpaceDN/>
              <w:bidi w:val="0"/>
              <w:adjustRightInd/>
              <w:snapToGrid/>
              <w:spacing w:beforeLines="0" w:afterLines="0" w:line="240" w:lineRule="auto"/>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hAnsi="宋体" w:eastAsia="宋体" w:cs="宋体"/>
                <w:i w:val="0"/>
                <w:iCs w:val="0"/>
                <w:color w:val="000000"/>
                <w:kern w:val="0"/>
                <w:sz w:val="21"/>
                <w:szCs w:val="21"/>
                <w:u w:val="none"/>
                <w:lang w:val="en-US" w:eastAsia="zh-CN" w:bidi="ar"/>
              </w:rPr>
              <w:t>1.</w:t>
            </w:r>
            <w:r>
              <w:rPr>
                <w:rFonts w:hint="eastAsia" w:ascii="宋体" w:hAnsi="宋体" w:eastAsia="宋体" w:cs="宋体"/>
                <w:i w:val="0"/>
                <w:iCs w:val="0"/>
                <w:color w:val="000000"/>
                <w:kern w:val="0"/>
                <w:sz w:val="21"/>
                <w:szCs w:val="21"/>
                <w:u w:val="none"/>
                <w:lang w:val="en-US" w:eastAsia="zh-CN" w:bidi="ar"/>
              </w:rPr>
              <w:t>LED黑板灯长度≥1200mm，为一体式防眩灯具。（提供相关佐证材料）</w:t>
            </w:r>
          </w:p>
          <w:p w14:paraId="1A54C5AE">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 LED黑板灯外形应平整、无凹陷和毛刺，焊缝无透光现象，表面均匀、光洁，无流挂现象。（提供相关佐证材料）</w:t>
            </w:r>
          </w:p>
          <w:p w14:paraId="739BFBCC">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 LED黑板灯功率因数PF≥0.95，灯具效能≥90lm/W。（提供第三方检测机构出具的封面带有CMA及CNAS标志的检测报告及检测报告编号在全国认证认可信息公共服务平台的查询证明复印件。）</w:t>
            </w:r>
          </w:p>
          <w:p w14:paraId="6A3446B0">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 LED黑板灯色温（或相关色温）4300 - 5300K，显色指数Ra≥95、R9≥90，色容差≤5SDCM，色品空间不一致性≤0.004。（提供第三方检测机构出具的封面带有CMA及CNAS标志的检测报告及检测报告编号在全国认证认可信息公共服务平台的查询证明复印件。）</w:t>
            </w:r>
          </w:p>
          <w:p w14:paraId="04F9A3F5">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 LED黑板灯额定功率≤40W，光源额定总功率是灯具额定功率的2.5倍或以上，且ta≥40℃。（提供第三方认证机构出具的认证证书及全国认证认可信息公共服务平台证书状态为“有效”查询证明复印件（证书与查询证明文件上均须同时体现产品型号及认证标准）</w:t>
            </w:r>
          </w:p>
          <w:p w14:paraId="15B4D9B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 LED黑板灯至少依据（GB/T 26572）标准通过电器电子产品ROHS认证。（提供第三方认证机构出具的认证证书及全国认证认可信息公共服务平台证书状态为“有效”查询证明复印件（证书与查询证明文件上均须同时体现产品型号及认证标准））</w:t>
            </w:r>
          </w:p>
          <w:p w14:paraId="0CBE5F8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 LED黑板灯通过频闪无危害或无频闪危害或无显著影响认证。</w:t>
            </w:r>
          </w:p>
          <w:p w14:paraId="4F2A666C">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8. LED黑板灯蓝光危害等级为RG0（或0类危险）。</w:t>
            </w:r>
          </w:p>
          <w:p w14:paraId="2D5C37C6">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 LED黑板灯至少依据（GB7793）标准通过教室优质照明光环境认证。（提供第三方认证机构出具的认证证书及全国认证认可信息公共服务平台证书状态为“有效”查询证明复印件（证书与查询证明文件上均须同时体现产品型号及认证标准））</w:t>
            </w:r>
          </w:p>
          <w:p w14:paraId="71E4DCF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10. LED黑板灯至少依据（GB40070）标准通过教室灯具青少年近视防控认证。（提供第三方认证机构出具的认证证书及全国认证认可信息公共服务平台证书状态为“有效”查询证明复印件（证书与查询证明文件上均须同时体现产品型号及认证标准））</w:t>
            </w:r>
          </w:p>
          <w:p w14:paraId="7CD4C887">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面板灯技术参数</w:t>
            </w:r>
          </w:p>
          <w:p w14:paraId="069E3A60">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 LED面板灯为一体式灯具，灯具尺寸长：595±5mm，宽：595±5mm。</w:t>
            </w:r>
          </w:p>
          <w:p w14:paraId="404601D7">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 LED面板灯采用高导热铝材作为产品边框，坚固耐用，整体散热性好，确保产品整体外观美观。</w:t>
            </w:r>
          </w:p>
          <w:p w14:paraId="4646C6F3">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 LED面板灯采用微品光学防眩透光板，出光均匀，眩光指数低，无光斑。</w:t>
            </w:r>
          </w:p>
          <w:p w14:paraId="2E403041">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 LED面板灯采用高功率因素、转换效率高、符合各项安规要求的高品质LED恒流驱动电源，确保产品的安全可靠。</w:t>
            </w:r>
          </w:p>
          <w:p w14:paraId="2E646914">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 LED面板灯采用SMD贴片光源，显色指数高，高光效，蓝光危害系数低。</w:t>
            </w:r>
          </w:p>
          <w:p w14:paraId="6023C6F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 LED面板灯须通过国家强制性CCC认证；须提供第三方认证机构出具的认证证书复印件及全国认证认可信息公共服务平台查询结果截图证明。</w:t>
            </w:r>
          </w:p>
          <w:p w14:paraId="58E08BE8">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 LED面板灯符合GB/T26572 - 2011标准要求通过电器电子产品认证证书。须提供第三方认证机构出具的认证证书复印件及全国认证认可信息公共服务平台查询结果截图证明。</w:t>
            </w:r>
          </w:p>
          <w:p w14:paraId="3888DFCC">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8. LED面板灯依据（GB/T 9468）测得整灯色温5000±300K，显色指数Ra≥90，R9≥90，功率因数≥0.90，色容差＜3 SDCM。</w:t>
            </w:r>
          </w:p>
          <w:p w14:paraId="56F16136">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 LED面板灯按（IEEE Std 1789）或（GB/T 42054）的规定测得灯具频闪结果符合“无显著影响”要求。</w:t>
            </w:r>
          </w:p>
          <w:p w14:paraId="2B1322F4">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10. LED面板灯依据（IEC TR62778）或（GB/Z 39942）测得灯具蓝光风险组别为：RG0无限制（或RG0或无危险类）。</w:t>
            </w:r>
          </w:p>
          <w:p w14:paraId="11CC4817">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11. 为了保证吊装安全，LED面板灯依据（GB 7000.1）通过机械加载10倍重量检测。</w:t>
            </w:r>
          </w:p>
          <w:p w14:paraId="47681788">
            <w:pPr>
              <w:pStyle w:val="2"/>
              <w:ind w:left="0" w:leftChars="0" w:firstLine="0" w:firstLineChars="0"/>
              <w:rPr>
                <w:rFonts w:hint="eastAsia"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12. LED</w:t>
            </w:r>
            <w:r>
              <w:rPr>
                <w:rFonts w:hint="eastAsia" w:hAnsi="宋体" w:eastAsia="宋体" w:cs="宋体"/>
                <w:i w:val="0"/>
                <w:iCs w:val="0"/>
                <w:color w:val="000000"/>
                <w:kern w:val="0"/>
                <w:sz w:val="21"/>
                <w:szCs w:val="21"/>
                <w:u w:val="none"/>
                <w:lang w:val="en-US" w:eastAsia="zh-CN" w:bidi="ar"/>
              </w:rPr>
              <w:t>面板灯教室光环境课桌面维持平均照度值（LX）</w:t>
            </w:r>
            <w:r>
              <w:rPr>
                <w:rFonts w:hint="eastAsia" w:ascii="宋体" w:hAnsi="宋体" w:eastAsia="宋体" w:cs="宋体"/>
                <w:i w:val="0"/>
                <w:iCs w:val="0"/>
                <w:color w:val="000000"/>
                <w:kern w:val="0"/>
                <w:sz w:val="21"/>
                <w:szCs w:val="21"/>
                <w:u w:val="none"/>
                <w:lang w:val="en-US" w:eastAsia="zh-CN" w:bidi="ar"/>
              </w:rPr>
              <w:t>≥</w:t>
            </w:r>
            <w:r>
              <w:rPr>
                <w:rFonts w:hint="eastAsia" w:hAnsi="宋体" w:eastAsia="宋体" w:cs="宋体"/>
                <w:i w:val="0"/>
                <w:iCs w:val="0"/>
                <w:color w:val="000000"/>
                <w:kern w:val="0"/>
                <w:sz w:val="21"/>
                <w:szCs w:val="21"/>
                <w:u w:val="none"/>
                <w:lang w:val="en-US" w:eastAsia="zh-CN" w:bidi="ar"/>
              </w:rPr>
              <w:t>300，桌面照度均匀度大于0.7，统一眩光值（UGR）</w:t>
            </w:r>
            <w:r>
              <w:rPr>
                <w:rFonts w:hint="eastAsia" w:ascii="宋体" w:hAnsi="宋体" w:eastAsia="宋体" w:cs="宋体"/>
                <w:i w:val="0"/>
                <w:iCs w:val="0"/>
                <w:color w:val="000000"/>
                <w:kern w:val="0"/>
                <w:sz w:val="21"/>
                <w:szCs w:val="21"/>
                <w:u w:val="none"/>
                <w:lang w:val="en-US" w:eastAsia="zh-CN" w:bidi="ar"/>
              </w:rPr>
              <w:t>≤</w:t>
            </w:r>
            <w:r>
              <w:rPr>
                <w:rFonts w:hint="eastAsia" w:hAnsi="宋体" w:eastAsia="宋体" w:cs="宋体"/>
                <w:i w:val="0"/>
                <w:iCs w:val="0"/>
                <w:color w:val="000000"/>
                <w:kern w:val="0"/>
                <w:sz w:val="21"/>
                <w:szCs w:val="21"/>
                <w:u w:val="none"/>
                <w:lang w:val="en-US" w:eastAsia="zh-CN" w:bidi="ar"/>
              </w:rPr>
              <w:t>16.</w:t>
            </w:r>
          </w:p>
          <w:p w14:paraId="2C80D473">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hint="eastAsia" w:ascii="宋体" w:hAnsi="宋体" w:cs="宋体"/>
                <w:b/>
                <w:bCs/>
                <w:color w:val="000000"/>
                <w:kern w:val="0"/>
                <w:szCs w:val="21"/>
                <w:lang w:val="en-US" w:eastAsia="zh-CN" w:bidi="ar"/>
              </w:rPr>
            </w:pPr>
            <w:r>
              <w:rPr>
                <w:rFonts w:hint="eastAsia" w:ascii="宋体" w:hAnsi="宋体" w:eastAsia="宋体" w:cs="宋体"/>
                <w:b/>
                <w:bCs/>
                <w:i w:val="0"/>
                <w:iCs w:val="0"/>
                <w:color w:val="000000"/>
                <w:kern w:val="0"/>
                <w:sz w:val="21"/>
                <w:szCs w:val="21"/>
                <w:u w:val="none"/>
                <w:lang w:val="en-US" w:eastAsia="zh-CN" w:bidi="ar"/>
              </w:rPr>
              <w:t>项目实施</w:t>
            </w:r>
          </w:p>
          <w:p w14:paraId="11A31C36">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ascii="宋体" w:hAnsi="宋体" w:cs="宋体"/>
                <w:color w:val="000000"/>
                <w:kern w:val="0"/>
                <w:szCs w:val="21"/>
                <w:lang w:bidi="ar"/>
              </w:rPr>
            </w:pPr>
            <w:r>
              <w:rPr>
                <w:rFonts w:hint="eastAsia" w:ascii="宋体" w:hAnsi="宋体" w:cs="宋体"/>
                <w:color w:val="000000"/>
                <w:kern w:val="0"/>
                <w:szCs w:val="21"/>
                <w:lang w:val="en-US" w:eastAsia="zh-CN" w:bidi="ar"/>
              </w:rPr>
              <w:t>1、</w:t>
            </w:r>
            <w:r>
              <w:rPr>
                <w:rFonts w:hint="eastAsia" w:ascii="宋体" w:hAnsi="宋体" w:cs="宋体"/>
                <w:color w:val="000000"/>
                <w:kern w:val="0"/>
                <w:szCs w:val="21"/>
                <w:lang w:bidi="ar"/>
              </w:rPr>
              <w:t>拆除原教室灯和相关设施。</w:t>
            </w:r>
          </w:p>
          <w:p w14:paraId="5F8C5546">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ascii="宋体" w:hAnsi="宋体" w:cs="宋体"/>
                <w:color w:val="000000"/>
                <w:kern w:val="0"/>
                <w:szCs w:val="21"/>
                <w:lang w:bidi="ar"/>
              </w:rPr>
            </w:pPr>
            <w:r>
              <w:rPr>
                <w:rFonts w:hint="eastAsia" w:ascii="宋体" w:hAnsi="宋体" w:cs="宋体"/>
                <w:color w:val="000000"/>
                <w:kern w:val="0"/>
                <w:szCs w:val="21"/>
                <w:lang w:val="en-US" w:eastAsia="zh-CN" w:bidi="ar"/>
              </w:rPr>
              <w:t>2、</w:t>
            </w:r>
            <w:r>
              <w:rPr>
                <w:rFonts w:hint="eastAsia" w:ascii="宋体" w:hAnsi="宋体" w:cs="宋体"/>
                <w:color w:val="000000"/>
                <w:kern w:val="0"/>
                <w:szCs w:val="21"/>
                <w:lang w:bidi="ar"/>
              </w:rPr>
              <w:t>安装新采购设备等、附属设施。</w:t>
            </w:r>
          </w:p>
          <w:p w14:paraId="71F9A651">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hint="eastAsia" w:ascii="宋体" w:hAnsi="宋体" w:cs="宋体"/>
                <w:color w:val="000000"/>
                <w:kern w:val="0"/>
                <w:szCs w:val="21"/>
                <w:lang w:bidi="ar"/>
              </w:rPr>
            </w:pPr>
            <w:r>
              <w:rPr>
                <w:rFonts w:hint="eastAsia" w:ascii="宋体" w:hAnsi="宋体" w:cs="宋体"/>
                <w:color w:val="000000"/>
                <w:kern w:val="0"/>
                <w:szCs w:val="21"/>
                <w:lang w:val="en-US" w:eastAsia="zh-CN" w:bidi="ar"/>
              </w:rPr>
              <w:t>3、</w:t>
            </w:r>
            <w:r>
              <w:rPr>
                <w:rFonts w:hint="eastAsia" w:ascii="宋体" w:hAnsi="宋体" w:cs="宋体"/>
                <w:color w:val="000000"/>
                <w:kern w:val="0"/>
                <w:szCs w:val="21"/>
                <w:lang w:bidi="ar"/>
              </w:rPr>
              <w:t xml:space="preserve">1）电源导线：采用国标1.0 </w:t>
            </w:r>
            <w:r>
              <w:rPr>
                <w:rFonts w:hint="eastAsia" w:ascii="宋体" w:hAnsi="宋体" w:cs="宋体"/>
                <w:color w:val="000000"/>
                <w:kern w:val="0"/>
                <w:szCs w:val="21"/>
                <w:lang w:val="en-US" w:eastAsia="zh-CN" w:bidi="ar"/>
              </w:rPr>
              <w:t>c</w:t>
            </w:r>
            <w:r>
              <w:rPr>
                <w:rFonts w:hint="eastAsia" w:ascii="宋体" w:hAnsi="宋体" w:cs="宋体"/>
                <w:color w:val="000000"/>
                <w:kern w:val="0"/>
                <w:szCs w:val="21"/>
                <w:lang w:bidi="ar"/>
              </w:rPr>
              <w:t>㎡阻燃电源线</w:t>
            </w:r>
          </w:p>
          <w:p w14:paraId="791AF6AD">
            <w:pPr>
              <w:keepNext w:val="0"/>
              <w:keepLines w:val="0"/>
              <w:pageBreakBefore w:val="0"/>
              <w:widowControl/>
              <w:kinsoku/>
              <w:wordWrap/>
              <w:overflowPunct/>
              <w:topLinePunct w:val="0"/>
              <w:autoSpaceDE/>
              <w:autoSpaceDN/>
              <w:bidi w:val="0"/>
              <w:adjustRightInd/>
              <w:snapToGrid/>
              <w:spacing w:line="240" w:lineRule="auto"/>
              <w:ind w:left="360"/>
              <w:jc w:val="left"/>
              <w:textAlignment w:val="center"/>
              <w:rPr>
                <w:rFonts w:hint="default" w:ascii="宋体" w:hAnsi="宋体" w:cs="宋体" w:eastAsiaTheme="minorEastAsia"/>
                <w:color w:val="000000"/>
                <w:kern w:val="0"/>
                <w:szCs w:val="21"/>
                <w:lang w:val="en-US" w:eastAsia="zh-CN" w:bidi="ar"/>
              </w:rPr>
            </w:pPr>
            <w:r>
              <w:rPr>
                <w:rFonts w:hint="eastAsia" w:ascii="宋体" w:hAnsi="宋体" w:cs="宋体"/>
                <w:color w:val="000000"/>
                <w:kern w:val="0"/>
                <w:szCs w:val="21"/>
                <w:lang w:bidi="ar"/>
              </w:rPr>
              <w:t>2）</w:t>
            </w:r>
            <w:r>
              <w:rPr>
                <w:rFonts w:hint="eastAsia" w:ascii="宋体" w:hAnsi="宋体" w:cs="宋体"/>
                <w:color w:val="000000"/>
                <w:kern w:val="0"/>
                <w:szCs w:val="21"/>
                <w:lang w:val="en-US" w:eastAsia="zh-CN" w:bidi="ar"/>
              </w:rPr>
              <w:t>金属线管</w:t>
            </w:r>
            <w:r>
              <w:rPr>
                <w:rFonts w:hint="eastAsia" w:ascii="宋体" w:hAnsi="宋体" w:cs="宋体"/>
                <w:color w:val="000000"/>
                <w:kern w:val="0"/>
                <w:szCs w:val="21"/>
                <w:lang w:bidi="ar"/>
              </w:rPr>
              <w:t>、</w:t>
            </w:r>
            <w:r>
              <w:rPr>
                <w:rFonts w:hint="eastAsia" w:ascii="宋体" w:hAnsi="宋体" w:cs="宋体"/>
                <w:color w:val="000000"/>
                <w:kern w:val="0"/>
                <w:szCs w:val="21"/>
                <w:lang w:val="en-US" w:eastAsia="zh-CN" w:bidi="ar"/>
              </w:rPr>
              <w:t>图防火漆、</w:t>
            </w:r>
            <w:r>
              <w:rPr>
                <w:rFonts w:hint="eastAsia" w:ascii="宋体" w:hAnsi="宋体" w:cs="宋体"/>
                <w:color w:val="000000"/>
                <w:kern w:val="0"/>
                <w:szCs w:val="21"/>
                <w:lang w:bidi="ar"/>
              </w:rPr>
              <w:t>自攻钉、开关面板：国标常规</w:t>
            </w:r>
            <w:r>
              <w:rPr>
                <w:rFonts w:hint="eastAsia" w:ascii="宋体" w:hAnsi="宋体" w:cs="宋体"/>
                <w:color w:val="000000"/>
                <w:kern w:val="0"/>
                <w:szCs w:val="21"/>
                <w:lang w:eastAsia="zh-CN" w:bidi="ar"/>
              </w:rPr>
              <w:t>，</w:t>
            </w:r>
            <w:r>
              <w:rPr>
                <w:rFonts w:hint="eastAsia" w:ascii="宋体" w:hAnsi="宋体" w:cs="宋体"/>
                <w:color w:val="000000"/>
                <w:kern w:val="0"/>
                <w:szCs w:val="21"/>
                <w:lang w:val="en-US" w:eastAsia="zh-CN" w:bidi="ar"/>
              </w:rPr>
              <w:t>线管每一米安装2个以上固定卡扣。</w:t>
            </w:r>
            <w:bookmarkStart w:id="0" w:name="_GoBack"/>
            <w:bookmarkEnd w:id="0"/>
          </w:p>
          <w:p w14:paraId="3B396A80">
            <w:pPr>
              <w:keepNext w:val="0"/>
              <w:keepLines w:val="0"/>
              <w:pageBreakBefore w:val="0"/>
              <w:widowControl/>
              <w:kinsoku/>
              <w:wordWrap/>
              <w:overflowPunct/>
              <w:topLinePunct w:val="0"/>
              <w:autoSpaceDE/>
              <w:autoSpaceDN/>
              <w:bidi w:val="0"/>
              <w:adjustRightInd/>
              <w:snapToGrid/>
              <w:spacing w:line="240" w:lineRule="auto"/>
              <w:ind w:left="360"/>
              <w:jc w:val="left"/>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3）灯具吊杆：采用铝合金材质或铝质材料；</w:t>
            </w:r>
          </w:p>
          <w:p w14:paraId="2A20BB70">
            <w:pPr>
              <w:keepNext w:val="0"/>
              <w:keepLines w:val="0"/>
              <w:pageBreakBefore w:val="0"/>
              <w:widowControl/>
              <w:numPr>
                <w:ilvl w:val="0"/>
                <w:numId w:val="4"/>
              </w:numPr>
              <w:kinsoku/>
              <w:wordWrap/>
              <w:overflowPunct/>
              <w:topLinePunct w:val="0"/>
              <w:autoSpaceDE/>
              <w:autoSpaceDN/>
              <w:bidi w:val="0"/>
              <w:adjustRightInd/>
              <w:snapToGrid/>
              <w:spacing w:line="240" w:lineRule="auto"/>
              <w:jc w:val="left"/>
              <w:textAlignment w:val="center"/>
              <w:rPr>
                <w:rFonts w:ascii="宋体" w:hAnsi="宋体" w:cs="宋体"/>
                <w:color w:val="000000"/>
                <w:kern w:val="0"/>
                <w:szCs w:val="21"/>
                <w:lang w:bidi="ar"/>
              </w:rPr>
            </w:pPr>
            <w:r>
              <w:rPr>
                <w:rFonts w:hint="eastAsia" w:ascii="宋体" w:hAnsi="宋体" w:cs="宋体"/>
                <w:color w:val="000000"/>
                <w:kern w:val="0"/>
                <w:szCs w:val="21"/>
                <w:lang w:bidi="ar"/>
              </w:rPr>
              <w:t>墙体安装：墙体紧固件采用 6*60mm或以上铁质或钢制膨胀螺栓。</w:t>
            </w:r>
          </w:p>
          <w:p w14:paraId="18304F52">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rPr>
            </w:pPr>
            <w:r>
              <w:rPr>
                <w:rFonts w:hint="eastAsia" w:ascii="宋体" w:hAnsi="宋体" w:cs="宋体"/>
                <w:color w:val="000000"/>
                <w:kern w:val="0"/>
                <w:szCs w:val="21"/>
                <w:lang w:bidi="ar"/>
              </w:rPr>
              <w:t>对拆除破损墙体处采取修复，已达到美观效果。</w:t>
            </w:r>
          </w:p>
        </w:tc>
      </w:tr>
      <w:tr w14:paraId="40781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91" w:hRule="atLeast"/>
        </w:trPr>
        <w:tc>
          <w:tcPr>
            <w:tcW w:w="8651" w:type="dxa"/>
            <w:gridSpan w:val="3"/>
            <w:shd w:val="clear" w:color="auto" w:fill="auto"/>
            <w:vAlign w:val="center"/>
          </w:tcPr>
          <w:p w14:paraId="708897FE">
            <w:pPr>
              <w:keepNext w:val="0"/>
              <w:keepLines w:val="0"/>
              <w:widowControl/>
              <w:suppressLineNumbers w:val="0"/>
              <w:jc w:val="left"/>
              <w:textAlignment w:val="center"/>
              <w:rPr>
                <w:rFonts w:hint="eastAsia" w:ascii="宋体" w:hAnsi="宋体" w:eastAsia="宋体" w:cs="宋体"/>
                <w:b/>
                <w:i w:val="0"/>
                <w:color w:val="auto"/>
                <w:sz w:val="22"/>
                <w:szCs w:val="22"/>
                <w:u w:val="none"/>
              </w:rPr>
            </w:pPr>
          </w:p>
        </w:tc>
      </w:tr>
      <w:tr w14:paraId="17400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19" w:hRule="atLeast"/>
        </w:trPr>
        <w:tc>
          <w:tcPr>
            <w:tcW w:w="8651" w:type="dxa"/>
            <w:gridSpan w:val="3"/>
            <w:shd w:val="clear" w:color="auto" w:fill="auto"/>
            <w:vAlign w:val="center"/>
          </w:tcPr>
          <w:p w14:paraId="75B6E576">
            <w:pPr>
              <w:keepNext w:val="0"/>
              <w:keepLines w:val="0"/>
              <w:widowControl/>
              <w:suppressLineNumbers w:val="0"/>
              <w:jc w:val="left"/>
              <w:textAlignment w:val="center"/>
              <w:rPr>
                <w:rFonts w:hint="eastAsia" w:ascii="宋体" w:hAnsi="宋体" w:eastAsia="宋体" w:cs="宋体"/>
                <w:b/>
                <w:i w:val="0"/>
                <w:color w:val="auto"/>
                <w:kern w:val="2"/>
                <w:sz w:val="22"/>
                <w:szCs w:val="22"/>
                <w:u w:val="none"/>
                <w:lang w:val="en-US" w:eastAsia="zh-CN" w:bidi="ar-SA"/>
              </w:rPr>
            </w:pPr>
            <w:r>
              <w:rPr>
                <w:rStyle w:val="25"/>
                <w:rFonts w:hint="eastAsia" w:ascii="黑体" w:hAnsi="黑体" w:eastAsia="黑体" w:cs="黑体"/>
                <w:b/>
                <w:bCs w:val="0"/>
                <w:color w:val="auto"/>
                <w:sz w:val="32"/>
                <w:szCs w:val="32"/>
                <w:lang w:val="en-US" w:eastAsia="zh-CN" w:bidi="ar"/>
              </w:rPr>
              <w:t>二、评标办法</w:t>
            </w:r>
          </w:p>
        </w:tc>
      </w:tr>
      <w:tr w14:paraId="43F26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19" w:hRule="atLeast"/>
        </w:trPr>
        <w:tc>
          <w:tcPr>
            <w:tcW w:w="0" w:type="auto"/>
            <w:gridSpan w:val="3"/>
            <w:shd w:val="clear" w:color="auto" w:fill="auto"/>
            <w:vAlign w:val="center"/>
          </w:tcPr>
          <w:p w14:paraId="253BC108">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rPr>
            </w:pPr>
            <w:r>
              <w:rPr>
                <w:rFonts w:hint="eastAsia" w:ascii="宋体" w:hAnsi="宋体" w:eastAsia="宋体" w:cs="宋体"/>
                <w:i w:val="0"/>
                <w:caps w:val="0"/>
                <w:color w:val="auto"/>
                <w:spacing w:val="0"/>
                <w:sz w:val="24"/>
                <w:szCs w:val="24"/>
                <w:u w:val="none"/>
                <w:shd w:val="clear" w:fill="FFFFFF"/>
                <w:lang w:eastAsia="zh-CN"/>
              </w:rPr>
              <w:t>☑</w:t>
            </w:r>
            <w:r>
              <w:rPr>
                <w:rFonts w:hint="eastAsia" w:asciiTheme="majorEastAsia" w:hAnsiTheme="majorEastAsia" w:eastAsiaTheme="majorEastAsia" w:cstheme="majorEastAsia"/>
                <w:i w:val="0"/>
                <w:caps w:val="0"/>
                <w:color w:val="auto"/>
                <w:spacing w:val="0"/>
                <w:sz w:val="28"/>
                <w:szCs w:val="28"/>
                <w:u w:val="none"/>
                <w:shd w:val="clear" w:fill="FFFFFF"/>
              </w:rPr>
              <w:t>最低评标价法</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lang w:eastAsia="zh-CN"/>
              </w:rPr>
              <w:t>（</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rPr>
              <w:t>技术、服务等标准统一的货物</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lang w:eastAsia="zh-CN"/>
              </w:rPr>
              <w:t>、</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rPr>
              <w:t>服务项目，应当采用最低评标价法</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lang w:eastAsia="zh-CN"/>
              </w:rPr>
              <w:t>）</w:t>
            </w:r>
          </w:p>
          <w:p w14:paraId="658E0343">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leftChars="0"/>
              <w:jc w:val="left"/>
              <w:textAlignment w:val="center"/>
              <w:rPr>
                <w:rFonts w:hint="eastAsia" w:ascii="微软雅黑" w:hAnsi="微软雅黑" w:eastAsia="微软雅黑" w:cs="微软雅黑"/>
                <w:i w:val="0"/>
                <w:caps w:val="0"/>
                <w:color w:val="auto"/>
                <w:spacing w:val="0"/>
                <w:kern w:val="2"/>
                <w:sz w:val="24"/>
                <w:szCs w:val="24"/>
                <w:u w:val="single"/>
                <w:shd w:val="clear" w:fill="FFFFFF"/>
                <w:lang w:val="en-US" w:eastAsia="zh-CN" w:bidi="ar-SA"/>
              </w:rPr>
            </w:pPr>
            <w:r>
              <w:rPr>
                <w:rFonts w:hint="eastAsia" w:asciiTheme="minorEastAsia" w:hAnsiTheme="minorEastAsia" w:cstheme="minorEastAsia"/>
                <w:i w:val="0"/>
                <w:caps w:val="0"/>
                <w:color w:val="auto"/>
                <w:spacing w:val="0"/>
                <w:sz w:val="28"/>
                <w:szCs w:val="28"/>
                <w:u w:val="none"/>
                <w:shd w:val="clear" w:fill="FFFFFF"/>
                <w:lang w:eastAsia="zh-CN"/>
              </w:rPr>
              <w:t>□</w:t>
            </w:r>
            <w:r>
              <w:rPr>
                <w:rFonts w:hint="eastAsia" w:asciiTheme="minorEastAsia" w:hAnsiTheme="minorEastAsia" w:eastAsiaTheme="minorEastAsia" w:cstheme="minorEastAsia"/>
                <w:i w:val="0"/>
                <w:caps w:val="0"/>
                <w:color w:val="auto"/>
                <w:spacing w:val="0"/>
                <w:sz w:val="28"/>
                <w:szCs w:val="28"/>
                <w:u w:val="none"/>
                <w:shd w:val="clear" w:fill="FFFFFF"/>
              </w:rPr>
              <w:t>综合评分法　</w:t>
            </w:r>
            <w:r>
              <w:rPr>
                <w:rFonts w:hint="eastAsia" w:asciiTheme="minorEastAsia" w:hAnsiTheme="minorEastAsia" w:cstheme="minorEastAsia"/>
                <w:i w:val="0"/>
                <w:caps w:val="0"/>
                <w:color w:val="auto"/>
                <w:spacing w:val="0"/>
                <w:sz w:val="28"/>
                <w:szCs w:val="28"/>
                <w:u w:val="none"/>
                <w:shd w:val="clear" w:fill="FFFFFF"/>
                <w:lang w:eastAsia="zh-CN"/>
              </w:rPr>
              <w:t>，</w:t>
            </w:r>
            <w:r>
              <w:rPr>
                <w:rFonts w:hint="eastAsia" w:asciiTheme="minorEastAsia" w:hAnsiTheme="minorEastAsia" w:eastAsiaTheme="minorEastAsia" w:cstheme="minorEastAsia"/>
                <w:b w:val="0"/>
                <w:bCs/>
                <w:i w:val="0"/>
                <w:color w:val="auto"/>
                <w:kern w:val="0"/>
                <w:sz w:val="28"/>
                <w:szCs w:val="28"/>
                <w:u w:val="none"/>
                <w:lang w:val="en-US" w:eastAsia="zh-CN" w:bidi="ar"/>
              </w:rPr>
              <w:t xml:space="preserve">投标报价（ </w:t>
            </w:r>
            <w:r>
              <w:rPr>
                <w:rFonts w:hint="eastAsia" w:asciiTheme="minorEastAsia" w:hAnsiTheme="minorEastAsia" w:cstheme="minorEastAsia"/>
                <w:b w:val="0"/>
                <w:bCs/>
                <w:i w:val="0"/>
                <w:color w:val="auto"/>
                <w:kern w:val="0"/>
                <w:sz w:val="28"/>
                <w:szCs w:val="28"/>
                <w:u w:val="none"/>
                <w:lang w:val="en-US" w:eastAsia="zh-CN" w:bidi="ar"/>
              </w:rPr>
              <w:t xml:space="preserve">    </w:t>
            </w:r>
            <w:r>
              <w:rPr>
                <w:rFonts w:hint="eastAsia" w:asciiTheme="minorEastAsia" w:hAnsiTheme="minorEastAsia" w:eastAsiaTheme="minorEastAsia" w:cstheme="minorEastAsia"/>
                <w:b w:val="0"/>
                <w:bCs/>
                <w:i w:val="0"/>
                <w:color w:val="auto"/>
                <w:kern w:val="0"/>
                <w:sz w:val="28"/>
                <w:szCs w:val="28"/>
                <w:u w:val="none"/>
                <w:lang w:val="en-US" w:eastAsia="zh-CN" w:bidi="ar"/>
              </w:rPr>
              <w:t>）</w:t>
            </w:r>
            <w:r>
              <w:rPr>
                <w:rFonts w:hint="eastAsia" w:ascii="Times New Roman" w:hAnsi="Times New Roman" w:cs="Times New Roman"/>
                <w:b w:val="0"/>
                <w:color w:val="auto"/>
                <w:kern w:val="2"/>
                <w:sz w:val="21"/>
                <w:szCs w:val="24"/>
                <w:highlight w:val="none"/>
                <w:u w:val="none"/>
                <w:lang w:val="en-US" w:eastAsia="zh-CN" w:bidi="ar-SA"/>
              </w:rPr>
              <w:t>。</w:t>
            </w:r>
          </w:p>
        </w:tc>
      </w:tr>
    </w:tbl>
    <w:p w14:paraId="2CFFA65B">
      <w:pPr>
        <w:jc w:val="both"/>
        <w:rPr>
          <w:rFonts w:hint="eastAsia" w:asciiTheme="majorAscii"/>
          <w:b/>
          <w:bCs/>
          <w:color w:val="auto"/>
          <w:sz w:val="24"/>
          <w:szCs w:val="24"/>
          <w:lang w:val="en-US" w:eastAsia="zh-CN"/>
        </w:rPr>
        <w:sectPr>
          <w:footerReference r:id="rId3" w:type="default"/>
          <w:pgSz w:w="11906" w:h="16838"/>
          <w:pgMar w:top="1440" w:right="1800" w:bottom="1440" w:left="1800" w:header="851" w:footer="992" w:gutter="0"/>
          <w:cols w:space="425" w:num="1"/>
          <w:docGrid w:type="lines" w:linePitch="312" w:charSpace="0"/>
        </w:sectPr>
      </w:pPr>
    </w:p>
    <w:p w14:paraId="19B5E890"/>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911D5C">
    <w:pPr>
      <w:pStyle w:val="9"/>
      <w:jc w:val="right"/>
      <w:rPr>
        <w:rFonts w:ascii="宋体" w:hAnsi="宋体"/>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397403">
                          <w:pPr>
                            <w:pStyle w:val="9"/>
                          </w:pPr>
                          <w:r>
                            <w:fldChar w:fldCharType="begin"/>
                          </w:r>
                          <w:r>
                            <w:instrText xml:space="preserve"> PAGE  \* MERGEFORMAT </w:instrText>
                          </w:r>
                          <w:r>
                            <w:fldChar w:fldCharType="separate"/>
                          </w:r>
                          <w:r>
                            <w:t>- 36 -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4E397403">
                    <w:pPr>
                      <w:pStyle w:val="9"/>
                    </w:pPr>
                    <w:r>
                      <w:fldChar w:fldCharType="begin"/>
                    </w:r>
                    <w:r>
                      <w:instrText xml:space="preserve"> PAGE  \* MERGEFORMAT </w:instrText>
                    </w:r>
                    <w:r>
                      <w:fldChar w:fldCharType="separate"/>
                    </w:r>
                    <w:r>
                      <w:t>- 36 -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BA484">
    <w:pPr>
      <w:pStyle w:val="9"/>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CC9B90">
                          <w:pPr>
                            <w:pStyle w:val="9"/>
                            <w:jc w:val="right"/>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7</w:t>
                          </w:r>
                          <w:r>
                            <w:rPr>
                              <w:rFonts w:ascii="宋体" w:hAnsi="宋体"/>
                              <w:sz w:val="28"/>
                              <w:szCs w:val="28"/>
                            </w:rPr>
                            <w:fldChar w:fldCharType="end"/>
                          </w:r>
                          <w:r>
                            <w:rPr>
                              <w:rFonts w:hint="eastAsia" w:ascii="宋体" w:hAnsi="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67CC9B90">
                    <w:pPr>
                      <w:pStyle w:val="9"/>
                      <w:jc w:val="right"/>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7</w:t>
                    </w:r>
                    <w:r>
                      <w:rPr>
                        <w:rFonts w:ascii="宋体" w:hAnsi="宋体"/>
                        <w:sz w:val="28"/>
                        <w:szCs w:val="28"/>
                      </w:rPr>
                      <w:fldChar w:fldCharType="end"/>
                    </w:r>
                    <w:r>
                      <w:rPr>
                        <w:rFonts w:hint="eastAsia" w:ascii="宋体" w:hAnsi="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FC834A"/>
    <w:multiLevelType w:val="singleLevel"/>
    <w:tmpl w:val="F6FC834A"/>
    <w:lvl w:ilvl="0" w:tentative="0">
      <w:start w:val="1"/>
      <w:numFmt w:val="decimal"/>
      <w:suff w:val="nothing"/>
      <w:lvlText w:val="%1、"/>
      <w:lvlJc w:val="left"/>
    </w:lvl>
  </w:abstractNum>
  <w:abstractNum w:abstractNumId="1">
    <w:nsid w:val="4E49194C"/>
    <w:multiLevelType w:val="multilevel"/>
    <w:tmpl w:val="4E49194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92C86BB"/>
    <w:multiLevelType w:val="singleLevel"/>
    <w:tmpl w:val="692C86BB"/>
    <w:lvl w:ilvl="0" w:tentative="0">
      <w:start w:val="2"/>
      <w:numFmt w:val="decimal"/>
      <w:suff w:val="nothing"/>
      <w:lvlText w:val="（%1）"/>
      <w:lvlJc w:val="left"/>
    </w:lvl>
  </w:abstractNum>
  <w:abstractNum w:abstractNumId="3">
    <w:nsid w:val="7F74BC42"/>
    <w:multiLevelType w:val="singleLevel"/>
    <w:tmpl w:val="7F74BC42"/>
    <w:lvl w:ilvl="0" w:tentative="0">
      <w:start w:val="3"/>
      <w:numFmt w:val="chineseCounting"/>
      <w:suff w:val="nothing"/>
      <w:lvlText w:val="（%1）"/>
      <w:lvlJc w:val="left"/>
      <w:rPr>
        <w:rFonts w:hint="eastAsia"/>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B36F6B"/>
    <w:rsid w:val="0593164F"/>
    <w:rsid w:val="09364435"/>
    <w:rsid w:val="15A91169"/>
    <w:rsid w:val="20DE380B"/>
    <w:rsid w:val="2B2C5FC2"/>
    <w:rsid w:val="30A5708D"/>
    <w:rsid w:val="34336F3D"/>
    <w:rsid w:val="3C3B4024"/>
    <w:rsid w:val="43B36F6B"/>
    <w:rsid w:val="43D61FDC"/>
    <w:rsid w:val="574075F2"/>
    <w:rsid w:val="5F0C7ED3"/>
    <w:rsid w:val="702D2669"/>
    <w:rsid w:val="73256C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1"/>
    <w:pPr>
      <w:spacing w:before="3"/>
      <w:ind w:left="1100"/>
      <w:outlineLvl w:val="1"/>
    </w:pPr>
    <w:rPr>
      <w:rFonts w:ascii="仿宋" w:hAnsi="仿宋" w:eastAsia="仿宋" w:cs="仿宋"/>
      <w:b/>
      <w:bCs/>
      <w:sz w:val="32"/>
      <w:szCs w:val="32"/>
      <w:lang w:val="zh-CN" w:eastAsia="zh-CN" w:bidi="zh-CN"/>
    </w:rPr>
  </w:style>
  <w:style w:type="paragraph" w:styleId="4">
    <w:name w:val="heading 2"/>
    <w:basedOn w:val="1"/>
    <w:next w:val="5"/>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index 6"/>
    <w:basedOn w:val="1"/>
    <w:next w:val="1"/>
    <w:qFormat/>
    <w:uiPriority w:val="0"/>
    <w:pPr>
      <w:ind w:left="2100"/>
    </w:pPr>
  </w:style>
  <w:style w:type="paragraph" w:customStyle="1" w:styleId="5">
    <w:name w:val="文档正文"/>
    <w:basedOn w:val="6"/>
    <w:qFormat/>
    <w:uiPriority w:val="0"/>
    <w:pPr>
      <w:spacing w:line="480" w:lineRule="atLeast"/>
      <w:textAlignment w:val="baseline"/>
    </w:pPr>
    <w:rPr>
      <w:kern w:val="0"/>
      <w:sz w:val="24"/>
    </w:rPr>
  </w:style>
  <w:style w:type="paragraph" w:styleId="6">
    <w:name w:val="Normal Indent"/>
    <w:basedOn w:val="1"/>
    <w:qFormat/>
    <w:uiPriority w:val="0"/>
    <w:pPr>
      <w:ind w:firstLine="420"/>
    </w:pPr>
    <w:rPr>
      <w:sz w:val="21"/>
    </w:rPr>
  </w:style>
  <w:style w:type="paragraph" w:styleId="7">
    <w:name w:val="Body Text"/>
    <w:basedOn w:val="1"/>
    <w:next w:val="1"/>
    <w:qFormat/>
    <w:uiPriority w:val="1"/>
    <w:rPr>
      <w:rFonts w:ascii="仿宋" w:hAnsi="仿宋" w:eastAsia="仿宋" w:cs="仿宋"/>
      <w:sz w:val="32"/>
      <w:szCs w:val="32"/>
      <w:lang w:val="zh-CN" w:eastAsia="zh-CN" w:bidi="zh-CN"/>
    </w:rPr>
  </w:style>
  <w:style w:type="paragraph" w:styleId="8">
    <w:name w:val="Plain Text"/>
    <w:basedOn w:val="1"/>
    <w:qFormat/>
    <w:uiPriority w:val="0"/>
    <w:pPr>
      <w:spacing w:beforeLines="50" w:afterLines="50" w:line="400" w:lineRule="exact"/>
    </w:pPr>
    <w:rPr>
      <w:rFonts w:ascii="宋体" w:hAnsi="Courier New"/>
      <w:sz w:val="24"/>
      <w:szCs w:val="24"/>
      <w:lang w:val="zh-CN"/>
    </w:rPr>
  </w:style>
  <w:style w:type="paragraph" w:styleId="9">
    <w:name w:val="footer"/>
    <w:basedOn w:val="1"/>
    <w:qFormat/>
    <w:uiPriority w:val="0"/>
    <w:pPr>
      <w:tabs>
        <w:tab w:val="center" w:pos="4153"/>
        <w:tab w:val="right" w:pos="8306"/>
      </w:tabs>
      <w:snapToGrid w:val="0"/>
      <w:jc w:val="left"/>
    </w:pPr>
    <w:rPr>
      <w:sz w:val="18"/>
    </w:rPr>
  </w:style>
  <w:style w:type="paragraph" w:styleId="10">
    <w:name w:val="footnote text"/>
    <w:basedOn w:val="1"/>
    <w:qFormat/>
    <w:uiPriority w:val="0"/>
    <w:pPr>
      <w:snapToGrid w:val="0"/>
      <w:jc w:val="left"/>
    </w:pPr>
    <w:rPr>
      <w:sz w:val="18"/>
    </w:rPr>
  </w:style>
  <w:style w:type="paragraph" w:styleId="11">
    <w:name w:val="Body Text Indent 3"/>
    <w:basedOn w:val="1"/>
    <w:qFormat/>
    <w:uiPriority w:val="0"/>
    <w:pPr>
      <w:spacing w:after="120"/>
      <w:ind w:left="420" w:leftChars="200"/>
    </w:pPr>
    <w:rPr>
      <w:sz w:val="16"/>
      <w:szCs w:val="16"/>
    </w:rPr>
  </w:style>
  <w:style w:type="paragraph" w:styleId="12">
    <w:name w:val="Body Text 2"/>
    <w:basedOn w:val="1"/>
    <w:qFormat/>
    <w:uiPriority w:val="0"/>
    <w:rPr>
      <w:sz w:val="28"/>
    </w:rPr>
  </w:style>
  <w:style w:type="paragraph" w:styleId="1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4">
    <w:name w:val="Body Text First Indent"/>
    <w:basedOn w:val="7"/>
    <w:next w:val="1"/>
    <w:qFormat/>
    <w:uiPriority w:val="99"/>
    <w:pPr>
      <w:tabs>
        <w:tab w:val="left" w:pos="562"/>
        <w:tab w:val="left" w:pos="567"/>
        <w:tab w:val="left" w:pos="3372"/>
        <w:tab w:val="left" w:pos="3653"/>
      </w:tabs>
      <w:ind w:firstLine="420" w:firstLineChars="100"/>
    </w:pPr>
    <w:rPr>
      <w:sz w:val="21"/>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8">
    <w:name w:val="1"/>
    <w:basedOn w:val="1"/>
    <w:next w:val="11"/>
    <w:qFormat/>
    <w:uiPriority w:val="0"/>
    <w:pPr>
      <w:adjustRightInd w:val="0"/>
      <w:snapToGrid w:val="0"/>
      <w:spacing w:line="336" w:lineRule="auto"/>
      <w:ind w:firstLine="480" w:firstLineChars="200"/>
    </w:pPr>
    <w:rPr>
      <w:snapToGrid w:val="0"/>
      <w:color w:val="993300"/>
      <w:sz w:val="24"/>
      <w:szCs w:val="20"/>
    </w:rPr>
  </w:style>
  <w:style w:type="character" w:customStyle="1" w:styleId="19">
    <w:name w:val="font51"/>
    <w:basedOn w:val="17"/>
    <w:qFormat/>
    <w:uiPriority w:val="0"/>
    <w:rPr>
      <w:rFonts w:hint="eastAsia" w:ascii="宋体" w:hAnsi="宋体" w:eastAsia="宋体" w:cs="宋体"/>
      <w:color w:val="000000"/>
      <w:sz w:val="22"/>
      <w:szCs w:val="22"/>
      <w:u w:val="none"/>
    </w:rPr>
  </w:style>
  <w:style w:type="character" w:customStyle="1" w:styleId="20">
    <w:name w:val="font121"/>
    <w:basedOn w:val="17"/>
    <w:qFormat/>
    <w:uiPriority w:val="0"/>
    <w:rPr>
      <w:rFonts w:hint="eastAsia" w:ascii="宋体" w:hAnsi="宋体" w:eastAsia="宋体" w:cs="宋体"/>
      <w:color w:val="FF0000"/>
      <w:sz w:val="20"/>
      <w:szCs w:val="20"/>
      <w:u w:val="none"/>
    </w:rPr>
  </w:style>
  <w:style w:type="character" w:customStyle="1" w:styleId="21">
    <w:name w:val="font81"/>
    <w:basedOn w:val="17"/>
    <w:qFormat/>
    <w:uiPriority w:val="0"/>
    <w:rPr>
      <w:rFonts w:hint="eastAsia" w:ascii="宋体" w:hAnsi="宋体" w:eastAsia="宋体" w:cs="宋体"/>
      <w:color w:val="000000"/>
      <w:sz w:val="22"/>
      <w:szCs w:val="22"/>
      <w:u w:val="none"/>
    </w:rPr>
  </w:style>
  <w:style w:type="character" w:customStyle="1" w:styleId="22">
    <w:name w:val="font41"/>
    <w:basedOn w:val="17"/>
    <w:qFormat/>
    <w:uiPriority w:val="0"/>
    <w:rPr>
      <w:rFonts w:hint="eastAsia" w:ascii="宋体" w:hAnsi="宋体" w:eastAsia="宋体" w:cs="宋体"/>
      <w:color w:val="000000"/>
      <w:sz w:val="22"/>
      <w:szCs w:val="22"/>
      <w:u w:val="single"/>
    </w:rPr>
  </w:style>
  <w:style w:type="character" w:customStyle="1" w:styleId="23">
    <w:name w:val="font71"/>
    <w:basedOn w:val="17"/>
    <w:qFormat/>
    <w:uiPriority w:val="0"/>
    <w:rPr>
      <w:rFonts w:hint="eastAsia" w:ascii="宋体" w:hAnsi="宋体" w:eastAsia="宋体" w:cs="宋体"/>
      <w:b/>
      <w:color w:val="FF0000"/>
      <w:sz w:val="20"/>
      <w:szCs w:val="20"/>
      <w:u w:val="none"/>
    </w:rPr>
  </w:style>
  <w:style w:type="character" w:customStyle="1" w:styleId="24">
    <w:name w:val="font61"/>
    <w:basedOn w:val="17"/>
    <w:qFormat/>
    <w:uiPriority w:val="0"/>
    <w:rPr>
      <w:rFonts w:hint="eastAsia" w:ascii="宋体" w:hAnsi="宋体" w:eastAsia="宋体" w:cs="宋体"/>
      <w:color w:val="000000"/>
      <w:sz w:val="22"/>
      <w:szCs w:val="22"/>
      <w:u w:val="single"/>
    </w:rPr>
  </w:style>
  <w:style w:type="character" w:customStyle="1" w:styleId="25">
    <w:name w:val="font31"/>
    <w:basedOn w:val="17"/>
    <w:qFormat/>
    <w:uiPriority w:val="0"/>
    <w:rPr>
      <w:rFonts w:hint="eastAsia" w:ascii="宋体" w:hAnsi="宋体" w:eastAsia="宋体" w:cs="宋体"/>
      <w:b/>
      <w:color w:val="000000"/>
      <w:sz w:val="22"/>
      <w:szCs w:val="22"/>
      <w:u w:val="none"/>
    </w:rPr>
  </w:style>
  <w:style w:type="character" w:customStyle="1" w:styleId="26">
    <w:name w:val="font11"/>
    <w:basedOn w:val="17"/>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1529</Words>
  <Characters>1584</Characters>
  <Lines>0</Lines>
  <Paragraphs>0</Paragraphs>
  <TotalTime>21</TotalTime>
  <ScaleCrop>false</ScaleCrop>
  <LinksUpToDate>false</LinksUpToDate>
  <CharactersWithSpaces>1678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2024-07-12T02:08:00Z</dcterms:created>
  <dc:creator>Administrator</dc:creator>
  <cp:lastModifiedBy>林建国-奇台</cp:lastModifiedBy>
  <cp:lastPrinted>2025-03-27T04:31:00Z</cp:lastPrinted>
  <dcterms:modified xsi:type="dcterms:W3CDTF">2025-04-01T07:11:41Z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eyJoZGlkIjoiMjI2NzgwNDhlMzgwOGIxYmY3ODQ4YjhmYWNlZmE0MGQiLCJ1c2VySWQiOiIzOTM0MjM1MjAifQ==</vt:lpwstr>
  </property>
  <property fmtid="{D5CDD505-2E9C-101B-9397-08002B2CF9AE}" pid="4" name="ICV">
    <vt:lpwstr>4B59E42D06D540BC8891EA0F9FE67238_13</vt:lpwstr>
  </property>
</Properties>
</file>