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1F9E53">
      <w:pPr>
        <w:jc w:val="both"/>
        <w:rPr>
          <w:rFonts w:hint="eastAsia" w:asciiTheme="majorAscii"/>
          <w:b/>
          <w:bCs/>
          <w:color w:val="auto"/>
          <w:sz w:val="24"/>
          <w:szCs w:val="24"/>
          <w:lang w:val="en-US" w:eastAsia="zh-CN"/>
        </w:rPr>
      </w:pPr>
    </w:p>
    <w:p w14:paraId="58F04C3C">
      <w:pPr>
        <w:pStyle w:val="2"/>
        <w:rPr>
          <w:rFonts w:hint="eastAsia" w:asciiTheme="majorAscii"/>
          <w:b/>
          <w:bCs/>
          <w:color w:val="auto"/>
          <w:sz w:val="24"/>
          <w:szCs w:val="24"/>
          <w:lang w:val="en-US" w:eastAsia="zh-CN"/>
        </w:rPr>
      </w:pPr>
    </w:p>
    <w:p w14:paraId="036577D2">
      <w:pPr>
        <w:rPr>
          <w:rFonts w:hint="eastAsia" w:asciiTheme="majorAscii"/>
          <w:b/>
          <w:bCs/>
          <w:color w:val="auto"/>
          <w:sz w:val="24"/>
          <w:szCs w:val="24"/>
          <w:lang w:val="en-US" w:eastAsia="zh-CN"/>
        </w:rPr>
      </w:pPr>
    </w:p>
    <w:p w14:paraId="56BCD7FA">
      <w:pPr>
        <w:pStyle w:val="2"/>
        <w:rPr>
          <w:rFonts w:hint="eastAsia" w:asciiTheme="majorAscii"/>
          <w:b/>
          <w:bCs/>
          <w:color w:val="auto"/>
          <w:sz w:val="24"/>
          <w:szCs w:val="24"/>
          <w:lang w:val="en-US" w:eastAsia="zh-CN"/>
        </w:rPr>
      </w:pPr>
    </w:p>
    <w:p w14:paraId="20A7963D">
      <w:pPr>
        <w:rPr>
          <w:rFonts w:hint="eastAsia"/>
          <w:lang w:val="en-US" w:eastAsia="zh-CN"/>
        </w:rPr>
      </w:pPr>
    </w:p>
    <w:p w14:paraId="08D15F38">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附件：1</w:t>
      </w:r>
    </w:p>
    <w:p w14:paraId="7EF9ECF3">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政府采购</w:t>
      </w:r>
      <w:r>
        <w:rPr>
          <w:rFonts w:hint="eastAsia" w:ascii="方正小标宋简体" w:hAnsi="方正小标宋简体" w:eastAsia="方正小标宋简体" w:cs="宋体"/>
          <w:color w:val="auto"/>
          <w:sz w:val="56"/>
          <w:szCs w:val="56"/>
          <w:lang w:eastAsia="zh-CN"/>
        </w:rPr>
        <w:t>（货物、</w:t>
      </w:r>
      <w:r>
        <w:rPr>
          <w:rFonts w:hint="eastAsia" w:ascii="方正小标宋简体" w:hAnsi="方正小标宋简体" w:eastAsia="方正小标宋简体" w:cs="宋体"/>
          <w:color w:val="auto"/>
          <w:sz w:val="56"/>
          <w:szCs w:val="56"/>
          <w:lang w:val="en-US" w:eastAsia="zh-CN"/>
        </w:rPr>
        <w:t>服务类</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rPr>
        <w:t>项目</w:t>
      </w:r>
    </w:p>
    <w:p w14:paraId="1FE8E981">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采 购 需 求</w:t>
      </w:r>
    </w:p>
    <w:p w14:paraId="53B266A3">
      <w:pPr>
        <w:jc w:val="center"/>
        <w:rPr>
          <w:rFonts w:ascii="方正小标宋简体" w:hAnsi="方正小标宋简体" w:eastAsia="方正小标宋简体"/>
          <w:color w:val="auto"/>
          <w:sz w:val="44"/>
          <w:szCs w:val="44"/>
        </w:rPr>
      </w:pPr>
    </w:p>
    <w:p w14:paraId="48CEF115">
      <w:pPr>
        <w:rPr>
          <w:rFonts w:hint="default" w:ascii="方正小标宋简体" w:hAnsi="方正小标宋简体" w:eastAsia="方正小标宋简体"/>
          <w:color w:val="auto"/>
          <w:sz w:val="32"/>
          <w:szCs w:val="32"/>
          <w:u w:val="single"/>
          <w:lang w:val="en-US" w:eastAsia="zh-CN"/>
        </w:rPr>
      </w:pPr>
      <w:r>
        <w:rPr>
          <w:rFonts w:ascii="方正小标宋简体" w:hAnsi="方正小标宋简体" w:eastAsia="方正小标宋简体"/>
          <w:color w:val="auto"/>
          <w:sz w:val="32"/>
          <w:szCs w:val="32"/>
        </w:rPr>
        <w:t>项目名称</w:t>
      </w:r>
      <w:r>
        <w:rPr>
          <w:rFonts w:hint="eastAsia" w:ascii="方正小标宋简体" w:hAnsi="方正小标宋简体" w:eastAsia="方正小标宋简体"/>
          <w:color w:val="auto"/>
          <w:sz w:val="32"/>
          <w:szCs w:val="32"/>
        </w:rPr>
        <w:t>：</w:t>
      </w:r>
      <w:r>
        <w:rPr>
          <w:rFonts w:hint="eastAsia" w:ascii="方正小标宋简体" w:hAnsi="方正小标宋简体" w:eastAsia="方正小标宋简体"/>
          <w:color w:val="auto"/>
          <w:sz w:val="32"/>
          <w:szCs w:val="32"/>
          <w:u w:val="single"/>
          <w:lang w:val="en-US" w:eastAsia="zh-CN"/>
        </w:rPr>
        <w:t>2025年支持学前教育发展资金设备购置项目</w:t>
      </w:r>
    </w:p>
    <w:p w14:paraId="263A61A1">
      <w:pPr>
        <w:jc w:val="both"/>
        <w:rPr>
          <w:rFonts w:hint="eastAsia" w:ascii="方正小标宋简体" w:hAnsi="方正小标宋简体" w:eastAsia="方正小标宋简体"/>
          <w:color w:val="auto"/>
          <w:sz w:val="44"/>
          <w:szCs w:val="44"/>
        </w:rPr>
      </w:pPr>
      <w:r>
        <w:rPr>
          <w:rFonts w:hint="eastAsia" w:ascii="方正小标宋简体" w:hAnsi="方正小标宋简体" w:eastAsia="方正小标宋简体"/>
          <w:color w:val="auto"/>
          <w:sz w:val="32"/>
          <w:szCs w:val="32"/>
        </w:rPr>
        <w:t>采购单位：</w:t>
      </w:r>
      <w:r>
        <w:rPr>
          <w:rFonts w:hint="eastAsia" w:ascii="方正小标宋简体" w:hAnsi="方正小标宋简体" w:eastAsia="方正小标宋简体"/>
          <w:color w:val="auto"/>
          <w:sz w:val="32"/>
          <w:szCs w:val="32"/>
          <w:u w:val="single"/>
          <w:lang w:val="en-US" w:eastAsia="zh-CN"/>
        </w:rPr>
        <w:t>奇台县第一幼儿园</w:t>
      </w:r>
      <w:r>
        <w:rPr>
          <w:rFonts w:hint="eastAsia" w:ascii="方正小标宋简体" w:hAnsi="方正小标宋简体" w:eastAsia="方正小标宋简体"/>
          <w:color w:val="auto"/>
          <w:sz w:val="32"/>
          <w:szCs w:val="32"/>
          <w:u w:val="single"/>
          <w:lang w:eastAsia="zh-CN"/>
        </w:rPr>
        <w:t>（盖公章）</w:t>
      </w:r>
      <w:r>
        <w:rPr>
          <w:rFonts w:hint="eastAsia" w:ascii="方正小标宋简体" w:hAnsi="方正小标宋简体" w:eastAsia="方正小标宋简体"/>
          <w:color w:val="auto"/>
          <w:sz w:val="32"/>
          <w:szCs w:val="32"/>
          <w:u w:val="single"/>
          <w:lang w:val="en-US" w:eastAsia="zh-CN"/>
        </w:rPr>
        <w:t xml:space="preserve">  </w:t>
      </w:r>
    </w:p>
    <w:p w14:paraId="648A648C">
      <w:pPr>
        <w:pStyle w:val="10"/>
        <w:rPr>
          <w:rFonts w:hint="eastAsia" w:ascii="方正小标宋简体" w:hAnsi="方正小标宋简体" w:eastAsia="方正小标宋简体"/>
          <w:color w:val="auto"/>
          <w:sz w:val="44"/>
          <w:szCs w:val="44"/>
        </w:rPr>
      </w:pPr>
    </w:p>
    <w:p w14:paraId="1E5D76FE">
      <w:pPr>
        <w:spacing w:line="560" w:lineRule="exact"/>
        <w:jc w:val="left"/>
        <w:rPr>
          <w:rFonts w:hint="eastAsia" w:ascii="黑体" w:hAnsi="黑体" w:eastAsia="黑体"/>
          <w:b/>
          <w:bCs/>
          <w:i w:val="0"/>
          <w:iCs w:val="0"/>
          <w:color w:val="auto"/>
          <w:sz w:val="28"/>
          <w:szCs w:val="28"/>
          <w:highlight w:val="none"/>
        </w:rPr>
      </w:pPr>
    </w:p>
    <w:p w14:paraId="41E20585">
      <w:pPr>
        <w:spacing w:line="560" w:lineRule="exact"/>
        <w:jc w:val="left"/>
        <w:rPr>
          <w:rFonts w:hint="eastAsia" w:ascii="黑体" w:hAnsi="黑体" w:eastAsia="黑体"/>
          <w:b/>
          <w:bCs/>
          <w:i w:val="0"/>
          <w:iCs w:val="0"/>
          <w:color w:val="auto"/>
          <w:sz w:val="28"/>
          <w:szCs w:val="28"/>
          <w:highlight w:val="none"/>
        </w:rPr>
      </w:pPr>
    </w:p>
    <w:p w14:paraId="0AFC0F35">
      <w:pPr>
        <w:spacing w:line="560" w:lineRule="exact"/>
        <w:jc w:val="left"/>
        <w:rPr>
          <w:rFonts w:hint="eastAsia" w:ascii="黑体" w:hAnsi="黑体" w:eastAsia="黑体"/>
          <w:b/>
          <w:bCs/>
          <w:i w:val="0"/>
          <w:iCs w:val="0"/>
          <w:color w:val="auto"/>
          <w:sz w:val="28"/>
          <w:szCs w:val="28"/>
          <w:highlight w:val="none"/>
        </w:rPr>
      </w:pPr>
    </w:p>
    <w:p w14:paraId="13EB9D8A">
      <w:pPr>
        <w:spacing w:line="560" w:lineRule="exact"/>
        <w:jc w:val="left"/>
        <w:rPr>
          <w:rFonts w:hint="eastAsia" w:ascii="黑体" w:hAnsi="黑体" w:eastAsia="黑体"/>
          <w:b/>
          <w:bCs/>
          <w:i w:val="0"/>
          <w:iCs w:val="0"/>
          <w:color w:val="auto"/>
          <w:sz w:val="28"/>
          <w:szCs w:val="28"/>
          <w:highlight w:val="none"/>
        </w:rPr>
      </w:pPr>
    </w:p>
    <w:p w14:paraId="62109BD2">
      <w:pPr>
        <w:spacing w:line="560" w:lineRule="exact"/>
        <w:jc w:val="left"/>
        <w:rPr>
          <w:rFonts w:hint="eastAsia" w:ascii="黑体" w:hAnsi="黑体" w:eastAsia="黑体"/>
          <w:b/>
          <w:bCs/>
          <w:i w:val="0"/>
          <w:iCs w:val="0"/>
          <w:color w:val="auto"/>
          <w:sz w:val="28"/>
          <w:szCs w:val="28"/>
          <w:highlight w:val="none"/>
        </w:rPr>
      </w:pPr>
    </w:p>
    <w:p w14:paraId="4008EC29">
      <w:pPr>
        <w:spacing w:line="560" w:lineRule="exact"/>
        <w:jc w:val="left"/>
        <w:rPr>
          <w:rFonts w:hint="eastAsia" w:ascii="黑体" w:hAnsi="黑体" w:eastAsia="黑体"/>
          <w:b/>
          <w:bCs/>
          <w:i w:val="0"/>
          <w:iCs w:val="0"/>
          <w:color w:val="auto"/>
          <w:sz w:val="28"/>
          <w:szCs w:val="28"/>
          <w:highlight w:val="none"/>
        </w:rPr>
      </w:pPr>
    </w:p>
    <w:p w14:paraId="1B72D58A">
      <w:pPr>
        <w:spacing w:line="560" w:lineRule="exact"/>
        <w:jc w:val="left"/>
        <w:rPr>
          <w:rFonts w:hint="eastAsia" w:ascii="黑体" w:hAnsi="黑体" w:eastAsia="黑体"/>
          <w:b/>
          <w:bCs/>
          <w:i w:val="0"/>
          <w:iCs w:val="0"/>
          <w:color w:val="auto"/>
          <w:sz w:val="28"/>
          <w:szCs w:val="28"/>
          <w:highlight w:val="none"/>
        </w:rPr>
      </w:pPr>
    </w:p>
    <w:p w14:paraId="2C1BEC1C">
      <w:pPr>
        <w:spacing w:line="560" w:lineRule="exact"/>
        <w:jc w:val="left"/>
        <w:rPr>
          <w:rFonts w:hint="eastAsia" w:ascii="黑体" w:hAnsi="黑体" w:eastAsia="黑体"/>
          <w:b/>
          <w:bCs/>
          <w:i w:val="0"/>
          <w:iCs w:val="0"/>
          <w:color w:val="auto"/>
          <w:sz w:val="28"/>
          <w:szCs w:val="28"/>
          <w:highlight w:val="none"/>
        </w:rPr>
      </w:pPr>
    </w:p>
    <w:p w14:paraId="42FC60F1">
      <w:pPr>
        <w:spacing w:line="560" w:lineRule="exact"/>
        <w:jc w:val="left"/>
        <w:rPr>
          <w:rFonts w:hint="eastAsia" w:ascii="黑体" w:hAnsi="黑体" w:eastAsia="黑体"/>
          <w:b/>
          <w:bCs/>
          <w:i w:val="0"/>
          <w:iCs w:val="0"/>
          <w:color w:val="auto"/>
          <w:sz w:val="28"/>
          <w:szCs w:val="28"/>
          <w:highlight w:val="none"/>
        </w:rPr>
      </w:pPr>
    </w:p>
    <w:p w14:paraId="38F45A24">
      <w:pPr>
        <w:spacing w:line="560" w:lineRule="exact"/>
        <w:jc w:val="left"/>
        <w:rPr>
          <w:rFonts w:hint="eastAsia" w:ascii="黑体" w:hAnsi="黑体" w:eastAsia="黑体"/>
          <w:b/>
          <w:bCs/>
          <w:i w:val="0"/>
          <w:iCs w:val="0"/>
          <w:color w:val="auto"/>
          <w:sz w:val="28"/>
          <w:szCs w:val="28"/>
          <w:highlight w:val="none"/>
        </w:rPr>
      </w:pPr>
    </w:p>
    <w:p w14:paraId="1F1D6936">
      <w:pPr>
        <w:spacing w:line="560" w:lineRule="exact"/>
        <w:jc w:val="left"/>
        <w:rPr>
          <w:rFonts w:hint="eastAsia" w:ascii="黑体" w:hAnsi="黑体" w:eastAsia="黑体"/>
          <w:b/>
          <w:bCs/>
          <w:i w:val="0"/>
          <w:iCs w:val="0"/>
          <w:color w:val="auto"/>
          <w:sz w:val="28"/>
          <w:szCs w:val="28"/>
          <w:highlight w:val="none"/>
        </w:rPr>
      </w:pPr>
    </w:p>
    <w:p w14:paraId="4937B835">
      <w:pPr>
        <w:pStyle w:val="2"/>
        <w:rPr>
          <w:rFonts w:hint="eastAsia" w:ascii="黑体" w:hAnsi="黑体" w:eastAsia="黑体"/>
          <w:b/>
          <w:bCs/>
          <w:i w:val="0"/>
          <w:iCs w:val="0"/>
          <w:color w:val="auto"/>
          <w:sz w:val="28"/>
          <w:szCs w:val="28"/>
          <w:highlight w:val="none"/>
        </w:rPr>
      </w:pPr>
    </w:p>
    <w:p w14:paraId="797AF102">
      <w:pPr>
        <w:rPr>
          <w:rFonts w:hint="eastAsia"/>
        </w:rPr>
      </w:pPr>
    </w:p>
    <w:p w14:paraId="6B77DFC6">
      <w:pPr>
        <w:spacing w:line="560" w:lineRule="exact"/>
        <w:jc w:val="left"/>
        <w:rPr>
          <w:rFonts w:ascii="黑体" w:hAnsi="黑体" w:eastAsia="黑体"/>
          <w:b/>
          <w:bCs/>
          <w:color w:val="auto"/>
          <w:sz w:val="32"/>
          <w:szCs w:val="32"/>
        </w:rPr>
      </w:pPr>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14:paraId="32377838">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2B621E4C">
      <w:pPr>
        <w:spacing w:line="560" w:lineRule="exact"/>
        <w:ind w:firstLine="440" w:firstLineChars="200"/>
        <w:jc w:val="left"/>
        <w:rPr>
          <w:rFonts w:hint="eastAsia" w:asciiTheme="majorEastAsia" w:hAnsiTheme="majorEastAsia" w:eastAsiaTheme="majorEastAsia" w:cstheme="majorEastAsia"/>
          <w:color w:val="auto"/>
          <w:sz w:val="32"/>
          <w:szCs w:val="32"/>
          <w:u w:val="single"/>
        </w:rPr>
      </w:pPr>
      <w:r>
        <w:rPr>
          <w:rFonts w:hint="eastAsia" w:asciiTheme="majorEastAsia" w:hAnsiTheme="majorEastAsia" w:eastAsiaTheme="majorEastAsia" w:cstheme="majorEastAsia"/>
          <w:i w:val="0"/>
          <w:color w:val="auto"/>
          <w:kern w:val="0"/>
          <w:sz w:val="22"/>
          <w:szCs w:val="22"/>
          <w:u w:val="single"/>
          <w:lang w:val="en-US" w:eastAsia="zh-CN" w:bidi="ar"/>
        </w:rPr>
        <w:t>为提高教学环境质量，计划采购</w:t>
      </w:r>
      <w:r>
        <w:rPr>
          <w:rFonts w:hint="eastAsia" w:ascii="宋体" w:hAnsi="宋体" w:eastAsia="宋体" w:cs="宋体"/>
          <w:i w:val="0"/>
          <w:color w:val="auto"/>
          <w:sz w:val="22"/>
          <w:szCs w:val="22"/>
          <w:u w:val="single"/>
          <w:lang w:val="en-US" w:eastAsia="zh-CN"/>
        </w:rPr>
        <w:t>75寸触控一体机一批用于班级日常教学，促进幼儿全面发展</w:t>
      </w:r>
      <w:r>
        <w:rPr>
          <w:rFonts w:hint="eastAsia" w:asciiTheme="majorEastAsia" w:hAnsiTheme="majorEastAsia" w:eastAsiaTheme="majorEastAsia" w:cstheme="majorEastAsia"/>
          <w:color w:val="auto"/>
          <w:sz w:val="32"/>
          <w:szCs w:val="32"/>
          <w:u w:val="single"/>
          <w:lang w:eastAsia="zh-CN"/>
        </w:rPr>
        <w:t>。</w:t>
      </w:r>
    </w:p>
    <w:p w14:paraId="76B91BA9">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4"/>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19165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014DFB56">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730032FD">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6703" w:type="dxa"/>
            <w:tcBorders>
              <w:tl2br w:val="nil"/>
              <w:tr2bl w:val="nil"/>
            </w:tcBorders>
            <w:shd w:val="clear" w:color="auto" w:fill="auto"/>
            <w:vAlign w:val="center"/>
          </w:tcPr>
          <w:p w14:paraId="766673AA">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14:paraId="25DBE602">
            <w:pPr>
              <w:keepNext w:val="0"/>
              <w:keepLines w:val="0"/>
              <w:widowControl/>
              <w:suppressLineNumbers w:val="0"/>
              <w:ind w:left="638" w:leftChars="304" w:firstLine="0" w:firstLineChars="0"/>
              <w:jc w:val="left"/>
              <w:textAlignment w:val="center"/>
              <w:rPr>
                <w:rFonts w:hint="eastAsia"/>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r>
    </w:tbl>
    <w:p w14:paraId="1BBAF555">
      <w:pPr>
        <w:pStyle w:val="17"/>
        <w:rPr>
          <w:rFonts w:hint="eastAsia" w:asciiTheme="majorEastAsia" w:hAnsiTheme="majorEastAsia" w:eastAsiaTheme="majorEastAsia" w:cstheme="majorEastAsia"/>
          <w:b/>
          <w:bCs/>
          <w:i/>
          <w:iCs w:val="0"/>
          <w:snapToGrid/>
          <w:color w:val="auto"/>
          <w:kern w:val="2"/>
          <w:sz w:val="20"/>
          <w:szCs w:val="20"/>
          <w:highlight w:val="yellow"/>
          <w:u w:val="single"/>
          <w:lang w:val="en-US" w:eastAsia="zh-CN" w:bidi="ar-SA"/>
        </w:rPr>
      </w:pPr>
      <w:r>
        <w:rPr>
          <w:rFonts w:hint="eastAsia" w:asciiTheme="majorEastAsia" w:hAnsiTheme="majorEastAsia" w:eastAsiaTheme="majorEastAsia" w:cstheme="majorEastAsia"/>
          <w:color w:val="auto"/>
          <w:sz w:val="28"/>
          <w:szCs w:val="28"/>
          <w:lang w:val="en-US" w:eastAsia="zh-CN"/>
        </w:rPr>
        <w:t>采购方式：在线询价</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竞价采购</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w:t>
      </w:r>
    </w:p>
    <w:p w14:paraId="5F2643E2">
      <w:pPr>
        <w:pStyle w:val="17"/>
        <w:ind w:left="0" w:leftChars="0" w:firstLine="0" w:firstLineChars="0"/>
        <w:rPr>
          <w:rFonts w:hint="eastAsia" w:asciiTheme="majorEastAsia" w:hAnsiTheme="majorEastAsia" w:eastAsiaTheme="majorEastAsia" w:cstheme="majorEastAsia"/>
          <w:color w:val="auto"/>
          <w:sz w:val="28"/>
          <w:szCs w:val="28"/>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24.895万元整</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24.895万元整</w:t>
      </w:r>
      <w:r>
        <w:rPr>
          <w:rFonts w:hint="eastAsia" w:asciiTheme="majorEastAsia" w:hAnsiTheme="majorEastAsia" w:eastAsiaTheme="majorEastAsia" w:cstheme="majorEastAsia"/>
          <w:color w:val="auto"/>
          <w:sz w:val="28"/>
          <w:szCs w:val="28"/>
          <w:u w:val="single"/>
        </w:rPr>
        <w:t xml:space="preserve">  </w:t>
      </w:r>
    </w:p>
    <w:p w14:paraId="670C3C46">
      <w:pPr>
        <w:pStyle w:val="10"/>
        <w:rPr>
          <w:rFonts w:hint="eastAsia"/>
          <w:color w:val="auto"/>
        </w:rPr>
      </w:pPr>
    </w:p>
    <w:tbl>
      <w:tblPr>
        <w:tblStyle w:val="14"/>
        <w:tblW w:w="833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5"/>
        <w:gridCol w:w="2610"/>
        <w:gridCol w:w="692"/>
        <w:gridCol w:w="1397"/>
        <w:gridCol w:w="1486"/>
        <w:gridCol w:w="1500"/>
      </w:tblGrid>
      <w:tr w14:paraId="2756F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8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32A3D">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标的序号</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457C">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标的名称</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D7824">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单</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位</w:t>
            </w:r>
          </w:p>
        </w:tc>
        <w:tc>
          <w:tcPr>
            <w:tcW w:w="13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1725A">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数量</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72846">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预算单价</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（元）</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E0BEF">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合计（元）</w:t>
            </w:r>
          </w:p>
        </w:tc>
      </w:tr>
      <w:tr w14:paraId="12AF9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778FE">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6A19B">
            <w:pPr>
              <w:jc w:val="center"/>
              <w:rPr>
                <w:rFonts w:hint="default"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75寸触控一体机</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13D49">
            <w:pPr>
              <w:jc w:val="center"/>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台</w:t>
            </w:r>
          </w:p>
        </w:tc>
        <w:tc>
          <w:tcPr>
            <w:tcW w:w="13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E61F8">
            <w:pPr>
              <w:jc w:val="center"/>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13</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1A4ED">
            <w:pPr>
              <w:jc w:val="center"/>
              <w:rPr>
                <w:rFonts w:hint="default"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19150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88C6F">
            <w:pPr>
              <w:jc w:val="center"/>
              <w:rPr>
                <w:rFonts w:hint="default" w:ascii="宋体" w:hAnsi="宋体" w:eastAsia="宋体" w:cs="宋体"/>
                <w:i w:val="0"/>
                <w:color w:val="auto"/>
                <w:kern w:val="2"/>
                <w:sz w:val="22"/>
                <w:szCs w:val="22"/>
                <w:u w:val="none"/>
                <w:lang w:val="en-US" w:eastAsia="zh-CN" w:bidi="ar-SA"/>
              </w:rPr>
            </w:pPr>
            <w:bookmarkStart w:id="0" w:name="_GoBack"/>
            <w:r>
              <w:rPr>
                <w:rFonts w:hint="eastAsia" w:ascii="宋体" w:hAnsi="宋体" w:eastAsia="宋体" w:cs="宋体"/>
                <w:i w:val="0"/>
                <w:color w:val="auto"/>
                <w:sz w:val="22"/>
                <w:szCs w:val="22"/>
                <w:u w:val="none"/>
                <w:lang w:val="en-US" w:eastAsia="zh-CN"/>
              </w:rPr>
              <w:t>248950</w:t>
            </w:r>
            <w:bookmarkEnd w:id="0"/>
          </w:p>
        </w:tc>
      </w:tr>
    </w:tbl>
    <w:p w14:paraId="19B711BD">
      <w:pPr>
        <w:numPr>
          <w:ilvl w:val="0"/>
          <w:numId w:val="1"/>
        </w:num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商务</w:t>
      </w:r>
      <w:r>
        <w:rPr>
          <w:rFonts w:hint="eastAsia" w:ascii="楷体_GB2312" w:hAnsi="楷体_GB2312" w:eastAsia="楷体_GB2312" w:cs="楷体_GB2312"/>
          <w:b/>
          <w:bCs/>
          <w:color w:val="auto"/>
          <w:sz w:val="28"/>
          <w:szCs w:val="28"/>
          <w:lang w:eastAsia="zh-CN"/>
        </w:rPr>
        <w:t>、</w:t>
      </w:r>
      <w:r>
        <w:rPr>
          <w:rFonts w:hint="eastAsia" w:ascii="楷体_GB2312" w:hAnsi="楷体_GB2312" w:eastAsia="楷体_GB2312" w:cs="楷体_GB2312"/>
          <w:b/>
          <w:bCs/>
          <w:color w:val="auto"/>
          <w:sz w:val="28"/>
          <w:szCs w:val="28"/>
        </w:rPr>
        <w:t>技术要求</w:t>
      </w:r>
    </w:p>
    <w:tbl>
      <w:tblPr>
        <w:tblStyle w:val="14"/>
        <w:tblW w:w="8458"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76"/>
        <w:gridCol w:w="242"/>
        <w:gridCol w:w="917"/>
        <w:gridCol w:w="1240"/>
        <w:gridCol w:w="5463"/>
        <w:gridCol w:w="120"/>
      </w:tblGrid>
      <w:tr w14:paraId="183BE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120" w:type="dxa"/>
          <w:trHeight w:val="480" w:hRule="atLeast"/>
        </w:trPr>
        <w:tc>
          <w:tcPr>
            <w:tcW w:w="8338" w:type="dxa"/>
            <w:gridSpan w:val="5"/>
            <w:shd w:val="clear" w:color="auto" w:fill="auto"/>
            <w:vAlign w:val="center"/>
          </w:tcPr>
          <w:p w14:paraId="1F4875E6">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5F5E1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gridAfter w:val="1"/>
          <w:wAfter w:w="120" w:type="dxa"/>
          <w:trHeight w:val="87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81CD2">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8837A5">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339F89">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1D6885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120" w:type="dxa"/>
          <w:trHeight w:val="961"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0601E">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1</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43BD19">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Style w:val="18"/>
                <w:b/>
                <w:bCs/>
                <w:color w:val="auto"/>
                <w:lang w:val="en-US" w:eastAsia="zh-CN" w:bidi="ar"/>
              </w:rPr>
              <w:t>付款方式</w:t>
            </w:r>
            <w:r>
              <w:rPr>
                <w:rStyle w:val="18"/>
                <w:b/>
                <w:bCs/>
                <w:color w:val="auto"/>
                <w:lang w:val="en-US" w:eastAsia="zh-CN" w:bidi="ar"/>
              </w:rPr>
              <w:br w:type="textWrapping"/>
            </w:r>
            <w:r>
              <w:rPr>
                <w:rStyle w:val="19"/>
                <w:b/>
                <w:bCs/>
                <w:color w:val="auto"/>
                <w:lang w:val="en-US" w:eastAsia="zh-CN" w:bidi="ar"/>
              </w:rPr>
              <w:t>（付款的时间及比例）</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BBEB0C">
            <w:pPr>
              <w:spacing w:line="440" w:lineRule="exact"/>
              <w:ind w:firstLine="440" w:firstLineChars="200"/>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签订合同后15天内，预付中标价的30%，到货安装后30天内支付50%，验收合格后15天内支付剩余的20%</w:t>
            </w:r>
          </w:p>
        </w:tc>
      </w:tr>
      <w:tr w14:paraId="6650C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gridAfter w:val="1"/>
          <w:wAfter w:w="120" w:type="dxa"/>
          <w:trHeight w:val="57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E7A3C">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2</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C77791">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Style w:val="18"/>
                <w:rFonts w:hint="eastAsia"/>
                <w:b/>
                <w:bCs/>
                <w:color w:val="auto"/>
                <w:lang w:val="en-US" w:eastAsia="zh-CN" w:bidi="ar"/>
              </w:rPr>
              <w:t>交付（实施）的时间（期限）</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D9C53E">
            <w:pPr>
              <w:keepNext w:val="0"/>
              <w:keepLines w:val="0"/>
              <w:widowControl/>
              <w:suppressLineNumbers w:val="0"/>
              <w:jc w:val="center"/>
              <w:textAlignment w:val="center"/>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kern w:val="0"/>
                <w:sz w:val="22"/>
                <w:szCs w:val="22"/>
                <w:u w:val="none"/>
                <w:lang w:val="en-US" w:eastAsia="zh-CN" w:bidi="ar"/>
              </w:rPr>
              <w:t>合同签订后15日</w:t>
            </w:r>
          </w:p>
        </w:tc>
      </w:tr>
      <w:tr w14:paraId="03793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gridAfter w:val="1"/>
          <w:wAfter w:w="120" w:type="dxa"/>
          <w:trHeight w:val="85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5C5A2">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3</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DC06AD">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交货</w:t>
            </w:r>
            <w:r>
              <w:rPr>
                <w:rFonts w:hint="eastAsia" w:ascii="宋体" w:hAnsi="宋体" w:cs="宋体"/>
                <w:b/>
                <w:bCs/>
                <w:i w:val="0"/>
                <w:color w:val="auto"/>
                <w:kern w:val="0"/>
                <w:sz w:val="22"/>
                <w:szCs w:val="22"/>
                <w:u w:val="none"/>
                <w:lang w:val="en-US" w:eastAsia="zh-CN" w:bidi="ar"/>
              </w:rPr>
              <w:t>（实施）</w:t>
            </w:r>
            <w:r>
              <w:rPr>
                <w:rFonts w:hint="eastAsia" w:ascii="宋体" w:hAnsi="宋体" w:eastAsia="宋体" w:cs="宋体"/>
                <w:b/>
                <w:bCs/>
                <w:i w:val="0"/>
                <w:color w:val="auto"/>
                <w:kern w:val="0"/>
                <w:sz w:val="22"/>
                <w:szCs w:val="22"/>
                <w:u w:val="none"/>
                <w:lang w:val="en-US" w:eastAsia="zh-CN" w:bidi="ar"/>
              </w:rPr>
              <w:t>地点</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3B733B">
            <w:pPr>
              <w:jc w:val="center"/>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奇台县第一幼儿园</w:t>
            </w:r>
          </w:p>
        </w:tc>
      </w:tr>
      <w:tr w14:paraId="45F73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gridAfter w:val="1"/>
          <w:wAfter w:w="120" w:type="dxa"/>
          <w:trHeight w:val="5003"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A7D45">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4</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EFEA71">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履约验收</w:t>
            </w:r>
            <w:r>
              <w:rPr>
                <w:rFonts w:hint="eastAsia" w:ascii="宋体" w:hAnsi="宋体" w:eastAsia="宋体" w:cs="宋体"/>
                <w:b/>
                <w:bCs/>
                <w:i w:val="0"/>
                <w:color w:val="auto"/>
                <w:kern w:val="0"/>
                <w:sz w:val="22"/>
                <w:szCs w:val="22"/>
                <w:u w:val="none"/>
                <w:lang w:val="en-US" w:eastAsia="zh-CN" w:bidi="ar"/>
              </w:rPr>
              <w:br w:type="textWrapping"/>
            </w:r>
            <w:r>
              <w:rPr>
                <w:rFonts w:hint="eastAsia" w:ascii="宋体" w:hAnsi="宋体" w:eastAsia="宋体" w:cs="宋体"/>
                <w:b/>
                <w:bCs/>
                <w:i w:val="0"/>
                <w:color w:val="auto"/>
                <w:kern w:val="0"/>
                <w:sz w:val="22"/>
                <w:szCs w:val="22"/>
                <w:u w:val="none"/>
                <w:lang w:val="en-US" w:eastAsia="zh-CN" w:bidi="ar"/>
              </w:rPr>
              <w:t>（含验收内容、标准、程序等）</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E1BC97">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货物</w:t>
            </w:r>
            <w:r>
              <w:rPr>
                <w:rFonts w:hint="eastAsia" w:ascii="宋体" w:hAnsi="宋体" w:cs="宋体"/>
                <w:i w:val="0"/>
                <w:color w:val="auto"/>
                <w:kern w:val="0"/>
                <w:sz w:val="22"/>
                <w:szCs w:val="22"/>
                <w:u w:val="none"/>
                <w:lang w:val="en-US" w:eastAsia="zh-CN" w:bidi="ar"/>
              </w:rPr>
              <w:t>类项目因</w:t>
            </w:r>
            <w:r>
              <w:rPr>
                <w:rFonts w:hint="eastAsia" w:ascii="宋体" w:hAnsi="宋体" w:eastAsia="宋体" w:cs="宋体"/>
                <w:i w:val="0"/>
                <w:color w:val="auto"/>
                <w:kern w:val="0"/>
                <w:sz w:val="22"/>
                <w:szCs w:val="22"/>
                <w:u w:val="none"/>
                <w:lang w:val="en-US" w:eastAsia="zh-CN" w:bidi="ar"/>
              </w:rPr>
              <w:t>质量问题发生争议时，</w:t>
            </w:r>
            <w:r>
              <w:rPr>
                <w:rFonts w:hint="eastAsia" w:ascii="宋体" w:hAnsi="宋体" w:cs="宋体"/>
                <w:i w:val="0"/>
                <w:color w:val="auto"/>
                <w:kern w:val="0"/>
                <w:sz w:val="22"/>
                <w:szCs w:val="22"/>
                <w:u w:val="none"/>
                <w:lang w:val="en-US" w:eastAsia="zh-CN" w:bidi="ar"/>
              </w:rPr>
              <w:t>以</w:t>
            </w:r>
            <w:r>
              <w:rPr>
                <w:rFonts w:hint="eastAsia" w:ascii="宋体" w:hAnsi="宋体" w:eastAsia="宋体" w:cs="宋体"/>
                <w:i w:val="0"/>
                <w:color w:val="auto"/>
                <w:kern w:val="0"/>
                <w:sz w:val="22"/>
                <w:szCs w:val="22"/>
                <w:u w:val="none"/>
                <w:lang w:val="en-US" w:eastAsia="zh-CN" w:bidi="ar"/>
              </w:rPr>
              <w:t>质量技术检验检测机构检验结果为准，如产生检验费用，则该费用由过失方承担。</w:t>
            </w:r>
          </w:p>
          <w:p w14:paraId="21111D38">
            <w:pPr>
              <w:keepNext w:val="0"/>
              <w:keepLines w:val="0"/>
              <w:widowControl/>
              <w:suppressLineNumbers w:val="0"/>
              <w:ind w:firstLine="440" w:firstLineChars="20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其他要求：□无   ☑有</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1、</w:t>
            </w:r>
            <w:r>
              <w:rPr>
                <w:rFonts w:hint="default" w:ascii="宋体" w:hAnsi="宋体" w:eastAsia="宋体" w:cs="宋体"/>
                <w:i w:val="0"/>
                <w:color w:val="auto"/>
                <w:kern w:val="0"/>
                <w:sz w:val="22"/>
                <w:szCs w:val="22"/>
                <w:u w:val="none"/>
                <w:lang w:val="en-US" w:eastAsia="zh-CN" w:bidi="ar"/>
              </w:rPr>
              <w:t>乙方负责在甲方指定的时间内，按照甲方的要求完成货物的安装调试。乙方应严格遵守安全法律法规，采取安全保障措施，保证人员安全。因乙方原因造成的人员伤亡和财产损失，均由乙方承担。</w:t>
            </w:r>
          </w:p>
          <w:p w14:paraId="4049A2A4">
            <w:pPr>
              <w:keepNext w:val="0"/>
              <w:keepLines w:val="0"/>
              <w:widowControl/>
              <w:suppressLineNumbers w:val="0"/>
              <w:ind w:firstLine="440" w:firstLineChars="20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2、</w:t>
            </w:r>
            <w:r>
              <w:rPr>
                <w:rFonts w:hint="default" w:ascii="宋体" w:hAnsi="宋体" w:eastAsia="宋体" w:cs="宋体"/>
                <w:i w:val="0"/>
                <w:color w:val="auto"/>
                <w:kern w:val="0"/>
                <w:sz w:val="22"/>
                <w:szCs w:val="22"/>
                <w:u w:val="none"/>
                <w:lang w:val="en-US" w:eastAsia="zh-CN" w:bidi="ar"/>
              </w:rPr>
              <w:t>到货验收：甲方仅对产品的数量和外观进行检验，并不因此减轻或免除乙方所应承担的质量保证责任。</w:t>
            </w:r>
          </w:p>
          <w:p w14:paraId="4938D833">
            <w:pPr>
              <w:keepNext w:val="0"/>
              <w:keepLines w:val="0"/>
              <w:widowControl/>
              <w:suppressLineNumbers w:val="0"/>
              <w:ind w:firstLine="440" w:firstLineChars="20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3、</w:t>
            </w:r>
            <w:r>
              <w:rPr>
                <w:rFonts w:hint="default" w:ascii="宋体" w:hAnsi="宋体" w:eastAsia="宋体" w:cs="宋体"/>
                <w:i w:val="0"/>
                <w:color w:val="auto"/>
                <w:kern w:val="0"/>
                <w:sz w:val="22"/>
                <w:szCs w:val="22"/>
                <w:u w:val="none"/>
                <w:lang w:val="en-US" w:eastAsia="zh-CN" w:bidi="ar"/>
              </w:rPr>
              <w:t>安装调测完毕后，乙方应配合甲方进行最终验收，验收结果以甲方签署的验收证明为准。</w:t>
            </w:r>
          </w:p>
          <w:p w14:paraId="2976BE0A">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4、</w:t>
            </w:r>
            <w:r>
              <w:rPr>
                <w:rFonts w:hint="default" w:ascii="宋体" w:hAnsi="宋体" w:eastAsia="宋体" w:cs="宋体"/>
                <w:i w:val="0"/>
                <w:color w:val="auto"/>
                <w:kern w:val="0"/>
                <w:sz w:val="22"/>
                <w:szCs w:val="22"/>
                <w:u w:val="none"/>
                <w:lang w:val="en-US" w:eastAsia="zh-CN" w:bidi="ar"/>
              </w:rPr>
              <w:t>乙方在交付产品的同时需向甲方提供有关货物的附随资料，包括但不限于：商品目录、安装图纸、使用说明书、质量证明及其他技术资料（如有）</w:t>
            </w:r>
          </w:p>
        </w:tc>
      </w:tr>
      <w:tr w14:paraId="09998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120" w:type="dxa"/>
          <w:trHeight w:val="2889"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54A6A">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5</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16BF3F">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售后服务</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D01241">
            <w:pPr>
              <w:keepNext w:val="0"/>
              <w:keepLines w:val="0"/>
              <w:widowControl/>
              <w:suppressLineNumbers w:val="0"/>
              <w:jc w:val="left"/>
              <w:textAlignment w:val="center"/>
              <w:rPr>
                <w:rStyle w:val="20"/>
                <w:color w:val="auto"/>
                <w:lang w:val="en-US" w:eastAsia="zh-CN" w:bidi="ar"/>
              </w:rPr>
            </w:pPr>
            <w:r>
              <w:rPr>
                <w:rStyle w:val="20"/>
                <w:color w:val="auto"/>
                <w:lang w:val="en-US" w:eastAsia="zh-CN" w:bidi="ar"/>
              </w:rPr>
              <w:t>自项目验收合格后</w:t>
            </w:r>
            <w:r>
              <w:rPr>
                <w:rStyle w:val="21"/>
                <w:color w:val="auto"/>
                <w:lang w:val="en-US" w:eastAsia="zh-CN" w:bidi="ar"/>
              </w:rPr>
              <w:t xml:space="preserve"> </w:t>
            </w:r>
            <w:r>
              <w:rPr>
                <w:rStyle w:val="21"/>
                <w:rFonts w:hint="eastAsia"/>
                <w:color w:val="auto"/>
                <w:lang w:val="en-US" w:eastAsia="zh-CN" w:bidi="ar"/>
              </w:rPr>
              <w:t>3</w:t>
            </w:r>
            <w:r>
              <w:rPr>
                <w:rStyle w:val="21"/>
                <w:color w:val="auto"/>
                <w:lang w:val="en-US" w:eastAsia="zh-CN" w:bidi="ar"/>
              </w:rPr>
              <w:t>年</w:t>
            </w:r>
            <w:r>
              <w:rPr>
                <w:rStyle w:val="21"/>
                <w:rFonts w:hint="eastAsia"/>
                <w:color w:val="auto"/>
                <w:lang w:val="en-US" w:eastAsia="zh-CN" w:bidi="ar"/>
              </w:rPr>
              <w:t>整</w:t>
            </w:r>
            <w:r>
              <w:rPr>
                <w:rStyle w:val="20"/>
                <w:color w:val="auto"/>
                <w:lang w:val="en-US" w:eastAsia="zh-CN" w:bidi="ar"/>
              </w:rPr>
              <w:br w:type="textWrapping"/>
            </w:r>
            <w:r>
              <w:rPr>
                <w:rStyle w:val="20"/>
                <w:color w:val="auto"/>
                <w:lang w:val="en-US" w:eastAsia="zh-CN" w:bidi="ar"/>
              </w:rPr>
              <w:t>售后服务</w:t>
            </w:r>
            <w:r>
              <w:rPr>
                <w:rStyle w:val="20"/>
                <w:rFonts w:hint="eastAsia"/>
                <w:color w:val="auto"/>
                <w:lang w:val="en-US" w:eastAsia="zh-CN" w:bidi="ar"/>
              </w:rPr>
              <w:t>要求</w:t>
            </w:r>
            <w:r>
              <w:rPr>
                <w:rStyle w:val="20"/>
                <w:color w:val="auto"/>
                <w:lang w:val="en-US" w:eastAsia="zh-CN" w:bidi="ar"/>
              </w:rPr>
              <w:t>：</w:t>
            </w:r>
          </w:p>
          <w:p w14:paraId="6C103D4A">
            <w:pPr>
              <w:keepNext w:val="0"/>
              <w:keepLines w:val="0"/>
              <w:widowControl/>
              <w:suppressLineNumbers w:val="0"/>
              <w:jc w:val="left"/>
              <w:textAlignment w:val="center"/>
              <w:rPr>
                <w:rStyle w:val="20"/>
                <w:rFonts w:hint="eastAsia"/>
                <w:color w:val="auto"/>
                <w:lang w:val="en-US" w:eastAsia="zh-CN" w:bidi="ar"/>
              </w:rPr>
            </w:pPr>
            <w:r>
              <w:rPr>
                <w:rStyle w:val="20"/>
                <w:rFonts w:hint="eastAsia"/>
                <w:color w:val="auto"/>
                <w:lang w:val="en-US" w:eastAsia="zh-CN" w:bidi="ar"/>
              </w:rPr>
              <w:t>1.法定2个工作日内接收报修申请，3日内可以上门处理设备故障。</w:t>
            </w:r>
          </w:p>
          <w:p w14:paraId="0069C02C">
            <w:pPr>
              <w:keepNext w:val="0"/>
              <w:keepLines w:val="0"/>
              <w:widowControl/>
              <w:numPr>
                <w:ilvl w:val="0"/>
                <w:numId w:val="0"/>
              </w:numPr>
              <w:suppressLineNumbers w:val="0"/>
              <w:jc w:val="left"/>
              <w:textAlignment w:val="center"/>
              <w:rPr>
                <w:rFonts w:hint="eastAsia" w:ascii="宋体" w:hAnsi="宋体" w:eastAsia="宋体" w:cs="宋体"/>
                <w:i w:val="0"/>
                <w:color w:val="auto"/>
                <w:sz w:val="22"/>
                <w:szCs w:val="22"/>
                <w:u w:val="none"/>
              </w:rPr>
            </w:pPr>
            <w:r>
              <w:rPr>
                <w:rStyle w:val="20"/>
                <w:rFonts w:hint="eastAsia"/>
                <w:color w:val="auto"/>
                <w:lang w:val="en-US" w:eastAsia="zh-CN" w:bidi="ar"/>
              </w:rPr>
              <w:t>2.终身免费培训，所有的软件终身免费升级和使用。</w:t>
            </w:r>
            <w:r>
              <w:rPr>
                <w:rStyle w:val="20"/>
                <w:color w:val="auto"/>
                <w:lang w:val="en-US" w:eastAsia="zh-CN" w:bidi="ar"/>
              </w:rPr>
              <w:t xml:space="preserve">                     </w:t>
            </w:r>
          </w:p>
        </w:tc>
      </w:tr>
      <w:tr w14:paraId="5AB8A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120" w:type="dxa"/>
          <w:trHeight w:val="9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86EF1">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6</w:t>
            </w:r>
          </w:p>
        </w:tc>
        <w:tc>
          <w:tcPr>
            <w:tcW w:w="11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CAA945">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投标人资</w:t>
            </w:r>
            <w:r>
              <w:rPr>
                <w:rFonts w:hint="eastAsia" w:ascii="宋体" w:hAnsi="宋体" w:eastAsia="宋体" w:cs="宋体"/>
                <w:b/>
                <w:bCs/>
                <w:i w:val="0"/>
                <w:color w:val="auto"/>
                <w:kern w:val="0"/>
                <w:sz w:val="22"/>
                <w:szCs w:val="22"/>
                <w:u w:val="none"/>
                <w:lang w:val="en-US" w:eastAsia="zh-CN" w:bidi="ar"/>
              </w:rPr>
              <w:br w:type="textWrapping"/>
            </w:r>
            <w:r>
              <w:rPr>
                <w:rFonts w:hint="eastAsia" w:ascii="宋体" w:hAnsi="宋体" w:eastAsia="宋体" w:cs="宋体"/>
                <w:b/>
                <w:bCs/>
                <w:i w:val="0"/>
                <w:color w:val="auto"/>
                <w:kern w:val="0"/>
                <w:sz w:val="22"/>
                <w:szCs w:val="22"/>
                <w:u w:val="none"/>
                <w:lang w:val="en-US" w:eastAsia="zh-CN" w:bidi="ar"/>
              </w:rPr>
              <w:t>格要求</w:t>
            </w:r>
          </w:p>
        </w:tc>
        <w:tc>
          <w:tcPr>
            <w:tcW w:w="670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D02EB4">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1、投标人必须是符合《中华人民共和国政府采购法》第二十二条的合格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 xml:space="preserve">    供应商（1.1具有承担民事责任能力、为中国境内合法成立的法人单位或其他组织；1.2具有良好的商业信誉和健全的财务会计制度；1.3具有履行合同所必需的设备和专业技术能力；1.4有依法缴纳税收和社会保障资金的良好记录；1.5参加政府采购活动前三年内，在经营活动中没有重大违法记录；1.6法律、行政法规规定的其他条件；）</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2、其他特定资格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 xml:space="preserve">☑无 </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□有：</w:t>
            </w:r>
          </w:p>
        </w:tc>
      </w:tr>
      <w:tr w14:paraId="262FC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120" w:type="dxa"/>
          <w:trHeight w:val="2458" w:hRule="atLeast"/>
        </w:trPr>
        <w:tc>
          <w:tcPr>
            <w:tcW w:w="476" w:type="dxa"/>
            <w:tcBorders>
              <w:top w:val="single" w:color="auto" w:sz="4" w:space="0"/>
              <w:left w:val="single" w:color="000000" w:sz="4" w:space="0"/>
              <w:bottom w:val="single" w:color="auto" w:sz="4" w:space="0"/>
              <w:right w:val="single" w:color="000000" w:sz="4" w:space="0"/>
            </w:tcBorders>
            <w:shd w:val="clear" w:color="auto" w:fill="auto"/>
            <w:vAlign w:val="center"/>
          </w:tcPr>
          <w:p w14:paraId="2A7229CA">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7</w:t>
            </w:r>
          </w:p>
        </w:tc>
        <w:tc>
          <w:tcPr>
            <w:tcW w:w="115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14:paraId="6AD7052D">
            <w:pPr>
              <w:keepNext w:val="0"/>
              <w:keepLines w:val="0"/>
              <w:widowControl/>
              <w:suppressLineNumbers w:val="0"/>
              <w:jc w:val="center"/>
              <w:textAlignment w:val="center"/>
              <w:rPr>
                <w:rFonts w:hint="eastAsia" w:ascii="宋体" w:hAnsi="宋体" w:eastAsia="宋体" w:cs="宋体"/>
                <w:b/>
                <w:bCs/>
                <w:i w:val="0"/>
                <w:color w:val="auto"/>
                <w:kern w:val="0"/>
                <w:sz w:val="22"/>
                <w:szCs w:val="22"/>
                <w:u w:val="none"/>
                <w:lang w:val="en-US" w:eastAsia="zh-CN" w:bidi="ar"/>
              </w:rPr>
            </w:pPr>
            <w:r>
              <w:rPr>
                <w:rFonts w:hint="eastAsia" w:ascii="宋体" w:hAnsi="宋体" w:eastAsia="宋体" w:cs="宋体"/>
                <w:b/>
                <w:bCs/>
                <w:i w:val="0"/>
                <w:color w:val="auto"/>
                <w:kern w:val="0"/>
                <w:sz w:val="22"/>
                <w:szCs w:val="22"/>
                <w:u w:val="none"/>
                <w:lang w:val="en-US" w:eastAsia="zh-CN" w:bidi="ar"/>
              </w:rPr>
              <w:t>投标报价</w:t>
            </w:r>
          </w:p>
        </w:tc>
        <w:tc>
          <w:tcPr>
            <w:tcW w:w="6703"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14:paraId="0113039A">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报价采用总承包方式，投标人的报价应包括所投产品费用、安装调试费、测试验收费、培训费、运行维护费用、税金、国际国内运输保险、报关清关、开证、办理全套免税手续费用及其他有关的为完成本项目发生的所有费用，采购文件中另有规定的除外。</w:t>
            </w:r>
          </w:p>
        </w:tc>
      </w:tr>
      <w:tr w14:paraId="2078AA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gridAfter w:val="1"/>
          <w:wAfter w:w="120" w:type="dxa"/>
          <w:trHeight w:val="640" w:hRule="atLeast"/>
        </w:trPr>
        <w:tc>
          <w:tcPr>
            <w:tcW w:w="8338" w:type="dxa"/>
            <w:gridSpan w:val="5"/>
            <w:shd w:val="clear" w:color="auto" w:fill="auto"/>
            <w:vAlign w:val="center"/>
          </w:tcPr>
          <w:p w14:paraId="6997075B">
            <w:pPr>
              <w:pStyle w:val="17"/>
              <w:numPr>
                <w:ilvl w:val="0"/>
                <w:numId w:val="0"/>
              </w:numPr>
              <w:rPr>
                <w:rFonts w:hint="eastAsia" w:asciiTheme="majorEastAsia" w:hAnsiTheme="majorEastAsia" w:eastAsiaTheme="majorEastAsia" w:cstheme="majorEastAsia"/>
                <w:b w:val="0"/>
                <w:bCs/>
                <w:i w:val="0"/>
                <w:snapToGrid/>
                <w:color w:val="auto"/>
                <w:kern w:val="0"/>
                <w:sz w:val="28"/>
                <w:szCs w:val="28"/>
                <w:u w:val="none"/>
                <w:lang w:val="en-US" w:eastAsia="zh-CN" w:bidi="ar"/>
              </w:rPr>
            </w:pPr>
          </w:p>
          <w:p w14:paraId="3C6713BB">
            <w:pPr>
              <w:pStyle w:val="17"/>
              <w:numPr>
                <w:ilvl w:val="0"/>
                <w:numId w:val="0"/>
              </w:numPr>
              <w:rPr>
                <w:rFonts w:hint="eastAsia" w:asciiTheme="majorEastAsia" w:hAnsiTheme="majorEastAsia" w:eastAsiaTheme="majorEastAsia" w:cstheme="majorEastAsia"/>
                <w:b/>
                <w:bCs/>
                <w:i/>
                <w:color w:val="auto"/>
                <w:sz w:val="20"/>
                <w:szCs w:val="20"/>
                <w:highlight w:val="yellow"/>
                <w:u w:val="single"/>
                <w:lang w:val="en-US" w:eastAsia="zh-CN"/>
              </w:rPr>
            </w:pPr>
            <w:r>
              <w:rPr>
                <w:rFonts w:hint="eastAsia" w:asciiTheme="majorEastAsia" w:hAnsiTheme="majorEastAsia" w:eastAsiaTheme="majorEastAsia" w:cstheme="majorEastAsia"/>
                <w:b w:val="0"/>
                <w:bCs/>
                <w:i w:val="0"/>
                <w:snapToGrid/>
                <w:color w:val="auto"/>
                <w:kern w:val="0"/>
                <w:sz w:val="28"/>
                <w:szCs w:val="28"/>
                <w:u w:val="none"/>
                <w:lang w:val="en-US" w:eastAsia="zh-CN" w:bidi="ar"/>
              </w:rPr>
              <w:t>（2）技术要求</w:t>
            </w:r>
          </w:p>
        </w:tc>
      </w:tr>
      <w:tr w14:paraId="2A279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7" w:hRule="atLeast"/>
        </w:trPr>
        <w:tc>
          <w:tcPr>
            <w:tcW w:w="718" w:type="dxa"/>
            <w:gridSpan w:val="2"/>
            <w:tcBorders>
              <w:top w:val="single" w:color="000000" w:sz="4" w:space="0"/>
              <w:left w:val="single" w:color="000000" w:sz="4" w:space="0"/>
              <w:bottom w:val="single" w:color="000000" w:sz="4" w:space="0"/>
              <w:right w:val="single" w:color="auto" w:sz="4" w:space="0"/>
            </w:tcBorders>
            <w:shd w:val="clear" w:color="auto" w:fill="auto"/>
            <w:vAlign w:val="center"/>
          </w:tcPr>
          <w:p w14:paraId="61BF7E71">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标的序号</w:t>
            </w:r>
          </w:p>
        </w:tc>
        <w:tc>
          <w:tcPr>
            <w:tcW w:w="2157"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3B35FA40">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标的名称</w:t>
            </w:r>
          </w:p>
        </w:tc>
        <w:tc>
          <w:tcPr>
            <w:tcW w:w="558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E4AC33">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招标技术参数要求</w:t>
            </w:r>
          </w:p>
        </w:tc>
      </w:tr>
      <w:tr w14:paraId="1112B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9" w:hRule="atLeast"/>
        </w:trPr>
        <w:tc>
          <w:tcPr>
            <w:tcW w:w="718" w:type="dxa"/>
            <w:gridSpan w:val="2"/>
            <w:tcBorders>
              <w:top w:val="single" w:color="000000" w:sz="4" w:space="0"/>
              <w:left w:val="single" w:color="000000" w:sz="4" w:space="0"/>
              <w:bottom w:val="single" w:color="000000" w:sz="4" w:space="0"/>
              <w:right w:val="single" w:color="auto" w:sz="4" w:space="0"/>
            </w:tcBorders>
            <w:shd w:val="clear" w:color="auto" w:fill="auto"/>
            <w:vAlign w:val="center"/>
          </w:tcPr>
          <w:p w14:paraId="57B3937B">
            <w:pPr>
              <w:jc w:val="center"/>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1</w:t>
            </w:r>
          </w:p>
        </w:tc>
        <w:tc>
          <w:tcPr>
            <w:tcW w:w="2157"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5358D9D8">
            <w:pPr>
              <w:rPr>
                <w:rFonts w:hint="eastAsia" w:ascii="宋体" w:hAnsi="宋体" w:eastAsia="宋体" w:cs="宋体"/>
                <w:i w:val="0"/>
                <w:color w:val="auto"/>
                <w:kern w:val="2"/>
                <w:sz w:val="22"/>
                <w:szCs w:val="22"/>
                <w:u w:val="none"/>
                <w:lang w:val="en-US" w:eastAsia="zh-CN" w:bidi="ar-SA"/>
              </w:rPr>
            </w:pPr>
            <w:r>
              <w:rPr>
                <w:rFonts w:hint="eastAsia" w:ascii="宋体" w:hAnsi="宋体" w:eastAsia="宋体" w:cs="宋体"/>
                <w:i w:val="0"/>
                <w:color w:val="auto"/>
                <w:sz w:val="22"/>
                <w:szCs w:val="22"/>
                <w:u w:val="none"/>
                <w:lang w:val="en-US" w:eastAsia="zh-CN"/>
              </w:rPr>
              <w:t>75寸触控一体机</w:t>
            </w:r>
          </w:p>
        </w:tc>
        <w:tc>
          <w:tcPr>
            <w:tcW w:w="558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99D665">
            <w:pPr>
              <w:keepNext w:val="0"/>
              <w:keepLines w:val="0"/>
              <w:pageBreakBefore w:val="0"/>
              <w:kinsoku/>
              <w:wordWrap/>
              <w:overflowPunct/>
              <w:topLinePunct w:val="0"/>
              <w:autoSpaceDE/>
              <w:autoSpaceDN/>
              <w:bidi w:val="0"/>
              <w:adjustRightInd/>
              <w:snapToGrid/>
              <w:ind w:firstLine="422" w:firstLineChars="200"/>
              <w:rPr>
                <w:b/>
                <w:bCs/>
              </w:rPr>
            </w:pPr>
            <w:r>
              <w:rPr>
                <w:rFonts w:hint="eastAsia"/>
                <w:b/>
                <w:bCs/>
              </w:rPr>
              <w:t>一、整体设计</w:t>
            </w:r>
          </w:p>
          <w:p w14:paraId="7296C556">
            <w:pPr>
              <w:keepNext w:val="0"/>
              <w:keepLines w:val="0"/>
              <w:pageBreakBefore w:val="0"/>
              <w:kinsoku/>
              <w:wordWrap/>
              <w:overflowPunct/>
              <w:topLinePunct w:val="0"/>
              <w:autoSpaceDE/>
              <w:autoSpaceDN/>
              <w:bidi w:val="0"/>
              <w:adjustRightInd/>
              <w:snapToGrid/>
              <w:ind w:firstLine="420" w:firstLineChars="200"/>
            </w:pPr>
            <w:r>
              <w:rPr>
                <w:rFonts w:hint="eastAsia"/>
              </w:rPr>
              <w:t>1、整机采用一体设计，外部无任何可见内部功能模块连接线。</w:t>
            </w:r>
          </w:p>
          <w:p w14:paraId="1583BEDA">
            <w:pPr>
              <w:keepNext w:val="0"/>
              <w:keepLines w:val="0"/>
              <w:pageBreakBefore w:val="0"/>
              <w:kinsoku/>
              <w:wordWrap/>
              <w:overflowPunct/>
              <w:topLinePunct w:val="0"/>
              <w:autoSpaceDE/>
              <w:autoSpaceDN/>
              <w:bidi w:val="0"/>
              <w:adjustRightInd/>
              <w:snapToGrid/>
              <w:ind w:firstLine="420" w:firstLineChars="200"/>
            </w:pPr>
            <w:r>
              <w:rPr>
                <w:rFonts w:hint="eastAsia"/>
              </w:rPr>
              <w:t>2、整机采用全金属外壳设计，边角采用弧形设计，表面无尖锐边缘或凸起；整机屏幕边缘采用金属圆角包边防护，整机背板采用金属材质。</w:t>
            </w:r>
          </w:p>
          <w:p w14:paraId="1291EA71">
            <w:pPr>
              <w:keepNext w:val="0"/>
              <w:keepLines w:val="0"/>
              <w:pageBreakBefore w:val="0"/>
              <w:kinsoku/>
              <w:wordWrap/>
              <w:overflowPunct/>
              <w:topLinePunct w:val="0"/>
              <w:autoSpaceDE/>
              <w:autoSpaceDN/>
              <w:bidi w:val="0"/>
              <w:adjustRightInd/>
              <w:snapToGrid/>
              <w:ind w:firstLine="420" w:firstLineChars="200"/>
            </w:pPr>
            <w:r>
              <w:rPr>
                <w:rFonts w:hint="eastAsia"/>
              </w:rPr>
              <w:t>3、整机采用超高清LED液晶屏，显示分辨率3840*2160，可视角度≥178°。</w:t>
            </w:r>
          </w:p>
          <w:p w14:paraId="18555DE9">
            <w:pPr>
              <w:keepNext w:val="0"/>
              <w:keepLines w:val="0"/>
              <w:pageBreakBefore w:val="0"/>
              <w:kinsoku/>
              <w:wordWrap/>
              <w:overflowPunct/>
              <w:topLinePunct w:val="0"/>
              <w:autoSpaceDE/>
              <w:autoSpaceDN/>
              <w:bidi w:val="0"/>
              <w:adjustRightInd/>
              <w:snapToGrid/>
              <w:ind w:firstLine="420" w:firstLineChars="200"/>
            </w:pPr>
            <w:r>
              <w:rPr>
                <w:rFonts w:hint="eastAsia"/>
              </w:rPr>
              <w:t>4、整机屏幕采用75英寸液晶显示器。</w:t>
            </w:r>
          </w:p>
          <w:p w14:paraId="3ECE7CC3">
            <w:pPr>
              <w:keepNext w:val="0"/>
              <w:keepLines w:val="0"/>
              <w:pageBreakBefore w:val="0"/>
              <w:kinsoku/>
              <w:wordWrap/>
              <w:overflowPunct/>
              <w:topLinePunct w:val="0"/>
              <w:autoSpaceDE/>
              <w:autoSpaceDN/>
              <w:bidi w:val="0"/>
              <w:adjustRightInd/>
              <w:snapToGrid/>
              <w:ind w:firstLine="420" w:firstLineChars="200"/>
            </w:pPr>
            <w:r>
              <w:rPr>
                <w:rFonts w:hint="eastAsia"/>
              </w:rPr>
              <w:t>5、整机采用LED液晶A规屏，显示比例16:9。</w:t>
            </w:r>
          </w:p>
          <w:p w14:paraId="58013D38">
            <w:pPr>
              <w:keepNext w:val="0"/>
              <w:keepLines w:val="0"/>
              <w:pageBreakBefore w:val="0"/>
              <w:kinsoku/>
              <w:wordWrap/>
              <w:overflowPunct/>
              <w:topLinePunct w:val="0"/>
              <w:autoSpaceDE/>
              <w:autoSpaceDN/>
              <w:bidi w:val="0"/>
              <w:adjustRightInd/>
              <w:snapToGrid/>
              <w:ind w:firstLine="420" w:firstLineChars="200"/>
            </w:pPr>
            <w:r>
              <w:rPr>
                <w:rFonts w:hint="eastAsia"/>
              </w:rPr>
              <w:t>6、屏幕采用≥3mm防眩钢化玻璃保护，硬度大于等于9H。</w:t>
            </w:r>
          </w:p>
          <w:p w14:paraId="4E379E9B">
            <w:pPr>
              <w:keepNext w:val="0"/>
              <w:keepLines w:val="0"/>
              <w:pageBreakBefore w:val="0"/>
              <w:kinsoku/>
              <w:wordWrap/>
              <w:overflowPunct/>
              <w:topLinePunct w:val="0"/>
              <w:autoSpaceDE/>
              <w:autoSpaceDN/>
              <w:bidi w:val="0"/>
              <w:adjustRightInd/>
              <w:snapToGrid/>
              <w:ind w:firstLine="420" w:firstLineChars="200"/>
            </w:pPr>
            <w:r>
              <w:rPr>
                <w:rFonts w:hint="eastAsia"/>
              </w:rPr>
              <w:t>7、整机液晶面板与防护钢化玻璃零贴合设计。</w:t>
            </w:r>
          </w:p>
          <w:p w14:paraId="535928F1">
            <w:pPr>
              <w:keepNext w:val="0"/>
              <w:keepLines w:val="0"/>
              <w:pageBreakBefore w:val="0"/>
              <w:kinsoku/>
              <w:wordWrap/>
              <w:overflowPunct/>
              <w:topLinePunct w:val="0"/>
              <w:autoSpaceDE/>
              <w:autoSpaceDN/>
              <w:bidi w:val="0"/>
              <w:adjustRightInd/>
              <w:snapToGrid/>
              <w:ind w:firstLine="420" w:firstLineChars="200"/>
              <w:rPr>
                <w:rFonts w:hint="eastAsia"/>
              </w:rPr>
            </w:pPr>
            <w:r>
              <w:rPr>
                <w:rFonts w:hint="eastAsia"/>
              </w:rPr>
              <w:t>8、整机支持色彩空间可选，包含标准模式和sRGB。</w:t>
            </w:r>
          </w:p>
          <w:p w14:paraId="0E35D034">
            <w:pPr>
              <w:pStyle w:val="2"/>
              <w:ind w:left="0" w:leftChars="0" w:firstLine="420" w:firstLineChars="200"/>
              <w:rPr>
                <w:rFonts w:hint="default" w:eastAsiaTheme="minorEastAsia"/>
                <w:lang w:val="en-US" w:eastAsia="zh-CN"/>
              </w:rPr>
            </w:pPr>
            <w:r>
              <w:rPr>
                <w:rFonts w:hint="eastAsia"/>
                <w:lang w:val="en-US" w:eastAsia="zh-CN"/>
              </w:rPr>
              <w:t>9、整机含配套支架。</w:t>
            </w:r>
          </w:p>
          <w:p w14:paraId="63260B3F">
            <w:pPr>
              <w:keepNext w:val="0"/>
              <w:keepLines w:val="0"/>
              <w:pageBreakBefore w:val="0"/>
              <w:kinsoku/>
              <w:wordWrap/>
              <w:overflowPunct/>
              <w:topLinePunct w:val="0"/>
              <w:autoSpaceDE/>
              <w:autoSpaceDN/>
              <w:bidi w:val="0"/>
              <w:adjustRightInd/>
              <w:snapToGrid/>
              <w:ind w:firstLine="422" w:firstLineChars="200"/>
              <w:rPr>
                <w:b/>
                <w:bCs/>
              </w:rPr>
            </w:pPr>
            <w:r>
              <w:rPr>
                <w:rFonts w:hint="eastAsia"/>
                <w:b/>
                <w:bCs/>
              </w:rPr>
              <w:t>二、整机设计</w:t>
            </w:r>
          </w:p>
          <w:p w14:paraId="119C6462">
            <w:pPr>
              <w:keepNext w:val="0"/>
              <w:keepLines w:val="0"/>
              <w:pageBreakBefore w:val="0"/>
              <w:kinsoku/>
              <w:wordWrap/>
              <w:overflowPunct/>
              <w:topLinePunct w:val="0"/>
              <w:autoSpaceDE/>
              <w:autoSpaceDN/>
              <w:bidi w:val="0"/>
              <w:adjustRightInd/>
              <w:snapToGrid/>
              <w:ind w:firstLine="420" w:firstLineChars="200"/>
            </w:pPr>
            <w:r>
              <w:rPr>
                <w:rFonts w:hint="eastAsia"/>
              </w:rPr>
              <w:t>1、</w:t>
            </w:r>
            <w:r>
              <w:rPr>
                <w:rFonts w:hint="eastAsia" w:ascii="宋体" w:hAnsi="宋体" w:eastAsia="宋体" w:cs="宋体"/>
                <w:kern w:val="0"/>
                <w:sz w:val="22"/>
                <w:szCs w:val="22"/>
                <w:lang w:bidi="ar"/>
              </w:rPr>
              <w:t>★</w:t>
            </w:r>
            <w:r>
              <w:rPr>
                <w:rFonts w:hint="eastAsia"/>
              </w:rPr>
              <w:t>整机为双系统设计，内置安卓系统，CPU核数不小于4核，嵌入式安卓操作系统版本为Android13；安卓系统ram：2G；rom：8G。（提供封面具有CNAS标志的权威检测机构的检测报告复印件加盖原厂红色公章）</w:t>
            </w:r>
          </w:p>
          <w:p w14:paraId="4C4963D3">
            <w:pPr>
              <w:keepNext w:val="0"/>
              <w:keepLines w:val="0"/>
              <w:pageBreakBefore w:val="0"/>
              <w:kinsoku/>
              <w:wordWrap/>
              <w:overflowPunct/>
              <w:topLinePunct w:val="0"/>
              <w:autoSpaceDE/>
              <w:autoSpaceDN/>
              <w:bidi w:val="0"/>
              <w:adjustRightInd/>
              <w:snapToGrid/>
              <w:ind w:firstLine="420" w:firstLineChars="200"/>
            </w:pPr>
            <w:r>
              <w:rPr>
                <w:rFonts w:hint="eastAsia"/>
              </w:rPr>
              <w:t>2、通过一根线（无需重复连接触摸信号）连接到整机的电脑或手机在投屏的同时即可直接读写整机前置USB接口的移动存储设备数据，连接整机前置USB接口的翻页笔和无线鼠标外接设备可直接使用于外接电脑。</w:t>
            </w:r>
          </w:p>
          <w:p w14:paraId="6DC44A38">
            <w:pPr>
              <w:keepNext w:val="0"/>
              <w:keepLines w:val="0"/>
              <w:pageBreakBefore w:val="0"/>
              <w:kinsoku/>
              <w:wordWrap/>
              <w:overflowPunct/>
              <w:topLinePunct w:val="0"/>
              <w:autoSpaceDE/>
              <w:autoSpaceDN/>
              <w:bidi w:val="0"/>
              <w:adjustRightInd/>
              <w:snapToGrid/>
              <w:ind w:firstLine="420" w:firstLineChars="200"/>
            </w:pPr>
            <w:r>
              <w:rPr>
                <w:rFonts w:hint="eastAsia"/>
              </w:rPr>
              <w:t>3、整机采用红外触控技术，支持Windows及安卓双系统下40点触控。</w:t>
            </w:r>
          </w:p>
          <w:p w14:paraId="1CCF8BA1">
            <w:pPr>
              <w:keepNext w:val="0"/>
              <w:keepLines w:val="0"/>
              <w:pageBreakBefore w:val="0"/>
              <w:kinsoku/>
              <w:wordWrap/>
              <w:overflowPunct/>
              <w:topLinePunct w:val="0"/>
              <w:autoSpaceDE/>
              <w:autoSpaceDN/>
              <w:bidi w:val="0"/>
              <w:adjustRightInd/>
              <w:snapToGrid/>
              <w:ind w:firstLine="420" w:firstLineChars="200"/>
            </w:pPr>
            <w:r>
              <w:rPr>
                <w:rFonts w:hint="eastAsia"/>
              </w:rPr>
              <w:t>4、在无ops的情况下，整机支持有线及无线方式联网，无线支持wifi6。</w:t>
            </w:r>
          </w:p>
          <w:p w14:paraId="677AC7A7">
            <w:pPr>
              <w:keepNext w:val="0"/>
              <w:keepLines w:val="0"/>
              <w:pageBreakBefore w:val="0"/>
              <w:kinsoku/>
              <w:wordWrap/>
              <w:overflowPunct/>
              <w:topLinePunct w:val="0"/>
              <w:autoSpaceDE/>
              <w:autoSpaceDN/>
              <w:bidi w:val="0"/>
              <w:adjustRightInd/>
              <w:snapToGrid/>
              <w:ind w:firstLine="420" w:firstLineChars="200"/>
            </w:pPr>
            <w:r>
              <w:rPr>
                <w:rFonts w:hint="eastAsia"/>
              </w:rPr>
              <w:t>5、整机无需外接无线网卡，在Windows系统下可实现Wi-Fi无线上网连接、AP无线热点发射和BT蓝牙连接功能。</w:t>
            </w:r>
          </w:p>
          <w:p w14:paraId="5BB3AD91">
            <w:pPr>
              <w:keepNext w:val="0"/>
              <w:keepLines w:val="0"/>
              <w:pageBreakBefore w:val="0"/>
              <w:kinsoku/>
              <w:wordWrap/>
              <w:overflowPunct/>
              <w:topLinePunct w:val="0"/>
              <w:autoSpaceDE/>
              <w:autoSpaceDN/>
              <w:bidi w:val="0"/>
              <w:adjustRightInd/>
              <w:snapToGrid/>
              <w:ind w:firstLine="420" w:firstLineChars="200"/>
            </w:pPr>
            <w:r>
              <w:rPr>
                <w:rFonts w:hint="eastAsia"/>
              </w:rPr>
              <w:t>6、在Android和Windows系统下，可实现Wi-Fi无线上网连接、AP无线热点发射。</w:t>
            </w:r>
          </w:p>
          <w:p w14:paraId="2EF4E52A">
            <w:pPr>
              <w:keepNext w:val="0"/>
              <w:keepLines w:val="0"/>
              <w:pageBreakBefore w:val="0"/>
              <w:kinsoku/>
              <w:wordWrap/>
              <w:overflowPunct/>
              <w:topLinePunct w:val="0"/>
              <w:autoSpaceDE/>
              <w:autoSpaceDN/>
              <w:bidi w:val="0"/>
              <w:adjustRightInd/>
              <w:snapToGrid/>
              <w:ind w:firstLine="420" w:firstLineChars="200"/>
            </w:pPr>
            <w:r>
              <w:rPr>
                <w:rFonts w:hint="eastAsia"/>
              </w:rPr>
              <w:t>7、</w:t>
            </w:r>
            <w:r>
              <w:rPr>
                <w:rFonts w:hint="eastAsia" w:ascii="宋体" w:hAnsi="宋体" w:eastAsia="宋体" w:cs="宋体"/>
                <w:kern w:val="0"/>
                <w:sz w:val="22"/>
                <w:szCs w:val="22"/>
                <w:lang w:bidi="ar"/>
              </w:rPr>
              <w:t>★</w:t>
            </w:r>
            <w:r>
              <w:rPr>
                <w:rFonts w:hint="eastAsia"/>
              </w:rPr>
              <w:t>为适应未来无线网络发展，无需更换设备，整机整机支持Wi-Fi6版本。</w:t>
            </w:r>
          </w:p>
          <w:p w14:paraId="3A438608">
            <w:pPr>
              <w:keepNext w:val="0"/>
              <w:keepLines w:val="0"/>
              <w:pageBreakBefore w:val="0"/>
              <w:kinsoku/>
              <w:wordWrap/>
              <w:overflowPunct/>
              <w:topLinePunct w:val="0"/>
              <w:autoSpaceDE/>
              <w:autoSpaceDN/>
              <w:bidi w:val="0"/>
              <w:adjustRightInd/>
              <w:snapToGrid/>
              <w:ind w:firstLine="420" w:firstLineChars="200"/>
            </w:pPr>
            <w:r>
              <w:rPr>
                <w:rFonts w:hint="eastAsia"/>
              </w:rPr>
              <w:t>8、内置无线传屏接收端，无需外接接收部件，无线传屏发射器与整机匹配后即可实现传屏功能，将外部电脑的屏幕画面通过无线方式传输到整机上显示。</w:t>
            </w:r>
          </w:p>
          <w:p w14:paraId="68105AD8">
            <w:pPr>
              <w:keepNext w:val="0"/>
              <w:keepLines w:val="0"/>
              <w:pageBreakBefore w:val="0"/>
              <w:kinsoku/>
              <w:wordWrap/>
              <w:overflowPunct/>
              <w:topLinePunct w:val="0"/>
              <w:autoSpaceDE/>
              <w:autoSpaceDN/>
              <w:bidi w:val="0"/>
              <w:adjustRightInd/>
              <w:snapToGrid/>
              <w:ind w:firstLine="420" w:firstLineChars="200"/>
            </w:pPr>
            <w:r>
              <w:rPr>
                <w:rFonts w:hint="eastAsia"/>
              </w:rPr>
              <w:t>9、</w:t>
            </w:r>
            <w:r>
              <w:rPr>
                <w:rFonts w:hint="eastAsia" w:ascii="宋体" w:hAnsi="宋体" w:eastAsia="宋体" w:cs="宋体"/>
                <w:kern w:val="0"/>
                <w:sz w:val="22"/>
                <w:szCs w:val="22"/>
                <w:lang w:bidi="ar"/>
              </w:rPr>
              <w:t>★</w:t>
            </w:r>
            <w:r>
              <w:rPr>
                <w:rFonts w:hint="eastAsia"/>
              </w:rPr>
              <w:t>整机内置蓝牙模块，黑板在安卓和Windows系统下均可由该模块实现外部蓝牙设备的连接和数据传输，支持蓝牙Bluetooth5.4标准，内置蓝牙模块工作距离至少10米。（提供封面具有CNAS标志的权威检测机构的检测报告复印件加盖原厂红色公章）</w:t>
            </w:r>
          </w:p>
          <w:p w14:paraId="0824329A">
            <w:pPr>
              <w:keepNext w:val="0"/>
              <w:keepLines w:val="0"/>
              <w:pageBreakBefore w:val="0"/>
              <w:kinsoku/>
              <w:wordWrap/>
              <w:overflowPunct/>
              <w:topLinePunct w:val="0"/>
              <w:autoSpaceDE/>
              <w:autoSpaceDN/>
              <w:bidi w:val="0"/>
              <w:adjustRightInd/>
              <w:snapToGrid/>
              <w:ind w:firstLine="420" w:firstLineChars="200"/>
            </w:pPr>
            <w:r>
              <w:rPr>
                <w:rFonts w:hint="eastAsia"/>
              </w:rPr>
              <w:t>10、</w:t>
            </w:r>
            <w:r>
              <w:rPr>
                <w:rFonts w:hint="eastAsia" w:ascii="宋体" w:hAnsi="宋体" w:eastAsia="宋体" w:cs="宋体"/>
                <w:kern w:val="0"/>
                <w:sz w:val="22"/>
                <w:szCs w:val="22"/>
                <w:lang w:bidi="ar"/>
              </w:rPr>
              <w:t>★</w:t>
            </w:r>
            <w:r>
              <w:rPr>
                <w:rFonts w:hint="eastAsia"/>
              </w:rPr>
              <w:t>整机屏体无需操作即可实现蓝光防护，具备物理防蓝光功能；整机采用硬件低蓝光背光技术，在源头减少有害蓝光波段能量。（提供封面具有CNAS标志的权威检测机构的检测报告复印件加盖原厂红色公章）</w:t>
            </w:r>
          </w:p>
          <w:p w14:paraId="04BC3C33">
            <w:pPr>
              <w:keepNext w:val="0"/>
              <w:keepLines w:val="0"/>
              <w:pageBreakBefore w:val="0"/>
              <w:kinsoku/>
              <w:wordWrap/>
              <w:overflowPunct/>
              <w:topLinePunct w:val="0"/>
              <w:autoSpaceDE/>
              <w:autoSpaceDN/>
              <w:bidi w:val="0"/>
              <w:adjustRightInd/>
              <w:snapToGrid/>
              <w:ind w:firstLine="420" w:firstLineChars="200"/>
            </w:pPr>
            <w:r>
              <w:rPr>
                <w:rFonts w:hint="eastAsia"/>
              </w:rPr>
              <w:t>11、支持护眼模式，可通过前置面板物理功能按键一键启用护眼模式。</w:t>
            </w:r>
          </w:p>
          <w:p w14:paraId="0ED44834">
            <w:pPr>
              <w:keepNext w:val="0"/>
              <w:keepLines w:val="0"/>
              <w:pageBreakBefore w:val="0"/>
              <w:kinsoku/>
              <w:wordWrap/>
              <w:overflowPunct/>
              <w:topLinePunct w:val="0"/>
              <w:autoSpaceDE/>
              <w:autoSpaceDN/>
              <w:bidi w:val="0"/>
              <w:adjustRightInd/>
              <w:snapToGrid/>
              <w:ind w:firstLine="420" w:firstLineChars="200"/>
            </w:pPr>
            <w:r>
              <w:rPr>
                <w:rFonts w:hint="eastAsia"/>
              </w:rPr>
              <w:t>12、整机色域覆盖率（NTSC）72%。</w:t>
            </w:r>
          </w:p>
          <w:p w14:paraId="1F66DD78">
            <w:pPr>
              <w:keepNext w:val="0"/>
              <w:keepLines w:val="0"/>
              <w:pageBreakBefore w:val="0"/>
              <w:kinsoku/>
              <w:wordWrap/>
              <w:overflowPunct/>
              <w:topLinePunct w:val="0"/>
              <w:autoSpaceDE/>
              <w:autoSpaceDN/>
              <w:bidi w:val="0"/>
              <w:adjustRightInd/>
              <w:snapToGrid/>
              <w:ind w:firstLine="420" w:firstLineChars="200"/>
            </w:pPr>
            <w:r>
              <w:rPr>
                <w:rFonts w:hint="eastAsia"/>
              </w:rPr>
              <w:t>13、触摸最小识别物3mm。</w:t>
            </w:r>
          </w:p>
          <w:p w14:paraId="61E91785">
            <w:pPr>
              <w:keepNext w:val="0"/>
              <w:keepLines w:val="0"/>
              <w:pageBreakBefore w:val="0"/>
              <w:kinsoku/>
              <w:wordWrap/>
              <w:overflowPunct/>
              <w:topLinePunct w:val="0"/>
              <w:autoSpaceDE/>
              <w:autoSpaceDN/>
              <w:bidi w:val="0"/>
              <w:adjustRightInd/>
              <w:snapToGrid/>
              <w:ind w:firstLine="420" w:firstLineChars="200"/>
            </w:pPr>
            <w:r>
              <w:rPr>
                <w:rFonts w:hint="eastAsia"/>
              </w:rPr>
              <w:t>14、</w:t>
            </w:r>
            <w:r>
              <w:rPr>
                <w:rFonts w:hint="eastAsia" w:ascii="宋体" w:hAnsi="宋体" w:eastAsia="宋体" w:cs="宋体"/>
                <w:kern w:val="0"/>
                <w:sz w:val="22"/>
                <w:szCs w:val="22"/>
                <w:lang w:bidi="ar"/>
              </w:rPr>
              <w:t>★</w:t>
            </w:r>
            <w:r>
              <w:rPr>
                <w:rFonts w:hint="eastAsia"/>
              </w:rPr>
              <w:t>整机内置≥1600万像素摄像头麦克风，无需外接线材连接，任何可见外接线材及模块化拼接痕迹，未占用整机设备端口，支持远程巡课、简易录播的应用，可拍摄输出4K分辨率的视频、图片。（提供封面具有CNAS标志的权威检测机构的检测报告复印件加盖原厂红色公章）</w:t>
            </w:r>
          </w:p>
          <w:p w14:paraId="4005C255">
            <w:pPr>
              <w:keepNext w:val="0"/>
              <w:keepLines w:val="0"/>
              <w:pageBreakBefore w:val="0"/>
              <w:kinsoku/>
              <w:wordWrap/>
              <w:overflowPunct/>
              <w:topLinePunct w:val="0"/>
              <w:autoSpaceDE/>
              <w:autoSpaceDN/>
              <w:bidi w:val="0"/>
              <w:adjustRightInd/>
              <w:snapToGrid/>
              <w:ind w:firstLine="420" w:firstLineChars="200"/>
            </w:pPr>
            <w:r>
              <w:rPr>
                <w:rFonts w:hint="eastAsia"/>
              </w:rPr>
              <w:t>15、摄像头可做包括但不限于远程巡课、人脸识别。</w:t>
            </w:r>
          </w:p>
          <w:p w14:paraId="1D97FD27">
            <w:pPr>
              <w:keepNext w:val="0"/>
              <w:keepLines w:val="0"/>
              <w:pageBreakBefore w:val="0"/>
              <w:kinsoku/>
              <w:wordWrap/>
              <w:overflowPunct/>
              <w:topLinePunct w:val="0"/>
              <w:autoSpaceDE/>
              <w:autoSpaceDN/>
              <w:bidi w:val="0"/>
              <w:adjustRightInd/>
              <w:snapToGrid/>
              <w:ind w:firstLine="420" w:firstLineChars="200"/>
            </w:pPr>
            <w:r>
              <w:rPr>
                <w:rFonts w:hint="eastAsia"/>
              </w:rPr>
              <w:t>16、前置面板需具2路双通道 USB3.0 接口、1 路全功能 USB Type-C 接口。</w:t>
            </w:r>
          </w:p>
          <w:p w14:paraId="4FB7F0D5">
            <w:pPr>
              <w:keepNext w:val="0"/>
              <w:keepLines w:val="0"/>
              <w:pageBreakBefore w:val="0"/>
              <w:kinsoku/>
              <w:wordWrap/>
              <w:overflowPunct/>
              <w:topLinePunct w:val="0"/>
              <w:autoSpaceDE/>
              <w:autoSpaceDN/>
              <w:bidi w:val="0"/>
              <w:adjustRightInd/>
              <w:snapToGrid/>
              <w:ind w:firstLine="420" w:firstLineChars="200"/>
            </w:pPr>
            <w:r>
              <w:rPr>
                <w:rFonts w:hint="eastAsia"/>
              </w:rPr>
              <w:t>17、整机内置扬声器采用针孔发声技术，喇叭采用槽式开口设计。</w:t>
            </w:r>
          </w:p>
          <w:p w14:paraId="642C53DD">
            <w:pPr>
              <w:keepNext w:val="0"/>
              <w:keepLines w:val="0"/>
              <w:pageBreakBefore w:val="0"/>
              <w:kinsoku/>
              <w:wordWrap/>
              <w:overflowPunct/>
              <w:topLinePunct w:val="0"/>
              <w:autoSpaceDE/>
              <w:autoSpaceDN/>
              <w:bidi w:val="0"/>
              <w:adjustRightInd/>
              <w:snapToGrid/>
              <w:ind w:firstLine="420" w:firstLineChars="200"/>
            </w:pPr>
            <w:r>
              <w:rPr>
                <w:rFonts w:hint="eastAsia"/>
              </w:rPr>
              <w:t>18、整机内置2.2声道音响，额定总功率≥60W。（提供封面具有CNAS标志的权威检测机构的检测报告复印件加盖原厂红色公章）</w:t>
            </w:r>
          </w:p>
          <w:p w14:paraId="5A8917A0">
            <w:pPr>
              <w:keepNext w:val="0"/>
              <w:keepLines w:val="0"/>
              <w:pageBreakBefore w:val="0"/>
              <w:kinsoku/>
              <w:wordWrap/>
              <w:overflowPunct/>
              <w:topLinePunct w:val="0"/>
              <w:autoSpaceDE/>
              <w:autoSpaceDN/>
              <w:bidi w:val="0"/>
              <w:adjustRightInd/>
              <w:snapToGrid/>
              <w:ind w:firstLine="422" w:firstLineChars="200"/>
              <w:rPr>
                <w:b/>
                <w:bCs/>
              </w:rPr>
            </w:pPr>
            <w:r>
              <w:rPr>
                <w:rFonts w:hint="eastAsia"/>
                <w:b/>
                <w:bCs/>
              </w:rPr>
              <w:t>三、主要功能</w:t>
            </w:r>
          </w:p>
          <w:p w14:paraId="22F9A948">
            <w:pPr>
              <w:keepNext w:val="0"/>
              <w:keepLines w:val="0"/>
              <w:pageBreakBefore w:val="0"/>
              <w:kinsoku/>
              <w:wordWrap/>
              <w:overflowPunct/>
              <w:topLinePunct w:val="0"/>
              <w:autoSpaceDE/>
              <w:autoSpaceDN/>
              <w:bidi w:val="0"/>
              <w:adjustRightInd/>
              <w:snapToGrid/>
              <w:ind w:firstLine="420" w:firstLineChars="200"/>
            </w:pPr>
            <w:r>
              <w:rPr>
                <w:rFonts w:hint="eastAsia"/>
              </w:rPr>
              <w:t>1、支持整机支持高级音效及图像模式调节。</w:t>
            </w:r>
          </w:p>
          <w:p w14:paraId="403FAD6F">
            <w:pPr>
              <w:keepNext w:val="0"/>
              <w:keepLines w:val="0"/>
              <w:pageBreakBefore w:val="0"/>
              <w:kinsoku/>
              <w:wordWrap/>
              <w:overflowPunct/>
              <w:topLinePunct w:val="0"/>
              <w:autoSpaceDE/>
              <w:autoSpaceDN/>
              <w:bidi w:val="0"/>
              <w:adjustRightInd/>
              <w:snapToGrid/>
              <w:ind w:firstLine="420" w:firstLineChars="200"/>
            </w:pPr>
            <w:r>
              <w:rPr>
                <w:rFonts w:hint="eastAsia"/>
              </w:rPr>
              <w:t>2、</w:t>
            </w:r>
            <w:r>
              <w:rPr>
                <w:rFonts w:hint="eastAsia" w:ascii="宋体" w:hAnsi="宋体" w:eastAsia="宋体" w:cs="宋体"/>
                <w:kern w:val="0"/>
                <w:sz w:val="22"/>
                <w:szCs w:val="22"/>
                <w:lang w:bidi="ar"/>
              </w:rPr>
              <w:t>★</w:t>
            </w:r>
            <w:r>
              <w:rPr>
                <w:rFonts w:hint="eastAsia"/>
              </w:rPr>
              <w:t>整机具备智能手势识别功能。（提供封面具有CNAS标志的权威检测机构的检测报告复印件加盖原厂红色公章）</w:t>
            </w:r>
          </w:p>
          <w:p w14:paraId="1908FBDA">
            <w:pPr>
              <w:keepNext w:val="0"/>
              <w:keepLines w:val="0"/>
              <w:pageBreakBefore w:val="0"/>
              <w:kinsoku/>
              <w:wordWrap/>
              <w:overflowPunct/>
              <w:topLinePunct w:val="0"/>
              <w:autoSpaceDE/>
              <w:autoSpaceDN/>
              <w:bidi w:val="0"/>
              <w:adjustRightInd/>
              <w:snapToGrid/>
              <w:ind w:firstLine="420" w:firstLineChars="200"/>
            </w:pPr>
            <w:r>
              <w:rPr>
                <w:rFonts w:hint="eastAsia"/>
              </w:rPr>
              <w:t>3、在HDMI、Android以及Windows信号源模式下，整机屏幕支持手势下移实现半屏显示。</w:t>
            </w:r>
          </w:p>
          <w:p w14:paraId="36A545EF">
            <w:pPr>
              <w:keepNext w:val="0"/>
              <w:keepLines w:val="0"/>
              <w:pageBreakBefore w:val="0"/>
              <w:kinsoku/>
              <w:wordWrap/>
              <w:overflowPunct/>
              <w:topLinePunct w:val="0"/>
              <w:autoSpaceDE/>
              <w:autoSpaceDN/>
              <w:bidi w:val="0"/>
              <w:adjustRightInd/>
              <w:snapToGrid/>
              <w:ind w:firstLine="420" w:firstLineChars="200"/>
            </w:pPr>
            <w:r>
              <w:rPr>
                <w:rFonts w:hint="eastAsia"/>
              </w:rPr>
              <w:t>4、快捷小工具：用户在任意通道下可调取系统工具，聚光灯、批注等小工具，也可以调取应用软件；并支持根据用户习惯任意调整显示顺序。</w:t>
            </w:r>
          </w:p>
          <w:p w14:paraId="16B4E9D1">
            <w:pPr>
              <w:keepNext w:val="0"/>
              <w:keepLines w:val="0"/>
              <w:pageBreakBefore w:val="0"/>
              <w:kinsoku/>
              <w:wordWrap/>
              <w:overflowPunct/>
              <w:topLinePunct w:val="0"/>
              <w:autoSpaceDE/>
              <w:autoSpaceDN/>
              <w:bidi w:val="0"/>
              <w:adjustRightInd/>
              <w:snapToGrid/>
              <w:ind w:firstLine="420" w:firstLineChars="200"/>
            </w:pPr>
            <w:r>
              <w:rPr>
                <w:rFonts w:hint="eastAsia"/>
              </w:rPr>
              <w:t>5、当整机处于黑暗环境中并无人操作，一分钟后整机将可以自动进入熄屏模式。</w:t>
            </w:r>
          </w:p>
          <w:p w14:paraId="34B027FA">
            <w:pPr>
              <w:keepNext w:val="0"/>
              <w:keepLines w:val="0"/>
              <w:pageBreakBefore w:val="0"/>
              <w:kinsoku/>
              <w:wordWrap/>
              <w:overflowPunct/>
              <w:topLinePunct w:val="0"/>
              <w:autoSpaceDE/>
              <w:autoSpaceDN/>
              <w:bidi w:val="0"/>
              <w:adjustRightInd/>
              <w:snapToGrid/>
              <w:ind w:firstLine="420" w:firstLineChars="200"/>
            </w:pPr>
            <w:r>
              <w:rPr>
                <w:rFonts w:hint="eastAsia"/>
              </w:rPr>
              <w:t>6、整机处于非内置PC通道下，支持调用屏幕快捷键一键回到PC通道。</w:t>
            </w:r>
          </w:p>
          <w:p w14:paraId="09BED3E0">
            <w:pPr>
              <w:keepNext w:val="0"/>
              <w:keepLines w:val="0"/>
              <w:pageBreakBefore w:val="0"/>
              <w:kinsoku/>
              <w:wordWrap/>
              <w:overflowPunct/>
              <w:topLinePunct w:val="0"/>
              <w:autoSpaceDE/>
              <w:autoSpaceDN/>
              <w:bidi w:val="0"/>
              <w:adjustRightInd/>
              <w:snapToGrid/>
              <w:ind w:firstLine="420" w:firstLineChars="200"/>
            </w:pPr>
            <w:r>
              <w:rPr>
                <w:rFonts w:hint="eastAsia"/>
              </w:rPr>
              <w:t>7、支持通道记忆功能，开机默认回到最近一次关机时的显示通道。</w:t>
            </w:r>
          </w:p>
          <w:p w14:paraId="222E4B74">
            <w:pPr>
              <w:keepNext w:val="0"/>
              <w:keepLines w:val="0"/>
              <w:pageBreakBefore w:val="0"/>
              <w:kinsoku/>
              <w:wordWrap/>
              <w:overflowPunct/>
              <w:topLinePunct w:val="0"/>
              <w:autoSpaceDE/>
              <w:autoSpaceDN/>
              <w:bidi w:val="0"/>
              <w:adjustRightInd/>
              <w:snapToGrid/>
              <w:ind w:firstLine="420" w:firstLineChars="200"/>
            </w:pPr>
            <w:r>
              <w:rPr>
                <w:rFonts w:hint="eastAsia"/>
              </w:rPr>
              <w:t>8、整机教学桌面小工具，支持调用摄像头支持人脸识别、清点人数、随机抽人；识别所有学生，显示标记，然后随机抽选。</w:t>
            </w:r>
          </w:p>
          <w:p w14:paraId="195416B0">
            <w:pPr>
              <w:keepNext w:val="0"/>
              <w:keepLines w:val="0"/>
              <w:pageBreakBefore w:val="0"/>
              <w:kinsoku/>
              <w:wordWrap/>
              <w:overflowPunct/>
              <w:topLinePunct w:val="0"/>
              <w:autoSpaceDE/>
              <w:autoSpaceDN/>
              <w:bidi w:val="0"/>
              <w:adjustRightInd/>
              <w:snapToGrid/>
              <w:ind w:firstLine="420" w:firstLineChars="200"/>
            </w:pPr>
            <w:r>
              <w:rPr>
                <w:rFonts w:hint="eastAsia"/>
              </w:rPr>
              <w:t>9、整机支持锁屏，并具有多种解锁方式。</w:t>
            </w:r>
          </w:p>
          <w:p w14:paraId="3555B6F9">
            <w:pPr>
              <w:keepNext w:val="0"/>
              <w:keepLines w:val="0"/>
              <w:pageBreakBefore w:val="0"/>
              <w:kinsoku/>
              <w:wordWrap/>
              <w:overflowPunct/>
              <w:topLinePunct w:val="0"/>
              <w:autoSpaceDE/>
              <w:autoSpaceDN/>
              <w:bidi w:val="0"/>
              <w:adjustRightInd/>
              <w:snapToGrid/>
              <w:ind w:firstLine="420" w:firstLineChars="200"/>
            </w:pPr>
            <w:r>
              <w:rPr>
                <w:rFonts w:hint="eastAsia"/>
              </w:rPr>
              <w:t>10、嵌入式Android操作系统下，互动白板支持不同背景颜色，同时提供学科背景。</w:t>
            </w:r>
          </w:p>
          <w:p w14:paraId="3B212409">
            <w:pPr>
              <w:keepNext w:val="0"/>
              <w:keepLines w:val="0"/>
              <w:pageBreakBefore w:val="0"/>
              <w:kinsoku/>
              <w:wordWrap/>
              <w:overflowPunct/>
              <w:topLinePunct w:val="0"/>
              <w:autoSpaceDE/>
              <w:autoSpaceDN/>
              <w:bidi w:val="0"/>
              <w:adjustRightInd/>
              <w:snapToGrid/>
              <w:ind w:firstLine="420" w:firstLineChars="200"/>
            </w:pPr>
            <w:r>
              <w:rPr>
                <w:rFonts w:hint="eastAsia"/>
              </w:rPr>
              <w:t>11、在嵌入式系统下使用白板软件时，整机可根据用户书写操作智能调节屏幕亮度。</w:t>
            </w:r>
          </w:p>
          <w:p w14:paraId="117EC072">
            <w:pPr>
              <w:keepNext w:val="0"/>
              <w:keepLines w:val="0"/>
              <w:pageBreakBefore w:val="0"/>
              <w:kinsoku/>
              <w:wordWrap/>
              <w:overflowPunct/>
              <w:topLinePunct w:val="0"/>
              <w:autoSpaceDE/>
              <w:autoSpaceDN/>
              <w:bidi w:val="0"/>
              <w:adjustRightInd/>
              <w:snapToGrid/>
              <w:ind w:firstLine="420" w:firstLineChars="200"/>
            </w:pPr>
            <w:r>
              <w:rPr>
                <w:rFonts w:hint="eastAsia"/>
              </w:rPr>
              <w:t>12、无PC状态下，嵌入式系统内置互动白板支持十笔书写及手掌擦除（手掌擦除面积根据手掌与屏幕的接触面大小自动调整）。</w:t>
            </w:r>
          </w:p>
          <w:p w14:paraId="4659D460">
            <w:pPr>
              <w:keepNext w:val="0"/>
              <w:keepLines w:val="0"/>
              <w:pageBreakBefore w:val="0"/>
              <w:kinsoku/>
              <w:wordWrap/>
              <w:overflowPunct/>
              <w:topLinePunct w:val="0"/>
              <w:autoSpaceDE/>
              <w:autoSpaceDN/>
              <w:bidi w:val="0"/>
              <w:adjustRightInd/>
              <w:snapToGrid/>
              <w:ind w:firstLine="420" w:firstLineChars="200"/>
            </w:pPr>
            <w:r>
              <w:rPr>
                <w:rFonts w:hint="eastAsia"/>
              </w:rPr>
              <w:t>13、整机全通道侧边栏支持在任意通道、页面使用批注小工具进行批注讲解，可切换书写笔颜色、截屏保存批注内容、快速清屏，可根据手与屏幕的接触面积自动调整板擦工具的大小。</w:t>
            </w:r>
          </w:p>
          <w:p w14:paraId="5D3BED65">
            <w:pPr>
              <w:keepNext w:val="0"/>
              <w:keepLines w:val="0"/>
              <w:pageBreakBefore w:val="0"/>
              <w:kinsoku/>
              <w:wordWrap/>
              <w:overflowPunct/>
              <w:topLinePunct w:val="0"/>
              <w:autoSpaceDE/>
              <w:autoSpaceDN/>
              <w:bidi w:val="0"/>
              <w:adjustRightInd/>
              <w:snapToGrid/>
              <w:ind w:firstLine="420" w:firstLineChars="200"/>
            </w:pPr>
            <w:r>
              <w:rPr>
                <w:rFonts w:hint="eastAsia"/>
              </w:rPr>
              <w:t>14、整机全通道侧边栏支持自行选择所需截取屏幕范围，点击截屏即可成功截取屏幕，并自动保存。</w:t>
            </w:r>
          </w:p>
          <w:p w14:paraId="7AE6CF4D">
            <w:pPr>
              <w:keepNext w:val="0"/>
              <w:keepLines w:val="0"/>
              <w:pageBreakBefore w:val="0"/>
              <w:kinsoku/>
              <w:wordWrap/>
              <w:overflowPunct/>
              <w:topLinePunct w:val="0"/>
              <w:autoSpaceDE/>
              <w:autoSpaceDN/>
              <w:bidi w:val="0"/>
              <w:adjustRightInd/>
              <w:snapToGrid/>
              <w:ind w:firstLine="420" w:firstLineChars="200"/>
            </w:pPr>
            <w:r>
              <w:rPr>
                <w:rFonts w:hint="eastAsia"/>
              </w:rPr>
              <w:t>15、整机全通道支持快速将设备屏幕降低为半屏幕状态，点击上半屏幕可以快速返回全屏状态。</w:t>
            </w:r>
          </w:p>
          <w:p w14:paraId="5781730F">
            <w:pPr>
              <w:keepNext w:val="0"/>
              <w:keepLines w:val="0"/>
              <w:pageBreakBefore w:val="0"/>
              <w:kinsoku/>
              <w:wordWrap/>
              <w:overflowPunct/>
              <w:topLinePunct w:val="0"/>
              <w:autoSpaceDE/>
              <w:autoSpaceDN/>
              <w:bidi w:val="0"/>
              <w:adjustRightInd/>
              <w:snapToGrid/>
              <w:ind w:firstLine="420" w:firstLineChars="200"/>
            </w:pPr>
            <w:r>
              <w:rPr>
                <w:rFonts w:hint="eastAsia"/>
              </w:rPr>
              <w:t>16、整机全通道侧边栏快捷菜单包含小工具。</w:t>
            </w:r>
          </w:p>
          <w:p w14:paraId="4BC7BBC2">
            <w:pPr>
              <w:keepNext w:val="0"/>
              <w:keepLines w:val="0"/>
              <w:pageBreakBefore w:val="0"/>
              <w:widowControl/>
              <w:kinsoku/>
              <w:wordWrap/>
              <w:overflowPunct/>
              <w:topLinePunct w:val="0"/>
              <w:autoSpaceDE/>
              <w:autoSpaceDN/>
              <w:bidi w:val="0"/>
              <w:adjustRightInd/>
              <w:snapToGrid/>
              <w:ind w:firstLine="442" w:firstLineChars="200"/>
              <w:jc w:val="left"/>
              <w:textAlignment w:val="center"/>
              <w:rPr>
                <w:b/>
                <w:bCs/>
              </w:rPr>
            </w:pPr>
            <w:r>
              <w:rPr>
                <w:rFonts w:hint="eastAsia" w:ascii="宋体" w:hAnsi="宋体" w:eastAsia="宋体" w:cs="宋体"/>
                <w:b/>
                <w:bCs/>
                <w:kern w:val="0"/>
                <w:sz w:val="22"/>
                <w:szCs w:val="22"/>
                <w:lang w:bidi="ar"/>
              </w:rPr>
              <w:t>四、教学软件：</w:t>
            </w:r>
          </w:p>
          <w:p w14:paraId="5C2CB57F">
            <w:pPr>
              <w:keepNext w:val="0"/>
              <w:keepLines w:val="0"/>
              <w:pageBreakBefore w:val="0"/>
              <w:kinsoku/>
              <w:wordWrap/>
              <w:overflowPunct/>
              <w:topLinePunct w:val="0"/>
              <w:autoSpaceDE/>
              <w:autoSpaceDN/>
              <w:bidi w:val="0"/>
              <w:adjustRightInd/>
              <w:snapToGrid/>
              <w:ind w:firstLine="420" w:firstLineChars="200"/>
            </w:pPr>
            <w:r>
              <w:rPr>
                <w:rFonts w:hint="eastAsia"/>
              </w:rPr>
              <w:t>1.软件资源严格按照《3-6岁儿童学习与发展指南》与《幼儿园教育指导纲要》编制而成，教学课件涵盖健康、社会、语言、科学、艺术等五个领域，必须适合幼儿园小班、中班、大班教学场景使用，软件资源内容不含有小学化倾向内容。</w:t>
            </w:r>
          </w:p>
          <w:p w14:paraId="7A3AFB91">
            <w:pPr>
              <w:keepNext w:val="0"/>
              <w:keepLines w:val="0"/>
              <w:pageBreakBefore w:val="0"/>
              <w:kinsoku/>
              <w:wordWrap/>
              <w:overflowPunct/>
              <w:topLinePunct w:val="0"/>
              <w:autoSpaceDE/>
              <w:autoSpaceDN/>
              <w:bidi w:val="0"/>
              <w:adjustRightInd/>
              <w:snapToGrid/>
              <w:ind w:firstLine="420" w:firstLineChars="200"/>
            </w:pPr>
            <w:r>
              <w:rPr>
                <w:rFonts w:hint="eastAsia"/>
              </w:rPr>
              <w:t>2.软件内容应包含动画、图片、视频、儿歌、音乐、故事、游戏等多种形式，内容丰富，操作简单，五大领域教学课件需提供国家版权局颁发的作品登记证书，以证明版权的正当性，无版权纠。</w:t>
            </w:r>
          </w:p>
          <w:p w14:paraId="4B135DE9">
            <w:pPr>
              <w:keepNext w:val="0"/>
              <w:keepLines w:val="0"/>
              <w:pageBreakBefore w:val="0"/>
              <w:kinsoku/>
              <w:wordWrap/>
              <w:overflowPunct/>
              <w:topLinePunct w:val="0"/>
              <w:autoSpaceDE/>
              <w:autoSpaceDN/>
              <w:bidi w:val="0"/>
              <w:adjustRightInd/>
              <w:snapToGrid/>
              <w:ind w:firstLine="420" w:firstLineChars="200"/>
            </w:pPr>
            <w:r>
              <w:rPr>
                <w:rFonts w:hint="eastAsia"/>
                <w:color w:val="000000" w:themeColor="text1"/>
                <w14:textFill>
                  <w14:solidFill>
                    <w14:schemeClr w14:val="tx1"/>
                  </w14:solidFill>
                </w14:textFill>
              </w:rPr>
              <w:t>3.软件内容资源大小总量不少于85G，软件</w:t>
            </w:r>
            <w:r>
              <w:rPr>
                <w:rFonts w:hint="eastAsia"/>
              </w:rPr>
              <w:t>适配教学一体机分辨率不低于1920*1080，长宽比为16：9。</w:t>
            </w:r>
          </w:p>
          <w:p w14:paraId="3D95A599">
            <w:pPr>
              <w:keepNext w:val="0"/>
              <w:keepLines w:val="0"/>
              <w:pageBreakBefore w:val="0"/>
              <w:kinsoku/>
              <w:wordWrap/>
              <w:overflowPunct/>
              <w:topLinePunct w:val="0"/>
              <w:autoSpaceDE/>
              <w:autoSpaceDN/>
              <w:bidi w:val="0"/>
              <w:adjustRightInd/>
              <w:snapToGrid/>
              <w:ind w:firstLine="420" w:firstLineChars="200"/>
            </w:pPr>
            <w:r>
              <w:rPr>
                <w:rFonts w:hint="eastAsia"/>
              </w:rPr>
              <w:t>4.在教学课件资源设计中，应充分结合不同领域活动特点，结合幼儿园学期教学计划，课件中提供不少于800个教学活动，动画资源不少于800个，图片及插画资源不少于3000张，游戏互动资源不少于1000个，真人视频资源不少于100个，提供盖有CMA、CNAS标识的检测报告。</w:t>
            </w:r>
          </w:p>
          <w:p w14:paraId="53D1DE47">
            <w:pPr>
              <w:keepNext w:val="0"/>
              <w:keepLines w:val="0"/>
              <w:pageBreakBefore w:val="0"/>
              <w:kinsoku/>
              <w:wordWrap/>
              <w:overflowPunct/>
              <w:topLinePunct w:val="0"/>
              <w:autoSpaceDE/>
              <w:autoSpaceDN/>
              <w:bidi w:val="0"/>
              <w:adjustRightInd/>
              <w:snapToGrid/>
              <w:ind w:firstLine="420" w:firstLineChars="200"/>
            </w:pPr>
            <w:r>
              <w:rPr>
                <w:rFonts w:hint="eastAsia"/>
              </w:rPr>
              <w:t>5.软件内容资源应提供教师用书电子版，详细介绍各个教学活动相关环节，如活动目标、活动准备、活动过程、活动延伸等部分，提供的活动方案总数不少于1000篇，教师用书需提供国家版权局颁发的作品登记证书，以证明版权的正当性，无版权纠纷。</w:t>
            </w:r>
          </w:p>
          <w:p w14:paraId="27709F90">
            <w:pPr>
              <w:keepNext w:val="0"/>
              <w:keepLines w:val="0"/>
              <w:pageBreakBefore w:val="0"/>
              <w:kinsoku/>
              <w:wordWrap/>
              <w:overflowPunct/>
              <w:topLinePunct w:val="0"/>
              <w:autoSpaceDE/>
              <w:autoSpaceDN/>
              <w:bidi w:val="0"/>
              <w:adjustRightInd/>
              <w:snapToGrid/>
              <w:ind w:firstLine="420" w:firstLineChars="200"/>
            </w:pPr>
            <w:r>
              <w:rPr>
                <w:rFonts w:hint="eastAsia"/>
              </w:rPr>
              <w:t>6.软件在内容上应结合幼儿教师工作需求，在幼儿园大型活动、环境创设、区域活动等方面，提供可参考的小班、中班、大班方案，活动方案数量不少于1000个。</w:t>
            </w:r>
          </w:p>
          <w:p w14:paraId="551C9A97">
            <w:pPr>
              <w:keepNext w:val="0"/>
              <w:keepLines w:val="0"/>
              <w:pageBreakBefore w:val="0"/>
              <w:kinsoku/>
              <w:wordWrap/>
              <w:overflowPunct/>
              <w:topLinePunct w:val="0"/>
              <w:autoSpaceDE/>
              <w:autoSpaceDN/>
              <w:bidi w:val="0"/>
              <w:adjustRightInd/>
              <w:snapToGrid/>
              <w:ind w:firstLine="420" w:firstLineChars="200"/>
            </w:pPr>
            <w:r>
              <w:rPr>
                <w:rFonts w:hint="eastAsia"/>
              </w:rPr>
              <w:t>7.软件在内容资源上为教师提供不少于1000张的高清图片，种类划分包含动物、科技、生活、天文地理、文化、艺术等分类，图片分辨率不低于1920*1080，支持手动翻页全屏浏览，也可实现幻灯片式自动翻页浏览。提供加盖公章的图片资源列表清单，证明资源的真实性。</w:t>
            </w:r>
          </w:p>
          <w:p w14:paraId="044C41FF">
            <w:pPr>
              <w:keepNext w:val="0"/>
              <w:keepLines w:val="0"/>
              <w:pageBreakBefore w:val="0"/>
              <w:kinsoku/>
              <w:wordWrap/>
              <w:overflowPunct/>
              <w:topLinePunct w:val="0"/>
              <w:autoSpaceDE/>
              <w:autoSpaceDN/>
              <w:bidi w:val="0"/>
              <w:adjustRightInd/>
              <w:snapToGrid/>
              <w:ind w:firstLine="420" w:firstLineChars="200"/>
            </w:pPr>
            <w:r>
              <w:rPr>
                <w:rFonts w:hint="eastAsia"/>
              </w:rPr>
              <w:t>8.软件应充分利用网络信息化技术，为幼师提供线上培训资源平台，培训视频内容应包含专业发展、教学游戏、创意美工、韵律操、优质专家课程等多种实用培训视频，文本视频资源总数不少于2000个；幼师可通过教学软件一键访问web端，也可以通过手机app学习。线上资源提供不少于6个月使用权限。</w:t>
            </w:r>
          </w:p>
          <w:p w14:paraId="727038E2">
            <w:pPr>
              <w:keepNext w:val="0"/>
              <w:keepLines w:val="0"/>
              <w:pageBreakBefore w:val="0"/>
              <w:kinsoku/>
              <w:wordWrap/>
              <w:overflowPunct/>
              <w:topLinePunct w:val="0"/>
              <w:autoSpaceDE/>
              <w:autoSpaceDN/>
              <w:bidi w:val="0"/>
              <w:adjustRightInd/>
              <w:snapToGrid/>
              <w:ind w:firstLine="420" w:firstLineChars="200"/>
            </w:pPr>
            <w:r>
              <w:rPr>
                <w:rFonts w:hint="eastAsia"/>
              </w:rPr>
              <w:t>9.软件高清幼教视频资源内容上应包含中文儿歌、英文儿歌、KTV儿歌、节日儿歌、律动儿歌、三字儿歌等多种形式的儿歌。</w:t>
            </w:r>
          </w:p>
          <w:p w14:paraId="407979EB">
            <w:pPr>
              <w:keepNext w:val="0"/>
              <w:keepLines w:val="0"/>
              <w:pageBreakBefore w:val="0"/>
              <w:kinsoku/>
              <w:wordWrap/>
              <w:overflowPunct/>
              <w:topLinePunct w:val="0"/>
              <w:autoSpaceDE/>
              <w:autoSpaceDN/>
              <w:bidi w:val="0"/>
              <w:adjustRightInd/>
              <w:snapToGrid/>
              <w:ind w:firstLine="420" w:firstLineChars="200"/>
            </w:pPr>
            <w:r>
              <w:rPr>
                <w:rFonts w:hint="eastAsia"/>
              </w:rPr>
              <w:t>10.软件高清视频资源内容上应包含成语故事、国学故事、神话故事、童话故事、寓言故事、绘本故事等多种故事形式。</w:t>
            </w:r>
          </w:p>
          <w:p w14:paraId="592403A4">
            <w:pPr>
              <w:keepNext w:val="0"/>
              <w:keepLines w:val="0"/>
              <w:pageBreakBefore w:val="0"/>
              <w:kinsoku/>
              <w:wordWrap/>
              <w:overflowPunct/>
              <w:topLinePunct w:val="0"/>
              <w:autoSpaceDE/>
              <w:autoSpaceDN/>
              <w:bidi w:val="0"/>
              <w:adjustRightInd/>
              <w:snapToGrid/>
              <w:ind w:firstLine="420" w:firstLineChars="200"/>
            </w:pPr>
            <w:r>
              <w:rPr>
                <w:rFonts w:hint="eastAsia"/>
              </w:rPr>
              <w:t>11、软件高清视频资源内容上应包含弟子规、三字经、小儿语、增广贤文等分类的国学资源。</w:t>
            </w:r>
          </w:p>
          <w:p w14:paraId="2F088E85">
            <w:pPr>
              <w:keepNext w:val="0"/>
              <w:keepLines w:val="0"/>
              <w:pageBreakBefore w:val="0"/>
              <w:kinsoku/>
              <w:wordWrap/>
              <w:overflowPunct/>
              <w:topLinePunct w:val="0"/>
              <w:autoSpaceDE/>
              <w:autoSpaceDN/>
              <w:bidi w:val="0"/>
              <w:adjustRightInd/>
              <w:snapToGrid/>
              <w:ind w:firstLine="420" w:firstLineChars="200"/>
            </w:pPr>
            <w:r>
              <w:rPr>
                <w:rFonts w:hint="eastAsia"/>
              </w:rPr>
              <w:t>12.软件高清视频资源内容上应包含昆虫、植物方面与自然相关的高清视频资源。</w:t>
            </w:r>
          </w:p>
          <w:p w14:paraId="3C0C528F">
            <w:pPr>
              <w:keepNext w:val="0"/>
              <w:keepLines w:val="0"/>
              <w:pageBreakBefore w:val="0"/>
              <w:kinsoku/>
              <w:wordWrap/>
              <w:overflowPunct/>
              <w:topLinePunct w:val="0"/>
              <w:autoSpaceDE/>
              <w:autoSpaceDN/>
              <w:bidi w:val="0"/>
              <w:adjustRightInd/>
              <w:snapToGrid/>
              <w:ind w:firstLine="420" w:firstLineChars="200"/>
            </w:pPr>
            <w:r>
              <w:rPr>
                <w:rFonts w:hint="eastAsia"/>
              </w:rPr>
              <w:t>13软件内容包含的儿歌、故事、国学、自然高清幼教视频资源数量不少于400个。</w:t>
            </w:r>
          </w:p>
          <w:p w14:paraId="22CEDB32">
            <w:pPr>
              <w:keepNext w:val="0"/>
              <w:keepLines w:val="0"/>
              <w:pageBreakBefore w:val="0"/>
              <w:kinsoku/>
              <w:wordWrap/>
              <w:overflowPunct/>
              <w:topLinePunct w:val="0"/>
              <w:autoSpaceDE/>
              <w:autoSpaceDN/>
              <w:bidi w:val="0"/>
              <w:adjustRightInd/>
              <w:snapToGrid/>
              <w:ind w:firstLine="420" w:firstLineChars="200"/>
            </w:pPr>
            <w:r>
              <w:rPr>
                <w:rFonts w:hint="eastAsia"/>
              </w:rPr>
              <w:t>14.软件内容包含的音乐资源在内容上应将不同曲风的音乐进行合理分类，资源数量不少于100个，满足幼儿在入园、离园、就餐、睡前、唤醒、活动、阅读等不同场景需要。提供加盖公章的图片资源列表清单及该部分软件功能内容截图，证明资源的真实性，提供盖有CMA或CNAS标识的检测报告。</w:t>
            </w:r>
          </w:p>
          <w:p w14:paraId="057D5C71">
            <w:pPr>
              <w:keepNext w:val="0"/>
              <w:keepLines w:val="0"/>
              <w:pageBreakBefore w:val="0"/>
              <w:kinsoku/>
              <w:wordWrap/>
              <w:overflowPunct/>
              <w:topLinePunct w:val="0"/>
              <w:autoSpaceDE/>
              <w:autoSpaceDN/>
              <w:bidi w:val="0"/>
              <w:adjustRightInd/>
              <w:snapToGrid/>
              <w:ind w:firstLine="420" w:firstLineChars="200"/>
            </w:pPr>
            <w:r>
              <w:rPr>
                <w:rFonts w:hint="eastAsia"/>
              </w:rPr>
              <w:t>15.软件在资源上应结合幼儿园园务管理需要，为教师提供教学管理方案、家园管理方案、安全管理方案、后勤保健方案、实用表格、规章制度汇编等资源，支持下载、编辑，资源应不少于150个，方便教师进行园务管理工作，提高管理效率。</w:t>
            </w:r>
          </w:p>
          <w:p w14:paraId="1DF6D22B">
            <w:pPr>
              <w:keepNext w:val="0"/>
              <w:keepLines w:val="0"/>
              <w:pageBreakBefore w:val="0"/>
              <w:kinsoku/>
              <w:wordWrap/>
              <w:overflowPunct/>
              <w:topLinePunct w:val="0"/>
              <w:autoSpaceDE/>
              <w:autoSpaceDN/>
              <w:bidi w:val="0"/>
              <w:adjustRightInd/>
              <w:snapToGrid/>
              <w:ind w:firstLine="420" w:firstLineChars="200"/>
            </w:pPr>
            <w:r>
              <w:rPr>
                <w:rFonts w:hint="eastAsia"/>
              </w:rPr>
              <w:t>16.软件应为exe格式独立安装版本，安装后教师可以根据需要自行选择需要下载的资源，无网络情况下可以满足使用，软件支持连网在线版本升级，资源更新，每年更新不少于1次。</w:t>
            </w:r>
          </w:p>
          <w:p w14:paraId="239D4CD9">
            <w:pPr>
              <w:keepNext w:val="0"/>
              <w:keepLines w:val="0"/>
              <w:pageBreakBefore w:val="0"/>
              <w:kinsoku/>
              <w:wordWrap/>
              <w:overflowPunct/>
              <w:topLinePunct w:val="0"/>
              <w:autoSpaceDE/>
              <w:autoSpaceDN/>
              <w:bidi w:val="0"/>
              <w:adjustRightInd/>
              <w:snapToGrid/>
              <w:ind w:firstLine="420" w:firstLineChars="200"/>
            </w:pPr>
            <w:r>
              <w:rPr>
                <w:rFonts w:hint="eastAsia"/>
              </w:rPr>
              <w:t>17.教学软件支持自定义园所信息，不同班级可自定义不同的班级宣传语，主界面显示天气、网络连接状态、当前时间、通知信息内容。</w:t>
            </w:r>
          </w:p>
          <w:p w14:paraId="4D1DB4D1">
            <w:pPr>
              <w:keepNext w:val="0"/>
              <w:keepLines w:val="0"/>
              <w:pageBreakBefore w:val="0"/>
              <w:kinsoku/>
              <w:wordWrap/>
              <w:overflowPunct/>
              <w:topLinePunct w:val="0"/>
              <w:autoSpaceDE/>
              <w:autoSpaceDN/>
              <w:bidi w:val="0"/>
              <w:adjustRightInd/>
              <w:snapToGrid/>
              <w:ind w:firstLine="420" w:firstLineChars="200"/>
            </w:pPr>
            <w:r>
              <w:rPr>
                <w:rFonts w:hint="eastAsia"/>
              </w:rPr>
              <w:t>18.教学软件在国家版权局进行版权登记，具有计算机软件著作权登记证书，教学课件版权明晰，提供国家版权局颁发的作品登记证书。</w:t>
            </w:r>
          </w:p>
          <w:p w14:paraId="5A913359">
            <w:pPr>
              <w:keepNext w:val="0"/>
              <w:keepLines w:val="0"/>
              <w:pageBreakBefore w:val="0"/>
              <w:kinsoku/>
              <w:wordWrap/>
              <w:overflowPunct/>
              <w:topLinePunct w:val="0"/>
              <w:autoSpaceDE/>
              <w:autoSpaceDN/>
              <w:bidi w:val="0"/>
              <w:adjustRightInd/>
              <w:snapToGrid/>
              <w:ind w:firstLine="420" w:firstLineChars="200"/>
            </w:pPr>
            <w:r>
              <w:rPr>
                <w:rFonts w:hint="eastAsia"/>
              </w:rPr>
              <w:t>19.教学软件通过国家认可的软件测试机构检测，提供有CMA及CNAS标识的检测报告，测试机构具备国家级检测资质。</w:t>
            </w:r>
          </w:p>
          <w:p w14:paraId="5FFA3946">
            <w:pPr>
              <w:keepNext w:val="0"/>
              <w:keepLines w:val="0"/>
              <w:pageBreakBefore w:val="0"/>
              <w:kinsoku/>
              <w:wordWrap/>
              <w:overflowPunct/>
              <w:topLinePunct w:val="0"/>
              <w:autoSpaceDE/>
              <w:autoSpaceDN/>
              <w:bidi w:val="0"/>
              <w:adjustRightInd/>
              <w:snapToGrid/>
              <w:ind w:firstLine="422" w:firstLineChars="200"/>
              <w:rPr>
                <w:b/>
                <w:bCs/>
              </w:rPr>
            </w:pPr>
            <w:r>
              <w:rPr>
                <w:rFonts w:hint="eastAsia"/>
                <w:b/>
                <w:bCs/>
                <w:lang w:val="en-US" w:eastAsia="zh-CN"/>
              </w:rPr>
              <w:t>五、</w:t>
            </w:r>
            <w:r>
              <w:rPr>
                <w:rFonts w:hint="eastAsia"/>
                <w:b/>
                <w:bCs/>
              </w:rPr>
              <w:t>画板软件：</w:t>
            </w:r>
          </w:p>
          <w:p w14:paraId="245DC887">
            <w:pPr>
              <w:keepNext w:val="0"/>
              <w:keepLines w:val="0"/>
              <w:pageBreakBefore w:val="0"/>
              <w:kinsoku/>
              <w:wordWrap/>
              <w:overflowPunct/>
              <w:topLinePunct w:val="0"/>
              <w:autoSpaceDE/>
              <w:autoSpaceDN/>
              <w:bidi w:val="0"/>
              <w:adjustRightInd/>
              <w:snapToGrid/>
              <w:ind w:firstLine="420" w:firstLineChars="200"/>
            </w:pPr>
            <w:r>
              <w:rPr>
                <w:rFonts w:hint="eastAsia"/>
              </w:rPr>
              <w:t>1.画板软件必须专为幼儿园教学场景需要定制研发，UI设计简洁明了，且严格按照教育部《3-6岁儿童学习与发展指南》相关规定，无任何小学化倾向内容。</w:t>
            </w:r>
          </w:p>
          <w:p w14:paraId="6943B04A">
            <w:pPr>
              <w:keepNext w:val="0"/>
              <w:keepLines w:val="0"/>
              <w:pageBreakBefore w:val="0"/>
              <w:kinsoku/>
              <w:wordWrap/>
              <w:overflowPunct/>
              <w:topLinePunct w:val="0"/>
              <w:autoSpaceDE/>
              <w:autoSpaceDN/>
              <w:bidi w:val="0"/>
              <w:adjustRightInd/>
              <w:snapToGrid/>
              <w:ind w:firstLine="420" w:firstLineChars="200"/>
            </w:pPr>
            <w:r>
              <w:rPr>
                <w:rFonts w:hint="eastAsia"/>
              </w:rPr>
              <w:t>2.画板在功能上应满足：具备水粉笔、铅笔、彩笔等多种画笔功能，且每种画笔均可选择不同颜色和粗度进行呈现；颜色选择不少于35种，粗度选择不少于5种；自动记忆最后一次使用的颜色及粗细，方便教师下次使用；画笔笔迹支持手势擦除，擦除范围大小可根据手掌接触屏幕面积大小自动调节，支持不少于3种板擦大小。提供盖有CMA或CNAS标识的检测报告。</w:t>
            </w:r>
          </w:p>
          <w:p w14:paraId="7751AB8A">
            <w:pPr>
              <w:keepNext w:val="0"/>
              <w:keepLines w:val="0"/>
              <w:pageBreakBefore w:val="0"/>
              <w:kinsoku/>
              <w:wordWrap/>
              <w:overflowPunct/>
              <w:topLinePunct w:val="0"/>
              <w:autoSpaceDE/>
              <w:autoSpaceDN/>
              <w:bidi w:val="0"/>
              <w:adjustRightInd/>
              <w:snapToGrid/>
              <w:ind w:firstLine="420" w:firstLineChars="200"/>
            </w:pPr>
            <w:r>
              <w:rPr>
                <w:rFonts w:hint="eastAsia"/>
              </w:rPr>
              <w:t>3.画板具备插入正方形、长方形、三角形、圆形等常用图形，种类不少于18种；且每种图形均可进行颜色填充，颜色选择不少于35种；可对插入的任意图形进行锁定、置顶、置底、填充、印章、删除、放大、缩小、旋转等操作。提供盖有CMA或CNAS标识的检测报告。</w:t>
            </w:r>
          </w:p>
          <w:p w14:paraId="482FBB48">
            <w:pPr>
              <w:keepNext w:val="0"/>
              <w:keepLines w:val="0"/>
              <w:pageBreakBefore w:val="0"/>
              <w:kinsoku/>
              <w:wordWrap/>
              <w:overflowPunct/>
              <w:topLinePunct w:val="0"/>
              <w:autoSpaceDE/>
              <w:autoSpaceDN/>
              <w:bidi w:val="0"/>
              <w:adjustRightInd/>
              <w:snapToGrid/>
              <w:ind w:firstLine="420" w:firstLineChars="200"/>
            </w:pPr>
            <w:r>
              <w:rPr>
                <w:rFonts w:hint="eastAsia"/>
              </w:rPr>
              <w:t>4.画板内置动物、植物、卡通、交通等多种类型贴纸素材；可对任意贴纸进行锁定、置顶、置底、印章、删除、放大、缩小、旋转等操作；卡通类贴纸素材数量不少于40种，动物类贴纸素材不少于80种。提供盖有CMA或CNAS标识的检测报告。</w:t>
            </w:r>
          </w:p>
          <w:p w14:paraId="19DCCE19">
            <w:pPr>
              <w:keepNext w:val="0"/>
              <w:keepLines w:val="0"/>
              <w:pageBreakBefore w:val="0"/>
              <w:kinsoku/>
              <w:wordWrap/>
              <w:overflowPunct/>
              <w:topLinePunct w:val="0"/>
              <w:autoSpaceDE/>
              <w:autoSpaceDN/>
              <w:bidi w:val="0"/>
              <w:adjustRightInd/>
              <w:snapToGrid/>
              <w:ind w:firstLine="420" w:firstLineChars="200"/>
            </w:pPr>
            <w:r>
              <w:rPr>
                <w:rFonts w:hint="eastAsia"/>
              </w:rPr>
              <w:t>5.画板支持输入文字，并可根据情景需要设定文字颜色及大小，颜色选择不少于35种；内置触控键盘和文本框；编辑完成的文字可以进行二次编辑、删除、旋转、放大、缩小等操作。</w:t>
            </w:r>
          </w:p>
          <w:p w14:paraId="71FA4B91">
            <w:pPr>
              <w:keepNext w:val="0"/>
              <w:keepLines w:val="0"/>
              <w:pageBreakBefore w:val="0"/>
              <w:kinsoku/>
              <w:wordWrap/>
              <w:overflowPunct/>
              <w:topLinePunct w:val="0"/>
              <w:autoSpaceDE/>
              <w:autoSpaceDN/>
              <w:bidi w:val="0"/>
              <w:adjustRightInd/>
              <w:snapToGrid/>
              <w:ind w:firstLine="420" w:firstLineChars="200"/>
            </w:pPr>
            <w:r>
              <w:rPr>
                <w:rFonts w:hint="eastAsia"/>
              </w:rPr>
              <w:t>6.画板绘画背景支持纯色、风景、节日等多种背景模板类型，教师可根据需要自由更换。</w:t>
            </w:r>
          </w:p>
          <w:p w14:paraId="42A5C1A7">
            <w:pPr>
              <w:keepNext w:val="0"/>
              <w:keepLines w:val="0"/>
              <w:pageBreakBefore w:val="0"/>
              <w:kinsoku/>
              <w:wordWrap/>
              <w:overflowPunct/>
              <w:topLinePunct w:val="0"/>
              <w:autoSpaceDE/>
              <w:autoSpaceDN/>
              <w:bidi w:val="0"/>
              <w:adjustRightInd/>
              <w:snapToGrid/>
              <w:ind w:firstLine="420" w:firstLineChars="200"/>
            </w:pPr>
            <w:r>
              <w:rPr>
                <w:rFonts w:hint="eastAsia"/>
              </w:rPr>
              <w:t>7.画板具有照片册功能，可对绘画内容支持保存、编辑、删除、单张导出以及批量导出等操作；导出路径可自由设置。</w:t>
            </w:r>
          </w:p>
          <w:p w14:paraId="0B982000">
            <w:pPr>
              <w:keepNext w:val="0"/>
              <w:keepLines w:val="0"/>
              <w:pageBreakBefore w:val="0"/>
              <w:kinsoku/>
              <w:wordWrap/>
              <w:overflowPunct/>
              <w:topLinePunct w:val="0"/>
              <w:autoSpaceDE/>
              <w:autoSpaceDN/>
              <w:bidi w:val="0"/>
              <w:adjustRightInd/>
              <w:snapToGrid/>
              <w:ind w:firstLine="420" w:firstLineChars="200"/>
            </w:pPr>
            <w:r>
              <w:rPr>
                <w:rFonts w:hint="eastAsia"/>
              </w:rPr>
              <w:t>8.画板软件支持十点触摸，十指同时涂画出十条笔迹。</w:t>
            </w:r>
          </w:p>
          <w:p w14:paraId="281F65E1">
            <w:pPr>
              <w:keepNext w:val="0"/>
              <w:keepLines w:val="0"/>
              <w:pageBreakBefore w:val="0"/>
              <w:kinsoku/>
              <w:wordWrap/>
              <w:overflowPunct/>
              <w:topLinePunct w:val="0"/>
              <w:autoSpaceDE/>
              <w:autoSpaceDN/>
              <w:bidi w:val="0"/>
              <w:adjustRightInd/>
              <w:snapToGrid/>
              <w:ind w:firstLine="420" w:firstLineChars="200"/>
            </w:pPr>
            <w:r>
              <w:rPr>
                <w:rFonts w:hint="eastAsia"/>
              </w:rPr>
              <w:t>9.画板具备小助手快捷方式，可在任意界面进行涂画标注、截屏、一键切换、退出后台运行等操作，截图画面可以直接在画板内进行再次编辑；标注笔迹颜色及粗细可调整。提供盖有CMA或CNAS标识的检测报告。</w:t>
            </w:r>
          </w:p>
          <w:p w14:paraId="1A448520">
            <w:pPr>
              <w:keepNext w:val="0"/>
              <w:keepLines w:val="0"/>
              <w:pageBreakBefore w:val="0"/>
              <w:kinsoku/>
              <w:wordWrap/>
              <w:overflowPunct/>
              <w:topLinePunct w:val="0"/>
              <w:autoSpaceDE/>
              <w:autoSpaceDN/>
              <w:bidi w:val="0"/>
              <w:adjustRightInd/>
              <w:snapToGrid/>
              <w:ind w:firstLine="420" w:firstLineChars="200"/>
            </w:pPr>
            <w:r>
              <w:rPr>
                <w:rFonts w:hint="eastAsia"/>
              </w:rPr>
              <w:t>10.画板支持导入其他路径图片功能，图片导入到画板后，可对该图片锁定、置顶、置底、镜像、印章、删除、放大、缩小、旋转等操作；撤销及反撤销功能，有效次数不少于6次；新建功能，若画板区域有内容则提示保存；若是没有内容，则直接新建空白画板。</w:t>
            </w:r>
          </w:p>
          <w:p w14:paraId="547E5253">
            <w:pPr>
              <w:keepNext w:val="0"/>
              <w:keepLines w:val="0"/>
              <w:pageBreakBefore w:val="0"/>
              <w:kinsoku/>
              <w:wordWrap/>
              <w:overflowPunct/>
              <w:topLinePunct w:val="0"/>
              <w:autoSpaceDE/>
              <w:autoSpaceDN/>
              <w:bidi w:val="0"/>
              <w:adjustRightInd/>
              <w:snapToGrid/>
              <w:ind w:firstLine="420" w:firstLineChars="200"/>
            </w:pPr>
            <w:r>
              <w:rPr>
                <w:rFonts w:hint="eastAsia"/>
              </w:rPr>
              <w:t>11.画板软件在国家版权局已进行版权登记，提供计算机软件著作权登记证书。</w:t>
            </w:r>
          </w:p>
          <w:p w14:paraId="613414D4">
            <w:pPr>
              <w:keepNext w:val="0"/>
              <w:keepLines w:val="0"/>
              <w:pageBreakBefore w:val="0"/>
              <w:kinsoku/>
              <w:wordWrap/>
              <w:overflowPunct/>
              <w:topLinePunct w:val="0"/>
              <w:autoSpaceDE/>
              <w:autoSpaceDN/>
              <w:bidi w:val="0"/>
              <w:adjustRightInd/>
              <w:snapToGrid/>
              <w:ind w:firstLine="420" w:firstLineChars="200"/>
            </w:pPr>
            <w:r>
              <w:rPr>
                <w:rFonts w:hint="eastAsia"/>
              </w:rPr>
              <w:t>12.画板软件通过国家认可的软件测试机构测试，提供有CMA或CNAS标识的测试报告。</w:t>
            </w:r>
          </w:p>
          <w:p w14:paraId="652F738F">
            <w:pPr>
              <w:keepNext w:val="0"/>
              <w:keepLines w:val="0"/>
              <w:pageBreakBefore w:val="0"/>
              <w:kinsoku/>
              <w:wordWrap/>
              <w:overflowPunct/>
              <w:topLinePunct w:val="0"/>
              <w:autoSpaceDE/>
              <w:autoSpaceDN/>
              <w:bidi w:val="0"/>
              <w:adjustRightInd/>
              <w:snapToGrid/>
              <w:ind w:firstLine="422" w:firstLineChars="200"/>
            </w:pPr>
            <w:r>
              <w:rPr>
                <w:rFonts w:hint="eastAsia"/>
                <w:b/>
                <w:bCs/>
                <w:lang w:val="en-US" w:eastAsia="zh-CN"/>
              </w:rPr>
              <w:t>六、</w:t>
            </w:r>
            <w:r>
              <w:rPr>
                <w:rFonts w:hint="eastAsia"/>
                <w:b/>
                <w:bCs/>
              </w:rPr>
              <w:t>ops</w:t>
            </w:r>
            <w:r>
              <w:rPr>
                <w:rFonts w:hint="eastAsia"/>
              </w:rPr>
              <w:t>：</w:t>
            </w:r>
          </w:p>
          <w:p w14:paraId="30410F05">
            <w:pPr>
              <w:keepNext w:val="0"/>
              <w:keepLines w:val="0"/>
              <w:pageBreakBefore w:val="0"/>
              <w:kinsoku/>
              <w:wordWrap/>
              <w:overflowPunct/>
              <w:topLinePunct w:val="0"/>
              <w:autoSpaceDE/>
              <w:autoSpaceDN/>
              <w:bidi w:val="0"/>
              <w:adjustRightInd/>
              <w:snapToGrid/>
              <w:ind w:firstLine="420" w:firstLineChars="200"/>
            </w:pPr>
            <w:r>
              <w:rPr>
                <w:rFonts w:hint="eastAsia"/>
              </w:rPr>
              <w:t>1.CPU：</w:t>
            </w:r>
            <w:r>
              <w:rPr>
                <w:rFonts w:hint="eastAsia" w:ascii="宋体" w:hAnsi="宋体" w:eastAsia="宋体" w:cs="宋体"/>
                <w:kern w:val="0"/>
                <w:sz w:val="22"/>
                <w:szCs w:val="22"/>
                <w:lang w:bidi="ar"/>
              </w:rPr>
              <w:t>≧2.0Ghz,8核12线程</w:t>
            </w:r>
            <w:r>
              <w:rPr>
                <w:rFonts w:hint="eastAsia"/>
              </w:rPr>
              <w:t>及以上平台处理器。</w:t>
            </w:r>
          </w:p>
          <w:p w14:paraId="6618AACD">
            <w:pPr>
              <w:keepNext w:val="0"/>
              <w:keepLines w:val="0"/>
              <w:pageBreakBefore w:val="0"/>
              <w:kinsoku/>
              <w:wordWrap/>
              <w:overflowPunct/>
              <w:topLinePunct w:val="0"/>
              <w:autoSpaceDE/>
              <w:autoSpaceDN/>
              <w:bidi w:val="0"/>
              <w:adjustRightInd/>
              <w:snapToGrid/>
              <w:ind w:firstLine="420" w:firstLineChars="200"/>
            </w:pPr>
            <w:r>
              <w:rPr>
                <w:rFonts w:hint="eastAsia"/>
                <w:lang w:val="en-US" w:eastAsia="zh-CN"/>
              </w:rPr>
              <w:t>2</w:t>
            </w:r>
            <w:r>
              <w:rPr>
                <w:rFonts w:hint="eastAsia"/>
              </w:rPr>
              <w:t>.内存：≥16G DDR4。</w:t>
            </w:r>
          </w:p>
          <w:p w14:paraId="1785EB74">
            <w:pPr>
              <w:keepNext w:val="0"/>
              <w:keepLines w:val="0"/>
              <w:pageBreakBefore w:val="0"/>
              <w:kinsoku/>
              <w:wordWrap/>
              <w:overflowPunct/>
              <w:topLinePunct w:val="0"/>
              <w:autoSpaceDE/>
              <w:autoSpaceDN/>
              <w:bidi w:val="0"/>
              <w:adjustRightInd/>
              <w:snapToGrid/>
              <w:ind w:firstLine="420" w:firstLineChars="200"/>
            </w:pPr>
            <w:r>
              <w:rPr>
                <w:rFonts w:hint="eastAsia"/>
                <w:lang w:val="en-US" w:eastAsia="zh-CN"/>
              </w:rPr>
              <w:t>3</w:t>
            </w:r>
            <w:r>
              <w:rPr>
                <w:rFonts w:hint="eastAsia"/>
              </w:rPr>
              <w:t>.硬盘：≥512G SSD固态硬盘。</w:t>
            </w:r>
          </w:p>
          <w:p w14:paraId="53DC619F">
            <w:pPr>
              <w:keepNext w:val="0"/>
              <w:keepLines w:val="0"/>
              <w:pageBreakBefore w:val="0"/>
              <w:kinsoku/>
              <w:wordWrap/>
              <w:overflowPunct/>
              <w:topLinePunct w:val="0"/>
              <w:autoSpaceDE/>
              <w:autoSpaceDN/>
              <w:bidi w:val="0"/>
              <w:adjustRightInd/>
              <w:snapToGrid/>
              <w:ind w:firstLine="420" w:firstLineChars="200"/>
            </w:pPr>
            <w:r>
              <w:rPr>
                <w:rFonts w:hint="eastAsia"/>
                <w:lang w:val="en-US" w:eastAsia="zh-CN"/>
              </w:rPr>
              <w:t>4</w:t>
            </w:r>
            <w:r>
              <w:rPr>
                <w:rFonts w:hint="eastAsia"/>
              </w:rPr>
              <w:t>.接口：整机非外扩展具备3个USB接口；具有独立非外扩展的视频输出接口：≥1路HDMI等。</w:t>
            </w:r>
          </w:p>
          <w:p w14:paraId="281AB9C9">
            <w:pPr>
              <w:keepNext w:val="0"/>
              <w:keepLines w:val="0"/>
              <w:pageBreakBefore w:val="0"/>
              <w:kinsoku/>
              <w:wordWrap/>
              <w:overflowPunct/>
              <w:topLinePunct w:val="0"/>
              <w:autoSpaceDE/>
              <w:autoSpaceDN/>
              <w:bidi w:val="0"/>
              <w:adjustRightInd/>
              <w:snapToGrid/>
              <w:ind w:firstLine="420" w:firstLineChars="200"/>
              <w:rPr>
                <w:rFonts w:hint="eastAsia" w:ascii="宋体" w:hAnsi="宋体" w:eastAsia="宋体" w:cs="宋体"/>
                <w:i w:val="0"/>
                <w:color w:val="auto"/>
                <w:kern w:val="2"/>
                <w:sz w:val="22"/>
                <w:szCs w:val="22"/>
                <w:u w:val="none"/>
                <w:lang w:val="en-US" w:eastAsia="zh-CN" w:bidi="ar-SA"/>
              </w:rPr>
            </w:pPr>
            <w:r>
              <w:rPr>
                <w:rFonts w:hint="eastAsia"/>
                <w:lang w:val="en-US" w:eastAsia="zh-CN"/>
              </w:rPr>
              <w:t>5</w:t>
            </w:r>
            <w:r>
              <w:rPr>
                <w:rFonts w:hint="eastAsia"/>
              </w:rPr>
              <w:t>.为保证设备运行的稳定性和兼容性，智能交互设备须与内置电脑为同一品牌。</w:t>
            </w:r>
          </w:p>
        </w:tc>
      </w:tr>
      <w:tr w14:paraId="1EAD1F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91" w:hRule="atLeast"/>
        </w:trPr>
        <w:tc>
          <w:tcPr>
            <w:tcW w:w="8458" w:type="dxa"/>
            <w:gridSpan w:val="6"/>
            <w:shd w:val="clear" w:color="auto" w:fill="auto"/>
            <w:vAlign w:val="center"/>
          </w:tcPr>
          <w:p w14:paraId="53E6C994">
            <w:pPr>
              <w:keepNext w:val="0"/>
              <w:keepLines w:val="0"/>
              <w:widowControl/>
              <w:suppressLineNumbers w:val="0"/>
              <w:jc w:val="left"/>
              <w:textAlignment w:val="center"/>
              <w:rPr>
                <w:rFonts w:hint="eastAsia" w:ascii="宋体" w:hAnsi="宋体" w:eastAsia="宋体" w:cs="宋体"/>
                <w:b/>
                <w:i w:val="0"/>
                <w:color w:val="auto"/>
                <w:sz w:val="22"/>
                <w:szCs w:val="22"/>
                <w:u w:val="none"/>
              </w:rPr>
            </w:pPr>
            <w:r>
              <w:rPr>
                <w:rStyle w:val="24"/>
                <w:rFonts w:hint="eastAsia" w:ascii="黑体" w:hAnsi="黑体" w:eastAsia="黑体" w:cs="黑体"/>
                <w:b/>
                <w:bCs w:val="0"/>
                <w:color w:val="auto"/>
                <w:sz w:val="32"/>
                <w:szCs w:val="32"/>
                <w:lang w:val="en-US" w:eastAsia="zh-CN" w:bidi="ar"/>
              </w:rPr>
              <w:t>二、评标办法</w:t>
            </w:r>
          </w:p>
        </w:tc>
      </w:tr>
      <w:tr w14:paraId="2B58B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19" w:hRule="atLeast"/>
        </w:trPr>
        <w:tc>
          <w:tcPr>
            <w:tcW w:w="8458" w:type="dxa"/>
            <w:gridSpan w:val="6"/>
            <w:shd w:val="clear" w:color="auto" w:fill="auto"/>
            <w:vAlign w:val="center"/>
          </w:tcPr>
          <w:p w14:paraId="12DF9E01">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Theme="majorEastAsia" w:hAnsiTheme="majorEastAsia" w:eastAsiaTheme="majorEastAsia" w:cstheme="majorEastAsia"/>
                <w:b/>
                <w:bCs/>
                <w:i/>
                <w:iCs/>
                <w:caps w:val="0"/>
                <w:color w:val="auto"/>
                <w:spacing w:val="0"/>
                <w:sz w:val="21"/>
                <w:szCs w:val="21"/>
                <w:u w:val="single"/>
                <w:shd w:val="clear" w:fill="FFFFFF"/>
              </w:rPr>
            </w:pPr>
            <w:r>
              <w:rPr>
                <w:rFonts w:hint="eastAsia" w:ascii="宋体" w:hAnsi="宋体" w:eastAsia="宋体" w:cs="宋体"/>
                <w:i w:val="0"/>
                <w:caps w:val="0"/>
                <w:color w:val="auto"/>
                <w:spacing w:val="0"/>
                <w:sz w:val="24"/>
                <w:szCs w:val="24"/>
                <w:u w:val="none"/>
                <w:shd w:val="clear" w:fill="FFFFFF"/>
                <w:lang w:eastAsia="zh-CN"/>
              </w:rPr>
              <w:t>☑</w:t>
            </w:r>
            <w:r>
              <w:rPr>
                <w:rFonts w:hint="eastAsia" w:asciiTheme="majorEastAsia" w:hAnsiTheme="majorEastAsia" w:eastAsiaTheme="majorEastAsia" w:cstheme="majorEastAsia"/>
                <w:i w:val="0"/>
                <w:caps w:val="0"/>
                <w:color w:val="auto"/>
                <w:spacing w:val="0"/>
                <w:sz w:val="28"/>
                <w:szCs w:val="28"/>
                <w:u w:val="none"/>
                <w:shd w:val="clear" w:fill="FFFFFF"/>
              </w:rPr>
              <w:t>最低评标价法</w:t>
            </w:r>
          </w:p>
          <w:p w14:paraId="0C63C018">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r>
    </w:tbl>
    <w:p w14:paraId="743DBF48">
      <w:pPr>
        <w:jc w:val="both"/>
        <w:rPr>
          <w:rFonts w:hint="eastAsia" w:asciiTheme="majorAscii"/>
          <w:b/>
          <w:bCs/>
          <w:color w:val="auto"/>
          <w:sz w:val="24"/>
          <w:szCs w:val="24"/>
          <w:lang w:val="en-US" w:eastAsia="zh-CN"/>
        </w:rPr>
      </w:pPr>
    </w:p>
    <w:p w14:paraId="5C1E3F64">
      <w:pPr>
        <w:jc w:val="both"/>
        <w:rPr>
          <w:rFonts w:hint="eastAsia" w:asciiTheme="majorAscii"/>
          <w:b/>
          <w:bCs/>
          <w:color w:val="auto"/>
          <w:sz w:val="24"/>
          <w:szCs w:val="24"/>
          <w:lang w:val="en-US" w:eastAsia="zh-CN"/>
        </w:rPr>
      </w:pPr>
    </w:p>
    <w:p w14:paraId="7CAF6B28">
      <w:pPr>
        <w:jc w:val="both"/>
        <w:rPr>
          <w:rFonts w:hint="eastAsia" w:asciiTheme="majorAscii"/>
          <w:b/>
          <w:bCs/>
          <w:color w:val="auto"/>
          <w:sz w:val="24"/>
          <w:szCs w:val="24"/>
          <w:lang w:val="en-US" w:eastAsia="zh-CN"/>
        </w:rPr>
      </w:pPr>
    </w:p>
    <w:p w14:paraId="7331ED87">
      <w:pPr>
        <w:jc w:val="both"/>
        <w:rPr>
          <w:rFonts w:hint="eastAsia" w:asciiTheme="majorAscii"/>
          <w:b/>
          <w:bCs/>
          <w:color w:val="auto"/>
          <w:sz w:val="24"/>
          <w:szCs w:val="24"/>
          <w:lang w:val="en-US" w:eastAsia="zh-CN"/>
        </w:rPr>
        <w:sectPr>
          <w:footerReference r:id="rId3" w:type="default"/>
          <w:pgSz w:w="11906" w:h="16838"/>
          <w:pgMar w:top="1440" w:right="1800" w:bottom="1440" w:left="1800" w:header="851" w:footer="992" w:gutter="0"/>
          <w:cols w:space="425" w:num="1"/>
          <w:docGrid w:type="lines" w:linePitch="312" w:charSpace="0"/>
        </w:sectPr>
      </w:pPr>
    </w:p>
    <w:tbl>
      <w:tblPr>
        <w:tblStyle w:val="14"/>
        <w:tblW w:w="138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16"/>
        <w:gridCol w:w="1297"/>
        <w:gridCol w:w="2104"/>
        <w:gridCol w:w="672"/>
        <w:gridCol w:w="763"/>
        <w:gridCol w:w="1392"/>
        <w:gridCol w:w="2191"/>
        <w:gridCol w:w="1792"/>
        <w:gridCol w:w="853"/>
        <w:gridCol w:w="949"/>
        <w:gridCol w:w="1363"/>
      </w:tblGrid>
      <w:tr w14:paraId="468C8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3892" w:type="dxa"/>
            <w:gridSpan w:val="11"/>
            <w:tcBorders>
              <w:top w:val="nil"/>
              <w:left w:val="nil"/>
              <w:bottom w:val="nil"/>
              <w:right w:val="nil"/>
            </w:tcBorders>
            <w:shd w:val="clear" w:color="auto" w:fill="auto"/>
            <w:vAlign w:val="center"/>
          </w:tcPr>
          <w:p w14:paraId="298168DB">
            <w:pPr>
              <w:keepNext w:val="0"/>
              <w:keepLines w:val="0"/>
              <w:widowControl/>
              <w:suppressLineNumbers w:val="0"/>
              <w:jc w:val="both"/>
              <w:textAlignment w:val="center"/>
              <w:rPr>
                <w:rFonts w:hint="eastAsia" w:ascii="仿宋_GB2312" w:hAnsi="仿宋_GB2312" w:eastAsia="仿宋_GB2312" w:cs="仿宋_GB2312"/>
                <w:b/>
                <w:bCs/>
                <w:sz w:val="28"/>
                <w:szCs w:val="28"/>
                <w:u w:val="single"/>
                <w:lang w:val="en-US" w:eastAsia="zh-CN"/>
              </w:rPr>
            </w:pPr>
            <w:r>
              <w:rPr>
                <w:rFonts w:hint="eastAsia" w:ascii="仿宋_GB2312" w:hAnsi="仿宋_GB2312" w:eastAsia="仿宋_GB2312" w:cs="仿宋_GB2312"/>
                <w:b/>
                <w:bCs/>
                <w:sz w:val="28"/>
                <w:szCs w:val="28"/>
                <w:u w:val="single"/>
                <w:lang w:val="en-US" w:eastAsia="zh-CN"/>
              </w:rPr>
              <w:t>注：此附件2货物类报价单，采购人可参考使用！采购人发布竞价信息时可要求供应商提交报价时，同时提供此详细报价表。</w:t>
            </w:r>
          </w:p>
          <w:p w14:paraId="2195D23B">
            <w:pPr>
              <w:keepNext w:val="0"/>
              <w:keepLines w:val="0"/>
              <w:widowControl/>
              <w:suppressLineNumbers w:val="0"/>
              <w:jc w:val="both"/>
              <w:textAlignment w:val="center"/>
              <w:rPr>
                <w:rFonts w:hint="default" w:ascii="黑体" w:hAnsi="黑体" w:eastAsia="黑体" w:cs="黑体"/>
                <w:b/>
                <w:bCs/>
                <w:sz w:val="21"/>
                <w:szCs w:val="21"/>
                <w:u w:val="none"/>
                <w:lang w:val="en-US" w:eastAsia="zh-CN"/>
              </w:rPr>
            </w:pPr>
            <w:r>
              <w:rPr>
                <w:rFonts w:hint="eastAsia" w:ascii="黑体" w:hAnsi="黑体" w:eastAsia="黑体" w:cs="黑体"/>
                <w:b/>
                <w:bCs/>
                <w:sz w:val="21"/>
                <w:szCs w:val="21"/>
                <w:u w:val="none"/>
                <w:lang w:val="en-US" w:eastAsia="zh-CN"/>
              </w:rPr>
              <w:t>附件：2</w:t>
            </w:r>
          </w:p>
          <w:p w14:paraId="6115E514">
            <w:pPr>
              <w:keepNext w:val="0"/>
              <w:keepLines w:val="0"/>
              <w:widowControl/>
              <w:suppressLineNumbers w:val="0"/>
              <w:jc w:val="center"/>
              <w:textAlignment w:val="center"/>
              <w:rPr>
                <w:rFonts w:ascii="黑体" w:hAnsi="宋体" w:eastAsia="黑体" w:cs="黑体"/>
                <w:i w:val="0"/>
                <w:iCs w:val="0"/>
                <w:color w:val="000000"/>
                <w:sz w:val="44"/>
                <w:szCs w:val="44"/>
                <w:u w:val="none"/>
              </w:rPr>
            </w:pPr>
            <w:r>
              <w:rPr>
                <w:rFonts w:hint="eastAsia" w:ascii="黑体" w:hAnsi="宋体" w:eastAsia="黑体" w:cs="黑体"/>
                <w:i w:val="0"/>
                <w:iCs w:val="0"/>
                <w:color w:val="000000"/>
                <w:kern w:val="0"/>
                <w:sz w:val="44"/>
                <w:szCs w:val="44"/>
                <w:u w:val="none"/>
                <w:lang w:val="en-US" w:eastAsia="zh-CN" w:bidi="ar"/>
              </w:rPr>
              <w:t>XXX单位XXX项目报价单（货物类）</w:t>
            </w:r>
          </w:p>
        </w:tc>
      </w:tr>
      <w:tr w14:paraId="45CF3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D7E6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号</w:t>
            </w:r>
          </w:p>
        </w:tc>
        <w:tc>
          <w:tcPr>
            <w:tcW w:w="12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2C41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标的名称</w:t>
            </w:r>
          </w:p>
        </w:tc>
        <w:tc>
          <w:tcPr>
            <w:tcW w:w="21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C8BB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招标参数及规格要求</w:t>
            </w:r>
          </w:p>
        </w:tc>
        <w:tc>
          <w:tcPr>
            <w:tcW w:w="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E144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计量</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单位</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CB02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ED0B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投标产品</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品牌</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D24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投标产品</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型号/规格</w:t>
            </w:r>
          </w:p>
        </w:tc>
        <w:tc>
          <w:tcPr>
            <w:tcW w:w="1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A487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制造商名称</w:t>
            </w:r>
          </w:p>
        </w:tc>
        <w:tc>
          <w:tcPr>
            <w:tcW w:w="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91184">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报价</w:t>
            </w:r>
          </w:p>
          <w:p w14:paraId="4DFA757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（元）</w:t>
            </w:r>
          </w:p>
        </w:tc>
        <w:tc>
          <w:tcPr>
            <w:tcW w:w="9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4A01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（元）</w:t>
            </w:r>
          </w:p>
        </w:tc>
        <w:tc>
          <w:tcPr>
            <w:tcW w:w="1363" w:type="dxa"/>
            <w:tcBorders>
              <w:top w:val="single" w:color="000000" w:sz="4" w:space="0"/>
              <w:left w:val="nil"/>
              <w:bottom w:val="single" w:color="000000" w:sz="4" w:space="0"/>
              <w:right w:val="single" w:color="000000" w:sz="4" w:space="0"/>
            </w:tcBorders>
            <w:shd w:val="clear" w:color="auto" w:fill="auto"/>
            <w:vAlign w:val="center"/>
          </w:tcPr>
          <w:p w14:paraId="1E6CCD5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交货期</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（日历日）</w:t>
            </w:r>
          </w:p>
        </w:tc>
      </w:tr>
      <w:tr w14:paraId="1D5F2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D7370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9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419DEB">
            <w:pPr>
              <w:rPr>
                <w:rFonts w:hint="eastAsia" w:ascii="宋体" w:hAnsi="宋体" w:eastAsia="宋体" w:cs="宋体"/>
                <w:i w:val="0"/>
                <w:iCs w:val="0"/>
                <w:color w:val="000000"/>
                <w:sz w:val="22"/>
                <w:szCs w:val="22"/>
                <w:u w:val="none"/>
              </w:rPr>
            </w:pPr>
          </w:p>
        </w:tc>
        <w:tc>
          <w:tcPr>
            <w:tcW w:w="210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C8F185">
            <w:pPr>
              <w:rPr>
                <w:rFonts w:hint="eastAsia" w:ascii="宋体" w:hAnsi="宋体" w:eastAsia="宋体" w:cs="宋体"/>
                <w:i w:val="0"/>
                <w:iCs w:val="0"/>
                <w:color w:val="000000"/>
                <w:sz w:val="22"/>
                <w:szCs w:val="22"/>
                <w:u w:val="none"/>
              </w:rPr>
            </w:pPr>
          </w:p>
        </w:tc>
        <w:tc>
          <w:tcPr>
            <w:tcW w:w="6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D33E9C">
            <w:pPr>
              <w:rPr>
                <w:rFonts w:hint="eastAsia" w:ascii="宋体" w:hAnsi="宋体" w:eastAsia="宋体" w:cs="宋体"/>
                <w:i w:val="0"/>
                <w:iCs w:val="0"/>
                <w:color w:val="000000"/>
                <w:sz w:val="22"/>
                <w:szCs w:val="22"/>
                <w:u w:val="none"/>
              </w:rPr>
            </w:pPr>
          </w:p>
        </w:tc>
        <w:tc>
          <w:tcPr>
            <w:tcW w:w="7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253DE7">
            <w:pPr>
              <w:rPr>
                <w:rFonts w:hint="eastAsia" w:ascii="宋体" w:hAnsi="宋体" w:eastAsia="宋体" w:cs="宋体"/>
                <w:i w:val="0"/>
                <w:iCs w:val="0"/>
                <w:color w:val="000000"/>
                <w:sz w:val="22"/>
                <w:szCs w:val="22"/>
                <w:u w:val="none"/>
              </w:rPr>
            </w:pPr>
          </w:p>
        </w:tc>
        <w:tc>
          <w:tcPr>
            <w:tcW w:w="13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D24B56">
            <w:pPr>
              <w:rPr>
                <w:rFonts w:hint="eastAsia" w:ascii="宋体" w:hAnsi="宋体" w:eastAsia="宋体" w:cs="宋体"/>
                <w:i w:val="0"/>
                <w:iCs w:val="0"/>
                <w:color w:val="000000"/>
                <w:sz w:val="22"/>
                <w:szCs w:val="22"/>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83705F">
            <w:pPr>
              <w:rPr>
                <w:rFonts w:hint="eastAsia" w:ascii="宋体" w:hAnsi="宋体" w:eastAsia="宋体" w:cs="宋体"/>
                <w:i w:val="0"/>
                <w:iCs w:val="0"/>
                <w:color w:val="000000"/>
                <w:sz w:val="22"/>
                <w:szCs w:val="22"/>
                <w:u w:val="none"/>
              </w:rPr>
            </w:pPr>
          </w:p>
        </w:tc>
        <w:tc>
          <w:tcPr>
            <w:tcW w:w="17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ECE355">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B8958B">
            <w:pPr>
              <w:rPr>
                <w:rFonts w:hint="eastAsia" w:ascii="宋体" w:hAnsi="宋体" w:eastAsia="宋体" w:cs="宋体"/>
                <w:i w:val="0"/>
                <w:iCs w:val="0"/>
                <w:color w:val="000000"/>
                <w:sz w:val="22"/>
                <w:szCs w:val="22"/>
                <w:u w:val="none"/>
              </w:rPr>
            </w:pPr>
          </w:p>
        </w:tc>
        <w:tc>
          <w:tcPr>
            <w:tcW w:w="94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3AE804">
            <w:pPr>
              <w:rPr>
                <w:rFonts w:hint="eastAsia" w:ascii="宋体" w:hAnsi="宋体" w:eastAsia="宋体" w:cs="宋体"/>
                <w:i w:val="0"/>
                <w:iCs w:val="0"/>
                <w:color w:val="000000"/>
                <w:sz w:val="22"/>
                <w:szCs w:val="22"/>
                <w:u w:val="none"/>
              </w:rPr>
            </w:pPr>
          </w:p>
        </w:tc>
        <w:tc>
          <w:tcPr>
            <w:tcW w:w="1363" w:type="dxa"/>
            <w:vMerge w:val="restart"/>
            <w:tcBorders>
              <w:top w:val="single" w:color="000000" w:sz="4" w:space="0"/>
              <w:left w:val="nil"/>
              <w:bottom w:val="single" w:color="000000" w:sz="4" w:space="0"/>
              <w:right w:val="single" w:color="000000" w:sz="4" w:space="0"/>
            </w:tcBorders>
            <w:shd w:val="clear" w:color="auto" w:fill="FFFFFF"/>
            <w:vAlign w:val="center"/>
          </w:tcPr>
          <w:p w14:paraId="2E093A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自合同签订之日起XX日</w:t>
            </w:r>
          </w:p>
        </w:tc>
      </w:tr>
      <w:tr w14:paraId="2D20E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224F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29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B33215">
            <w:pPr>
              <w:rPr>
                <w:rFonts w:hint="eastAsia" w:ascii="宋体" w:hAnsi="宋体" w:eastAsia="宋体" w:cs="宋体"/>
                <w:i w:val="0"/>
                <w:iCs w:val="0"/>
                <w:color w:val="000000"/>
                <w:sz w:val="22"/>
                <w:szCs w:val="22"/>
                <w:u w:val="none"/>
              </w:rPr>
            </w:pPr>
          </w:p>
        </w:tc>
        <w:tc>
          <w:tcPr>
            <w:tcW w:w="210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8045AA">
            <w:pPr>
              <w:rPr>
                <w:rFonts w:hint="eastAsia" w:ascii="宋体" w:hAnsi="宋体" w:eastAsia="宋体" w:cs="宋体"/>
                <w:i w:val="0"/>
                <w:iCs w:val="0"/>
                <w:color w:val="000000"/>
                <w:sz w:val="22"/>
                <w:szCs w:val="22"/>
                <w:u w:val="none"/>
              </w:rPr>
            </w:pPr>
          </w:p>
        </w:tc>
        <w:tc>
          <w:tcPr>
            <w:tcW w:w="6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D462CC">
            <w:pPr>
              <w:rPr>
                <w:rFonts w:hint="eastAsia" w:ascii="宋体" w:hAnsi="宋体" w:eastAsia="宋体" w:cs="宋体"/>
                <w:i w:val="0"/>
                <w:iCs w:val="0"/>
                <w:color w:val="000000"/>
                <w:sz w:val="22"/>
                <w:szCs w:val="22"/>
                <w:u w:val="none"/>
              </w:rPr>
            </w:pPr>
          </w:p>
        </w:tc>
        <w:tc>
          <w:tcPr>
            <w:tcW w:w="7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53DDDD">
            <w:pPr>
              <w:rPr>
                <w:rFonts w:hint="eastAsia" w:ascii="宋体" w:hAnsi="宋体" w:eastAsia="宋体" w:cs="宋体"/>
                <w:i w:val="0"/>
                <w:iCs w:val="0"/>
                <w:color w:val="000000"/>
                <w:sz w:val="22"/>
                <w:szCs w:val="22"/>
                <w:u w:val="none"/>
              </w:rPr>
            </w:pPr>
          </w:p>
        </w:tc>
        <w:tc>
          <w:tcPr>
            <w:tcW w:w="13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DF4775">
            <w:pPr>
              <w:rPr>
                <w:rFonts w:hint="eastAsia" w:ascii="宋体" w:hAnsi="宋体" w:eastAsia="宋体" w:cs="宋体"/>
                <w:i w:val="0"/>
                <w:iCs w:val="0"/>
                <w:color w:val="000000"/>
                <w:sz w:val="22"/>
                <w:szCs w:val="22"/>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46BC03">
            <w:pPr>
              <w:rPr>
                <w:rFonts w:hint="eastAsia" w:ascii="宋体" w:hAnsi="宋体" w:eastAsia="宋体" w:cs="宋体"/>
                <w:i w:val="0"/>
                <w:iCs w:val="0"/>
                <w:color w:val="000000"/>
                <w:sz w:val="22"/>
                <w:szCs w:val="22"/>
                <w:u w:val="none"/>
              </w:rPr>
            </w:pPr>
          </w:p>
        </w:tc>
        <w:tc>
          <w:tcPr>
            <w:tcW w:w="17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85E9F8">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E2221D">
            <w:pPr>
              <w:rPr>
                <w:rFonts w:hint="eastAsia" w:ascii="宋体" w:hAnsi="宋体" w:eastAsia="宋体" w:cs="宋体"/>
                <w:i w:val="0"/>
                <w:iCs w:val="0"/>
                <w:color w:val="000000"/>
                <w:sz w:val="22"/>
                <w:szCs w:val="22"/>
                <w:u w:val="none"/>
              </w:rPr>
            </w:pPr>
          </w:p>
        </w:tc>
        <w:tc>
          <w:tcPr>
            <w:tcW w:w="94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E68139">
            <w:pPr>
              <w:rPr>
                <w:rFonts w:hint="eastAsia" w:ascii="宋体" w:hAnsi="宋体" w:eastAsia="宋体" w:cs="宋体"/>
                <w:i w:val="0"/>
                <w:iCs w:val="0"/>
                <w:color w:val="000000"/>
                <w:sz w:val="22"/>
                <w:szCs w:val="22"/>
                <w:u w:val="none"/>
              </w:rPr>
            </w:pPr>
          </w:p>
        </w:tc>
        <w:tc>
          <w:tcPr>
            <w:tcW w:w="1363" w:type="dxa"/>
            <w:vMerge w:val="continue"/>
            <w:tcBorders>
              <w:top w:val="single" w:color="000000" w:sz="4" w:space="0"/>
              <w:left w:val="nil"/>
              <w:bottom w:val="single" w:color="000000" w:sz="4" w:space="0"/>
              <w:right w:val="single" w:color="000000" w:sz="4" w:space="0"/>
            </w:tcBorders>
            <w:shd w:val="clear" w:color="auto" w:fill="FFFFFF"/>
            <w:vAlign w:val="center"/>
          </w:tcPr>
          <w:p w14:paraId="59FCD804">
            <w:pPr>
              <w:jc w:val="center"/>
              <w:rPr>
                <w:rFonts w:hint="eastAsia" w:ascii="宋体" w:hAnsi="宋体" w:eastAsia="宋体" w:cs="宋体"/>
                <w:i w:val="0"/>
                <w:iCs w:val="0"/>
                <w:color w:val="000000"/>
                <w:sz w:val="22"/>
                <w:szCs w:val="22"/>
                <w:u w:val="none"/>
              </w:rPr>
            </w:pPr>
          </w:p>
        </w:tc>
      </w:tr>
      <w:tr w14:paraId="417DA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E885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29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32CB3D">
            <w:pPr>
              <w:rPr>
                <w:rFonts w:hint="eastAsia" w:ascii="宋体" w:hAnsi="宋体" w:eastAsia="宋体" w:cs="宋体"/>
                <w:i w:val="0"/>
                <w:iCs w:val="0"/>
                <w:color w:val="000000"/>
                <w:sz w:val="22"/>
                <w:szCs w:val="22"/>
                <w:u w:val="none"/>
              </w:rPr>
            </w:pPr>
          </w:p>
        </w:tc>
        <w:tc>
          <w:tcPr>
            <w:tcW w:w="210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5F1FC8">
            <w:pPr>
              <w:rPr>
                <w:rFonts w:hint="eastAsia" w:ascii="宋体" w:hAnsi="宋体" w:eastAsia="宋体" w:cs="宋体"/>
                <w:i w:val="0"/>
                <w:iCs w:val="0"/>
                <w:color w:val="000000"/>
                <w:sz w:val="22"/>
                <w:szCs w:val="22"/>
                <w:u w:val="none"/>
              </w:rPr>
            </w:pPr>
          </w:p>
        </w:tc>
        <w:tc>
          <w:tcPr>
            <w:tcW w:w="6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756E8C">
            <w:pPr>
              <w:rPr>
                <w:rFonts w:hint="eastAsia" w:ascii="宋体" w:hAnsi="宋体" w:eastAsia="宋体" w:cs="宋体"/>
                <w:i w:val="0"/>
                <w:iCs w:val="0"/>
                <w:color w:val="000000"/>
                <w:sz w:val="22"/>
                <w:szCs w:val="22"/>
                <w:u w:val="none"/>
              </w:rPr>
            </w:pPr>
          </w:p>
        </w:tc>
        <w:tc>
          <w:tcPr>
            <w:tcW w:w="7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9037E2">
            <w:pPr>
              <w:rPr>
                <w:rFonts w:hint="eastAsia" w:ascii="宋体" w:hAnsi="宋体" w:eastAsia="宋体" w:cs="宋体"/>
                <w:i w:val="0"/>
                <w:iCs w:val="0"/>
                <w:color w:val="000000"/>
                <w:sz w:val="22"/>
                <w:szCs w:val="22"/>
                <w:u w:val="none"/>
              </w:rPr>
            </w:pPr>
          </w:p>
        </w:tc>
        <w:tc>
          <w:tcPr>
            <w:tcW w:w="13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78819C">
            <w:pPr>
              <w:rPr>
                <w:rFonts w:hint="eastAsia" w:ascii="宋体" w:hAnsi="宋体" w:eastAsia="宋体" w:cs="宋体"/>
                <w:i w:val="0"/>
                <w:iCs w:val="0"/>
                <w:color w:val="000000"/>
                <w:sz w:val="22"/>
                <w:szCs w:val="22"/>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06128B">
            <w:pPr>
              <w:rPr>
                <w:rFonts w:hint="eastAsia" w:ascii="宋体" w:hAnsi="宋体" w:eastAsia="宋体" w:cs="宋体"/>
                <w:i w:val="0"/>
                <w:iCs w:val="0"/>
                <w:color w:val="000000"/>
                <w:sz w:val="22"/>
                <w:szCs w:val="22"/>
                <w:u w:val="none"/>
              </w:rPr>
            </w:pPr>
          </w:p>
        </w:tc>
        <w:tc>
          <w:tcPr>
            <w:tcW w:w="17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493971">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57DD95">
            <w:pPr>
              <w:rPr>
                <w:rFonts w:hint="eastAsia" w:ascii="宋体" w:hAnsi="宋体" w:eastAsia="宋体" w:cs="宋体"/>
                <w:i w:val="0"/>
                <w:iCs w:val="0"/>
                <w:color w:val="000000"/>
                <w:sz w:val="22"/>
                <w:szCs w:val="22"/>
                <w:u w:val="none"/>
              </w:rPr>
            </w:pPr>
          </w:p>
        </w:tc>
        <w:tc>
          <w:tcPr>
            <w:tcW w:w="94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56A556">
            <w:pPr>
              <w:rPr>
                <w:rFonts w:hint="eastAsia" w:ascii="宋体" w:hAnsi="宋体" w:eastAsia="宋体" w:cs="宋体"/>
                <w:i w:val="0"/>
                <w:iCs w:val="0"/>
                <w:color w:val="000000"/>
                <w:sz w:val="22"/>
                <w:szCs w:val="22"/>
                <w:u w:val="none"/>
              </w:rPr>
            </w:pPr>
          </w:p>
        </w:tc>
        <w:tc>
          <w:tcPr>
            <w:tcW w:w="1363" w:type="dxa"/>
            <w:vMerge w:val="continue"/>
            <w:tcBorders>
              <w:top w:val="single" w:color="000000" w:sz="4" w:space="0"/>
              <w:left w:val="nil"/>
              <w:bottom w:val="single" w:color="000000" w:sz="4" w:space="0"/>
              <w:right w:val="single" w:color="000000" w:sz="4" w:space="0"/>
            </w:tcBorders>
            <w:shd w:val="clear" w:color="auto" w:fill="FFFFFF"/>
            <w:vAlign w:val="center"/>
          </w:tcPr>
          <w:p w14:paraId="0830F16D">
            <w:pPr>
              <w:jc w:val="center"/>
              <w:rPr>
                <w:rFonts w:hint="eastAsia" w:ascii="宋体" w:hAnsi="宋体" w:eastAsia="宋体" w:cs="宋体"/>
                <w:i w:val="0"/>
                <w:iCs w:val="0"/>
                <w:color w:val="000000"/>
                <w:sz w:val="22"/>
                <w:szCs w:val="22"/>
                <w:u w:val="none"/>
              </w:rPr>
            </w:pPr>
          </w:p>
        </w:tc>
      </w:tr>
      <w:tr w14:paraId="4C608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5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B42A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29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1C7F7E">
            <w:pPr>
              <w:rPr>
                <w:rFonts w:hint="eastAsia" w:ascii="宋体" w:hAnsi="宋体" w:eastAsia="宋体" w:cs="宋体"/>
                <w:i w:val="0"/>
                <w:iCs w:val="0"/>
                <w:color w:val="000000"/>
                <w:sz w:val="22"/>
                <w:szCs w:val="22"/>
                <w:u w:val="none"/>
              </w:rPr>
            </w:pPr>
          </w:p>
        </w:tc>
        <w:tc>
          <w:tcPr>
            <w:tcW w:w="210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BEAD36">
            <w:pPr>
              <w:rPr>
                <w:rFonts w:hint="eastAsia" w:ascii="宋体" w:hAnsi="宋体" w:eastAsia="宋体" w:cs="宋体"/>
                <w:i w:val="0"/>
                <w:iCs w:val="0"/>
                <w:color w:val="000000"/>
                <w:sz w:val="22"/>
                <w:szCs w:val="22"/>
                <w:u w:val="none"/>
              </w:rPr>
            </w:pPr>
          </w:p>
        </w:tc>
        <w:tc>
          <w:tcPr>
            <w:tcW w:w="6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D525A9">
            <w:pPr>
              <w:rPr>
                <w:rFonts w:hint="eastAsia" w:ascii="宋体" w:hAnsi="宋体" w:eastAsia="宋体" w:cs="宋体"/>
                <w:i w:val="0"/>
                <w:iCs w:val="0"/>
                <w:color w:val="000000"/>
                <w:sz w:val="22"/>
                <w:szCs w:val="22"/>
                <w:u w:val="none"/>
              </w:rPr>
            </w:pPr>
          </w:p>
        </w:tc>
        <w:tc>
          <w:tcPr>
            <w:tcW w:w="7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6BC34A">
            <w:pPr>
              <w:rPr>
                <w:rFonts w:hint="eastAsia" w:ascii="宋体" w:hAnsi="宋体" w:eastAsia="宋体" w:cs="宋体"/>
                <w:i w:val="0"/>
                <w:iCs w:val="0"/>
                <w:color w:val="000000"/>
                <w:sz w:val="22"/>
                <w:szCs w:val="22"/>
                <w:u w:val="none"/>
              </w:rPr>
            </w:pPr>
          </w:p>
        </w:tc>
        <w:tc>
          <w:tcPr>
            <w:tcW w:w="13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C40359">
            <w:pPr>
              <w:rPr>
                <w:rFonts w:hint="eastAsia" w:ascii="宋体" w:hAnsi="宋体" w:eastAsia="宋体" w:cs="宋体"/>
                <w:i w:val="0"/>
                <w:iCs w:val="0"/>
                <w:color w:val="000000"/>
                <w:sz w:val="22"/>
                <w:szCs w:val="22"/>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8B927E">
            <w:pPr>
              <w:rPr>
                <w:rFonts w:hint="eastAsia" w:ascii="宋体" w:hAnsi="宋体" w:eastAsia="宋体" w:cs="宋体"/>
                <w:i w:val="0"/>
                <w:iCs w:val="0"/>
                <w:color w:val="000000"/>
                <w:sz w:val="22"/>
                <w:szCs w:val="22"/>
                <w:u w:val="none"/>
              </w:rPr>
            </w:pPr>
          </w:p>
        </w:tc>
        <w:tc>
          <w:tcPr>
            <w:tcW w:w="179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CC0696">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D95E8D">
            <w:pPr>
              <w:rPr>
                <w:rFonts w:hint="eastAsia" w:ascii="宋体" w:hAnsi="宋体" w:eastAsia="宋体" w:cs="宋体"/>
                <w:i w:val="0"/>
                <w:iCs w:val="0"/>
                <w:color w:val="000000"/>
                <w:sz w:val="22"/>
                <w:szCs w:val="22"/>
                <w:u w:val="none"/>
              </w:rPr>
            </w:pPr>
          </w:p>
        </w:tc>
        <w:tc>
          <w:tcPr>
            <w:tcW w:w="94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9E277F">
            <w:pPr>
              <w:rPr>
                <w:rFonts w:hint="eastAsia" w:ascii="宋体" w:hAnsi="宋体" w:eastAsia="宋体" w:cs="宋体"/>
                <w:i w:val="0"/>
                <w:iCs w:val="0"/>
                <w:color w:val="000000"/>
                <w:sz w:val="22"/>
                <w:szCs w:val="22"/>
                <w:u w:val="none"/>
              </w:rPr>
            </w:pPr>
          </w:p>
        </w:tc>
        <w:tc>
          <w:tcPr>
            <w:tcW w:w="1363" w:type="dxa"/>
            <w:vMerge w:val="continue"/>
            <w:tcBorders>
              <w:top w:val="single" w:color="000000" w:sz="4" w:space="0"/>
              <w:left w:val="nil"/>
              <w:bottom w:val="single" w:color="000000" w:sz="4" w:space="0"/>
              <w:right w:val="single" w:color="000000" w:sz="4" w:space="0"/>
            </w:tcBorders>
            <w:shd w:val="clear" w:color="auto" w:fill="FFFFFF"/>
            <w:vAlign w:val="center"/>
          </w:tcPr>
          <w:p w14:paraId="5BA1B97C">
            <w:pPr>
              <w:jc w:val="center"/>
              <w:rPr>
                <w:rFonts w:hint="eastAsia" w:ascii="宋体" w:hAnsi="宋体" w:eastAsia="宋体" w:cs="宋体"/>
                <w:i w:val="0"/>
                <w:iCs w:val="0"/>
                <w:color w:val="000000"/>
                <w:sz w:val="22"/>
                <w:szCs w:val="22"/>
                <w:u w:val="none"/>
              </w:rPr>
            </w:pPr>
          </w:p>
        </w:tc>
      </w:tr>
      <w:tr w14:paraId="2261A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727"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A6FC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85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ECD43D">
            <w:pPr>
              <w:rPr>
                <w:rFonts w:hint="eastAsia" w:ascii="宋体" w:hAnsi="宋体" w:eastAsia="宋体" w:cs="宋体"/>
                <w:i w:val="0"/>
                <w:iCs w:val="0"/>
                <w:color w:val="000000"/>
                <w:sz w:val="22"/>
                <w:szCs w:val="22"/>
                <w:u w:val="none"/>
              </w:rPr>
            </w:pPr>
          </w:p>
        </w:tc>
        <w:tc>
          <w:tcPr>
            <w:tcW w:w="94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E00DD1">
            <w:pPr>
              <w:rPr>
                <w:rFonts w:hint="eastAsia" w:ascii="宋体" w:hAnsi="宋体" w:eastAsia="宋体" w:cs="宋体"/>
                <w:i w:val="0"/>
                <w:iCs w:val="0"/>
                <w:color w:val="000000"/>
                <w:sz w:val="22"/>
                <w:szCs w:val="22"/>
                <w:u w:val="none"/>
              </w:rPr>
            </w:pPr>
          </w:p>
        </w:tc>
        <w:tc>
          <w:tcPr>
            <w:tcW w:w="1363" w:type="dxa"/>
            <w:vMerge w:val="continue"/>
            <w:tcBorders>
              <w:top w:val="single" w:color="000000" w:sz="4" w:space="0"/>
              <w:left w:val="nil"/>
              <w:bottom w:val="single" w:color="000000" w:sz="4" w:space="0"/>
              <w:right w:val="single" w:color="000000" w:sz="4" w:space="0"/>
            </w:tcBorders>
            <w:shd w:val="clear" w:color="auto" w:fill="FFFFFF"/>
            <w:vAlign w:val="center"/>
          </w:tcPr>
          <w:p w14:paraId="0C0CF179">
            <w:pPr>
              <w:jc w:val="center"/>
              <w:rPr>
                <w:rFonts w:hint="eastAsia" w:ascii="宋体" w:hAnsi="宋体" w:eastAsia="宋体" w:cs="宋体"/>
                <w:i w:val="0"/>
                <w:iCs w:val="0"/>
                <w:color w:val="000000"/>
                <w:sz w:val="22"/>
                <w:szCs w:val="22"/>
                <w:u w:val="none"/>
              </w:rPr>
            </w:pPr>
          </w:p>
        </w:tc>
      </w:tr>
      <w:tr w14:paraId="0A69D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13892" w:type="dxa"/>
            <w:gridSpan w:val="11"/>
            <w:tcBorders>
              <w:top w:val="nil"/>
              <w:left w:val="single" w:color="000000" w:sz="4" w:space="0"/>
              <w:bottom w:val="single" w:color="000000" w:sz="4" w:space="0"/>
              <w:right w:val="single" w:color="000000" w:sz="4" w:space="0"/>
            </w:tcBorders>
            <w:shd w:val="clear" w:color="auto" w:fill="auto"/>
            <w:vAlign w:val="center"/>
          </w:tcPr>
          <w:p w14:paraId="6135706C">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1、报价包含货物、包装、运输、装卸、安装等验收合格之前的一切税金和费用。  2、供应商必须将投标产品品牌、投标产品型号/规格、制造商名称、报价单价、合价、交货期填写完整，因供应商填写不完整造成投标不响应的，责任自负！  3、若要求供应商提供相关证明材料的，将证明材料附后。</w:t>
            </w:r>
          </w:p>
        </w:tc>
      </w:tr>
      <w:tr w14:paraId="5DC37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13892"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4B5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报价合计金额（大写 ）：                小写：                           元</w:t>
            </w:r>
          </w:p>
        </w:tc>
      </w:tr>
      <w:tr w14:paraId="37F2C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13892"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08B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供应商单位名称（盖公章）：</w:t>
            </w:r>
          </w:p>
        </w:tc>
      </w:tr>
      <w:tr w14:paraId="1A63A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6" w:hRule="atLeast"/>
        </w:trPr>
        <w:tc>
          <w:tcPr>
            <w:tcW w:w="13892"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E9B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法定代表人或授权代表人（签字）：</w:t>
            </w:r>
          </w:p>
        </w:tc>
      </w:tr>
      <w:tr w14:paraId="5889A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13892"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EAE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联系电话：</w:t>
            </w:r>
          </w:p>
        </w:tc>
      </w:tr>
    </w:tbl>
    <w:p w14:paraId="781A2F8E">
      <w:pPr>
        <w:jc w:val="both"/>
        <w:rPr>
          <w:rFonts w:hint="eastAsia" w:asciiTheme="majorAscii"/>
          <w:b/>
          <w:bCs/>
          <w:color w:val="auto"/>
          <w:sz w:val="24"/>
          <w:szCs w:val="24"/>
          <w:lang w:val="en-US" w:eastAsia="zh-CN"/>
        </w:rPr>
        <w:sectPr>
          <w:pgSz w:w="16838" w:h="11906" w:orient="landscape"/>
          <w:pgMar w:top="1800" w:right="1440" w:bottom="1800" w:left="1440" w:header="851" w:footer="992" w:gutter="0"/>
          <w:cols w:space="425" w:num="1"/>
          <w:docGrid w:type="lines" w:linePitch="312" w:charSpace="0"/>
        </w:sectPr>
      </w:pPr>
    </w:p>
    <w:p w14:paraId="679BAB4C">
      <w:pPr>
        <w:ind w:firstLine="723" w:firstLineChars="200"/>
        <w:jc w:val="both"/>
        <w:rPr>
          <w:rFonts w:hint="eastAsia" w:ascii="黑体" w:hAnsi="黑体" w:eastAsia="黑体" w:cs="黑体"/>
          <w:b/>
          <w:bCs/>
          <w:color w:val="auto"/>
          <w:sz w:val="36"/>
          <w:szCs w:val="36"/>
          <w:lang w:val="en-US" w:eastAsia="zh-CN"/>
        </w:rPr>
      </w:pPr>
      <w:r>
        <w:rPr>
          <w:rFonts w:hint="eastAsia" w:ascii="黑体" w:hAnsi="黑体" w:eastAsia="黑体" w:cs="黑体"/>
          <w:b/>
          <w:bCs/>
          <w:color w:val="auto"/>
          <w:sz w:val="36"/>
          <w:szCs w:val="36"/>
          <w:highlight w:val="yellow"/>
          <w:u w:val="single"/>
          <w:lang w:val="en-US" w:eastAsia="zh-CN"/>
        </w:rPr>
        <w:t>采购单位采购</w:t>
      </w:r>
      <w:r>
        <w:rPr>
          <w:rFonts w:hint="eastAsia" w:ascii="黑体" w:hAnsi="黑体" w:eastAsia="黑体" w:cs="黑体"/>
          <w:b/>
          <w:bCs/>
          <w:color w:val="auto"/>
          <w:sz w:val="36"/>
          <w:szCs w:val="36"/>
          <w:highlight w:val="yellow"/>
          <w:u w:val="single"/>
          <w:lang w:eastAsia="zh-CN"/>
        </w:rPr>
        <w:t>小额工程</w:t>
      </w:r>
      <w:r>
        <w:rPr>
          <w:rFonts w:hint="eastAsia" w:ascii="黑体" w:hAnsi="黑体" w:eastAsia="黑体" w:cs="黑体"/>
          <w:b/>
          <w:bCs/>
          <w:color w:val="auto"/>
          <w:sz w:val="36"/>
          <w:szCs w:val="36"/>
          <w:highlight w:val="yellow"/>
          <w:u w:val="single"/>
          <w:lang w:val="en-US" w:eastAsia="zh-CN"/>
        </w:rPr>
        <w:t>类项目，采购方式采用竞价采购、在线询价的，可参照此附件3编制采购需求。</w:t>
      </w:r>
    </w:p>
    <w:p w14:paraId="40EAA9BF">
      <w:pPr>
        <w:jc w:val="both"/>
        <w:rPr>
          <w:rFonts w:hint="eastAsia" w:asciiTheme="majorAscii"/>
          <w:b/>
          <w:bCs/>
          <w:color w:val="auto"/>
          <w:sz w:val="24"/>
          <w:szCs w:val="24"/>
          <w:lang w:val="en-US" w:eastAsia="zh-CN"/>
        </w:rPr>
      </w:pPr>
    </w:p>
    <w:p w14:paraId="78F288E9">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附件：3</w:t>
      </w:r>
    </w:p>
    <w:p w14:paraId="779B02A1">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政府采购</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lang w:val="en-US" w:eastAsia="zh-CN"/>
        </w:rPr>
        <w:t>工程类</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rPr>
        <w:t>项目</w:t>
      </w:r>
    </w:p>
    <w:p w14:paraId="30814D3C">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采 购 需 求</w:t>
      </w:r>
    </w:p>
    <w:p w14:paraId="71BF3A98">
      <w:pPr>
        <w:jc w:val="center"/>
        <w:rPr>
          <w:rFonts w:ascii="方正小标宋简体" w:hAnsi="方正小标宋简体" w:eastAsia="方正小标宋简体"/>
          <w:color w:val="auto"/>
          <w:sz w:val="44"/>
          <w:szCs w:val="44"/>
        </w:rPr>
      </w:pPr>
    </w:p>
    <w:p w14:paraId="01E958E7">
      <w:pPr>
        <w:ind w:firstLine="1440" w:firstLineChars="450"/>
        <w:rPr>
          <w:rFonts w:ascii="方正小标宋简体" w:hAnsi="方正小标宋简体" w:eastAsia="方正小标宋简体"/>
          <w:color w:val="auto"/>
          <w:sz w:val="32"/>
          <w:szCs w:val="32"/>
          <w:u w:val="single"/>
        </w:rPr>
      </w:pPr>
      <w:r>
        <w:rPr>
          <w:rFonts w:ascii="方正小标宋简体" w:hAnsi="方正小标宋简体" w:eastAsia="方正小标宋简体"/>
          <w:color w:val="auto"/>
          <w:sz w:val="32"/>
          <w:szCs w:val="32"/>
        </w:rPr>
        <w:t>项目名称</w:t>
      </w:r>
      <w:r>
        <w:rPr>
          <w:rFonts w:hint="eastAsia" w:ascii="方正小标宋简体" w:hAnsi="方正小标宋简体" w:eastAsia="方正小标宋简体"/>
          <w:color w:val="auto"/>
          <w:sz w:val="32"/>
          <w:szCs w:val="32"/>
        </w:rPr>
        <w:t>：</w:t>
      </w:r>
      <w:r>
        <w:rPr>
          <w:rFonts w:hint="eastAsia" w:ascii="方正小标宋简体" w:hAnsi="方正小标宋简体" w:eastAsia="方正小标宋简体"/>
          <w:color w:val="auto"/>
          <w:sz w:val="32"/>
          <w:szCs w:val="32"/>
          <w:u w:val="single"/>
        </w:rPr>
        <w:t xml:space="preserve">                     </w:t>
      </w:r>
    </w:p>
    <w:p w14:paraId="1D2362D6">
      <w:pPr>
        <w:ind w:firstLine="1440" w:firstLineChars="450"/>
        <w:rPr>
          <w:rFonts w:ascii="方正小标宋简体" w:hAnsi="方正小标宋简体" w:eastAsia="方正小标宋简体"/>
          <w:color w:val="auto"/>
          <w:sz w:val="32"/>
          <w:szCs w:val="32"/>
          <w:u w:val="single"/>
        </w:rPr>
      </w:pPr>
      <w:r>
        <w:rPr>
          <w:rFonts w:hint="eastAsia" w:ascii="方正小标宋简体" w:hAnsi="方正小标宋简体" w:eastAsia="方正小标宋简体"/>
          <w:color w:val="auto"/>
          <w:sz w:val="32"/>
          <w:szCs w:val="32"/>
        </w:rPr>
        <w:t>采购单位：</w:t>
      </w:r>
      <w:r>
        <w:rPr>
          <w:rFonts w:hint="eastAsia" w:ascii="方正小标宋简体" w:hAnsi="方正小标宋简体" w:eastAsia="方正小标宋简体"/>
          <w:color w:val="auto"/>
          <w:sz w:val="32"/>
          <w:szCs w:val="32"/>
          <w:u w:val="single"/>
        </w:rPr>
        <w:t xml:space="preserve">            </w:t>
      </w:r>
      <w:r>
        <w:rPr>
          <w:rFonts w:hint="eastAsia" w:ascii="方正小标宋简体" w:hAnsi="方正小标宋简体" w:eastAsia="方正小标宋简体"/>
          <w:color w:val="auto"/>
          <w:sz w:val="32"/>
          <w:szCs w:val="32"/>
          <w:u w:val="single"/>
          <w:lang w:eastAsia="zh-CN"/>
        </w:rPr>
        <w:t>（盖公章）</w:t>
      </w:r>
      <w:r>
        <w:rPr>
          <w:rFonts w:hint="eastAsia" w:ascii="方正小标宋简体" w:hAnsi="方正小标宋简体" w:eastAsia="方正小标宋简体"/>
          <w:color w:val="auto"/>
          <w:sz w:val="32"/>
          <w:szCs w:val="32"/>
          <w:u w:val="single"/>
        </w:rPr>
        <w:t xml:space="preserve"> </w:t>
      </w:r>
    </w:p>
    <w:p w14:paraId="4FF31040">
      <w:pPr>
        <w:spacing w:line="560" w:lineRule="exact"/>
        <w:jc w:val="left"/>
        <w:rPr>
          <w:rFonts w:hint="eastAsia" w:ascii="黑体" w:hAnsi="黑体" w:eastAsia="黑体"/>
          <w:b/>
          <w:bCs/>
          <w:i w:val="0"/>
          <w:iCs w:val="0"/>
          <w:color w:val="auto"/>
          <w:sz w:val="28"/>
          <w:szCs w:val="28"/>
          <w:highlight w:val="none"/>
        </w:rPr>
      </w:pPr>
    </w:p>
    <w:p w14:paraId="35BFF43D">
      <w:pPr>
        <w:spacing w:line="560" w:lineRule="exact"/>
        <w:jc w:val="left"/>
        <w:rPr>
          <w:rFonts w:ascii="黑体" w:hAnsi="黑体" w:eastAsia="黑体"/>
          <w:b/>
          <w:bCs/>
          <w:color w:val="auto"/>
          <w:sz w:val="32"/>
          <w:szCs w:val="32"/>
        </w:rPr>
      </w:pPr>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14:paraId="4F96FD5A">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6D908A15">
      <w:pPr>
        <w:numPr>
          <w:ilvl w:val="0"/>
          <w:numId w:val="0"/>
        </w:numPr>
        <w:spacing w:line="560" w:lineRule="exact"/>
        <w:ind w:firstLine="640" w:firstLineChars="200"/>
        <w:jc w:val="left"/>
        <w:rPr>
          <w:rFonts w:hint="eastAsia" w:asciiTheme="majorEastAsia" w:hAnsiTheme="majorEastAsia" w:eastAsiaTheme="majorEastAsia" w:cstheme="majorEastAsia"/>
          <w:color w:val="auto"/>
          <w:sz w:val="32"/>
          <w:szCs w:val="32"/>
          <w:u w:val="single"/>
        </w:rPr>
      </w:pPr>
      <w:r>
        <w:rPr>
          <w:rFonts w:hint="eastAsia" w:asciiTheme="majorEastAsia" w:hAnsiTheme="majorEastAsia" w:eastAsiaTheme="majorEastAsia" w:cstheme="majorEastAsia"/>
          <w:color w:val="auto"/>
          <w:sz w:val="32"/>
          <w:szCs w:val="32"/>
          <w:u w:val="single"/>
        </w:rPr>
        <w:t xml:space="preserve"> </w:t>
      </w:r>
      <w:r>
        <w:rPr>
          <w:rFonts w:hint="eastAsia" w:asciiTheme="majorEastAsia" w:hAnsiTheme="majorEastAsia" w:eastAsiaTheme="majorEastAsia" w:cstheme="majorEastAsia"/>
          <w:b/>
          <w:bCs/>
          <w:i/>
          <w:snapToGrid w:val="0"/>
          <w:color w:val="auto"/>
          <w:kern w:val="2"/>
          <w:sz w:val="20"/>
          <w:szCs w:val="20"/>
          <w:highlight w:val="yellow"/>
          <w:u w:val="single"/>
          <w:lang w:val="en-US" w:eastAsia="zh-CN" w:bidi="ar-SA"/>
        </w:rPr>
        <w:t xml:space="preserve">（简要概括工程性质和主要功能、施工范围、采购资金的落实情况、项目前期准备情况等） </w:t>
      </w:r>
    </w:p>
    <w:p w14:paraId="32BA17AA">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4"/>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1F76F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679686D8">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64DFF737">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6703" w:type="dxa"/>
            <w:tcBorders>
              <w:tl2br w:val="nil"/>
              <w:tr2bl w:val="nil"/>
            </w:tcBorders>
            <w:shd w:val="clear" w:color="auto" w:fill="auto"/>
            <w:vAlign w:val="center"/>
          </w:tcPr>
          <w:p w14:paraId="633EEDBF">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14:paraId="79A7FA97">
            <w:pPr>
              <w:keepNext w:val="0"/>
              <w:keepLines w:val="0"/>
              <w:widowControl/>
              <w:suppressLineNumbers w:val="0"/>
              <w:ind w:left="638" w:leftChars="304" w:firstLine="0" w:firstLineChars="0"/>
              <w:jc w:val="left"/>
              <w:textAlignment w:val="center"/>
              <w:rPr>
                <w:rFonts w:hint="eastAsia"/>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r>
    </w:tbl>
    <w:p w14:paraId="5427A6CC">
      <w:pPr>
        <w:spacing w:line="560" w:lineRule="exact"/>
        <w:jc w:val="left"/>
        <w:rPr>
          <w:rFonts w:hint="eastAsia" w:asciiTheme="majorEastAsia" w:hAnsiTheme="majorEastAsia" w:eastAsiaTheme="majorEastAsia" w:cstheme="majorEastAsia"/>
          <w:color w:val="auto"/>
          <w:sz w:val="28"/>
          <w:szCs w:val="28"/>
        </w:rPr>
      </w:pPr>
      <w:r>
        <w:rPr>
          <w:rFonts w:hint="eastAsia" w:asciiTheme="majorEastAsia" w:hAnsiTheme="majorEastAsia" w:eastAsiaTheme="majorEastAsia" w:cstheme="majorEastAsia"/>
          <w:color w:val="auto"/>
          <w:sz w:val="28"/>
          <w:szCs w:val="28"/>
          <w:lang w:val="en-US" w:eastAsia="zh-CN"/>
        </w:rPr>
        <w:t>采购方式： 在线询价</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竞价采购</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w:t>
      </w:r>
    </w:p>
    <w:p w14:paraId="0C925593">
      <w:pPr>
        <w:pStyle w:val="17"/>
        <w:ind w:left="0" w:leftChars="0" w:firstLine="0" w:firstLineChars="0"/>
        <w:rPr>
          <w:rFonts w:hint="eastAsia"/>
          <w:color w:val="auto"/>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万元整</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万元整</w:t>
      </w:r>
      <w:r>
        <w:rPr>
          <w:rFonts w:hint="eastAsia" w:asciiTheme="majorEastAsia" w:hAnsiTheme="majorEastAsia" w:eastAsiaTheme="majorEastAsia" w:cstheme="majorEastAsia"/>
          <w:color w:val="auto"/>
          <w:sz w:val="28"/>
          <w:szCs w:val="28"/>
          <w:u w:val="single"/>
        </w:rPr>
        <w:t xml:space="preserve">  </w:t>
      </w:r>
    </w:p>
    <w:tbl>
      <w:tblPr>
        <w:tblStyle w:val="14"/>
        <w:tblW w:w="834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5"/>
        <w:gridCol w:w="1617"/>
        <w:gridCol w:w="4403"/>
        <w:gridCol w:w="1679"/>
      </w:tblGrid>
      <w:tr w14:paraId="5039A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8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B8C50">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kern w:val="0"/>
                <w:sz w:val="22"/>
                <w:szCs w:val="22"/>
                <w:u w:val="none"/>
                <w:lang w:val="en-US" w:eastAsia="zh-CN" w:bidi="ar"/>
              </w:rPr>
            </w:pPr>
            <w:r>
              <w:rPr>
                <w:rFonts w:hint="eastAsia" w:asciiTheme="majorEastAsia" w:hAnsiTheme="majorEastAsia" w:eastAsiaTheme="majorEastAsia" w:cstheme="majorEastAsia"/>
                <w:b/>
                <w:bCs/>
                <w:i w:val="0"/>
                <w:color w:val="auto"/>
                <w:kern w:val="0"/>
                <w:sz w:val="22"/>
                <w:szCs w:val="22"/>
                <w:u w:val="none"/>
                <w:lang w:val="en-US" w:eastAsia="zh-CN" w:bidi="ar"/>
              </w:rPr>
              <w:t>标的序号</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917F2">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i w:val="0"/>
                <w:color w:val="auto"/>
                <w:kern w:val="0"/>
                <w:sz w:val="22"/>
                <w:szCs w:val="22"/>
                <w:u w:val="none"/>
                <w:lang w:val="en-US" w:eastAsia="zh-CN" w:bidi="ar"/>
              </w:rPr>
              <w:t>标的名称</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11D01">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lang w:val="en-US" w:eastAsia="zh-CN"/>
              </w:rPr>
            </w:pPr>
            <w:r>
              <w:rPr>
                <w:rFonts w:hint="eastAsia" w:asciiTheme="majorEastAsia" w:hAnsiTheme="majorEastAsia" w:eastAsiaTheme="majorEastAsia" w:cstheme="majorEastAsia"/>
                <w:b/>
                <w:bCs/>
                <w:i w:val="0"/>
                <w:color w:val="auto"/>
                <w:kern w:val="0"/>
                <w:sz w:val="22"/>
                <w:szCs w:val="22"/>
                <w:u w:val="none"/>
                <w:lang w:val="en-US" w:eastAsia="zh-CN" w:bidi="ar"/>
              </w:rPr>
              <w:t>具体施工内容</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CDB73">
            <w:pPr>
              <w:spacing w:line="440" w:lineRule="exact"/>
              <w:jc w:val="center"/>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预算金额</w:t>
            </w:r>
          </w:p>
          <w:p w14:paraId="51267C59">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color w:val="auto"/>
                <w:sz w:val="24"/>
                <w:szCs w:val="24"/>
                <w:highlight w:val="none"/>
              </w:rPr>
              <w:t>（元）</w:t>
            </w:r>
          </w:p>
        </w:tc>
      </w:tr>
      <w:tr w14:paraId="508B5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80BB6">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DCDAF">
            <w:pPr>
              <w:jc w:val="center"/>
              <w:rPr>
                <w:rFonts w:hint="default" w:ascii="宋体" w:hAnsi="宋体" w:eastAsia="宋体" w:cs="宋体"/>
                <w:i w:val="0"/>
                <w:color w:val="auto"/>
                <w:sz w:val="22"/>
                <w:szCs w:val="22"/>
                <w:u w:val="none"/>
                <w:lang w:val="en-US" w:eastAsia="zh-CN"/>
              </w:rPr>
            </w:pP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CDEA9">
            <w:pPr>
              <w:jc w:val="center"/>
              <w:rPr>
                <w:rFonts w:hint="default" w:ascii="宋体" w:hAnsi="宋体" w:eastAsia="宋体" w:cs="宋体"/>
                <w:i w:val="0"/>
                <w:color w:val="auto"/>
                <w:sz w:val="22"/>
                <w:szCs w:val="22"/>
                <w:u w:val="none"/>
                <w:lang w:val="en-US" w:eastAsia="zh-CN"/>
              </w:rPr>
            </w:pP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1B33B">
            <w:pPr>
              <w:rPr>
                <w:rFonts w:hint="default" w:ascii="宋体" w:hAnsi="宋体" w:eastAsia="宋体" w:cs="宋体"/>
                <w:i w:val="0"/>
                <w:color w:val="auto"/>
                <w:sz w:val="22"/>
                <w:szCs w:val="22"/>
                <w:u w:val="none"/>
                <w:lang w:val="en-US" w:eastAsia="zh-CN"/>
              </w:rPr>
            </w:pPr>
          </w:p>
        </w:tc>
      </w:tr>
      <w:tr w14:paraId="081DC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82267">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6C70E">
            <w:pPr>
              <w:jc w:val="center"/>
              <w:rPr>
                <w:rFonts w:hint="eastAsia" w:ascii="宋体" w:hAnsi="宋体" w:eastAsia="宋体" w:cs="宋体"/>
                <w:i w:val="0"/>
                <w:color w:val="auto"/>
                <w:sz w:val="22"/>
                <w:szCs w:val="22"/>
                <w:u w:val="none"/>
              </w:rPr>
            </w:pP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AA751">
            <w:pPr>
              <w:jc w:val="center"/>
              <w:rPr>
                <w:rFonts w:hint="eastAsia" w:ascii="宋体" w:hAnsi="宋体" w:eastAsia="宋体" w:cs="宋体"/>
                <w:i w:val="0"/>
                <w:color w:val="auto"/>
                <w:sz w:val="22"/>
                <w:szCs w:val="22"/>
                <w:u w:val="none"/>
              </w:rPr>
            </w:pP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FEA00">
            <w:pPr>
              <w:rPr>
                <w:rFonts w:hint="eastAsia" w:ascii="宋体" w:hAnsi="宋体" w:eastAsia="宋体" w:cs="宋体"/>
                <w:i w:val="0"/>
                <w:color w:val="auto"/>
                <w:sz w:val="22"/>
                <w:szCs w:val="22"/>
                <w:u w:val="none"/>
              </w:rPr>
            </w:pPr>
          </w:p>
        </w:tc>
      </w:tr>
      <w:tr w14:paraId="794D7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F24FB">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5FEEE">
            <w:pPr>
              <w:jc w:val="center"/>
              <w:rPr>
                <w:rFonts w:hint="eastAsia" w:ascii="宋体" w:hAnsi="宋体" w:eastAsia="宋体" w:cs="宋体"/>
                <w:i w:val="0"/>
                <w:color w:val="auto"/>
                <w:sz w:val="22"/>
                <w:szCs w:val="22"/>
                <w:u w:val="none"/>
              </w:rPr>
            </w:pP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0DAC6">
            <w:pPr>
              <w:jc w:val="center"/>
              <w:rPr>
                <w:rFonts w:hint="eastAsia" w:ascii="宋体" w:hAnsi="宋体" w:eastAsia="宋体" w:cs="宋体"/>
                <w:i w:val="0"/>
                <w:color w:val="auto"/>
                <w:sz w:val="22"/>
                <w:szCs w:val="22"/>
                <w:u w:val="none"/>
              </w:rPr>
            </w:pP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6A1AC">
            <w:pPr>
              <w:rPr>
                <w:rFonts w:hint="eastAsia" w:ascii="宋体" w:hAnsi="宋体" w:eastAsia="宋体" w:cs="宋体"/>
                <w:i w:val="0"/>
                <w:color w:val="auto"/>
                <w:sz w:val="22"/>
                <w:szCs w:val="22"/>
                <w:u w:val="none"/>
              </w:rPr>
            </w:pPr>
          </w:p>
        </w:tc>
      </w:tr>
    </w:tbl>
    <w:p w14:paraId="038D7820">
      <w:pPr>
        <w:numPr>
          <w:ilvl w:val="0"/>
          <w:numId w:val="1"/>
        </w:num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商务</w:t>
      </w:r>
      <w:r>
        <w:rPr>
          <w:rFonts w:hint="eastAsia" w:ascii="楷体_GB2312" w:hAnsi="楷体_GB2312" w:eastAsia="楷体_GB2312" w:cs="楷体_GB2312"/>
          <w:b/>
          <w:bCs/>
          <w:color w:val="auto"/>
          <w:sz w:val="28"/>
          <w:szCs w:val="28"/>
          <w:lang w:eastAsia="zh-CN"/>
        </w:rPr>
        <w:t>、</w:t>
      </w:r>
      <w:r>
        <w:rPr>
          <w:rFonts w:hint="eastAsia" w:ascii="楷体_GB2312" w:hAnsi="楷体_GB2312" w:eastAsia="楷体_GB2312" w:cs="楷体_GB2312"/>
          <w:b/>
          <w:bCs/>
          <w:color w:val="auto"/>
          <w:sz w:val="28"/>
          <w:szCs w:val="28"/>
        </w:rPr>
        <w:t>技术要求</w:t>
      </w:r>
    </w:p>
    <w:tbl>
      <w:tblPr>
        <w:tblStyle w:val="14"/>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00"/>
        <w:gridCol w:w="6875"/>
      </w:tblGrid>
      <w:tr w14:paraId="3626C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79581E2C">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150548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3A143">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3AF3E">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FB36E">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53708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44"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1588E">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1</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12738">
            <w:pPr>
              <w:keepNext w:val="0"/>
              <w:keepLines w:val="0"/>
              <w:widowControl/>
              <w:suppressLineNumbers w:val="0"/>
              <w:jc w:val="left"/>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资格要求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C0C3E">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投标人必须是符合《中华人民共和国政府采购法》第二十二条的合格供应商。</w:t>
            </w:r>
          </w:p>
          <w:p w14:paraId="56C17F93">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2、其他特定资格：</w:t>
            </w:r>
            <w:r>
              <w:rPr>
                <w:rFonts w:hint="eastAsia" w:ascii="宋体" w:hAnsi="宋体" w:cs="宋体"/>
                <w:i w:val="0"/>
                <w:color w:val="auto"/>
                <w:sz w:val="22"/>
                <w:szCs w:val="22"/>
                <w:u w:val="none"/>
                <w:lang w:val="en-US" w:eastAsia="zh-CN"/>
              </w:rPr>
              <w:br w:type="textWrapping"/>
            </w:r>
            <w:r>
              <w:rPr>
                <w:rFonts w:hint="eastAsia" w:ascii="宋体" w:hAnsi="宋体" w:cs="宋体"/>
                <w:i w:val="0"/>
                <w:color w:val="auto"/>
                <w:sz w:val="22"/>
                <w:szCs w:val="22"/>
                <w:u w:val="none"/>
                <w:lang w:val="en-US" w:eastAsia="zh-CN"/>
              </w:rPr>
              <w:t xml:space="preserve">□无 </w:t>
            </w:r>
            <w:r>
              <w:rPr>
                <w:rFonts w:hint="eastAsia" w:ascii="宋体" w:hAnsi="宋体" w:cs="宋体"/>
                <w:i w:val="0"/>
                <w:color w:val="auto"/>
                <w:sz w:val="22"/>
                <w:szCs w:val="22"/>
                <w:u w:val="none"/>
                <w:lang w:val="en-US" w:eastAsia="zh-CN"/>
              </w:rPr>
              <w:br w:type="textWrapping"/>
            </w:r>
            <w:r>
              <w:rPr>
                <w:rFonts w:hint="eastAsia" w:ascii="宋体" w:hAnsi="宋体" w:cs="宋体"/>
                <w:i w:val="0"/>
                <w:color w:val="auto"/>
                <w:sz w:val="22"/>
                <w:szCs w:val="22"/>
                <w:u w:val="none"/>
                <w:lang w:val="en-US" w:eastAsia="zh-CN"/>
              </w:rPr>
              <w:t>□有：</w:t>
            </w:r>
            <w:r>
              <w:rPr>
                <w:rFonts w:hint="eastAsia" w:ascii="宋体" w:hAnsi="宋体" w:cs="宋体"/>
                <w:i w:val="0"/>
                <w:color w:val="auto"/>
                <w:sz w:val="22"/>
                <w:szCs w:val="22"/>
                <w:u w:val="none"/>
                <w:lang w:val="en-US" w:eastAsia="zh-CN"/>
              </w:rPr>
              <w:br w:type="textWrapping"/>
            </w:r>
            <w:r>
              <w:rPr>
                <w:rFonts w:hint="eastAsia" w:ascii="宋体" w:hAnsi="宋体" w:cs="宋体"/>
                <w:i w:val="0"/>
                <w:color w:val="auto"/>
                <w:sz w:val="22"/>
                <w:szCs w:val="22"/>
                <w:u w:val="none"/>
                <w:lang w:val="en-US" w:eastAsia="zh-CN"/>
              </w:rPr>
              <w:t>2.1</w:t>
            </w:r>
            <w:r>
              <w:rPr>
                <w:rFonts w:hint="eastAsia" w:ascii="宋体" w:hAnsi="宋体" w:cs="宋体"/>
                <w:i w:val="0"/>
                <w:color w:val="auto"/>
                <w:sz w:val="22"/>
                <w:szCs w:val="22"/>
                <w:u w:val="none"/>
                <w:lang w:val="en-US" w:eastAsia="zh-CN"/>
              </w:rPr>
              <w:br w:type="textWrapping"/>
            </w:r>
            <w:r>
              <w:rPr>
                <w:rFonts w:hint="eastAsia" w:ascii="宋体" w:hAnsi="宋体" w:cs="宋体"/>
                <w:i w:val="0"/>
                <w:color w:val="auto"/>
                <w:sz w:val="22"/>
                <w:szCs w:val="22"/>
                <w:u w:val="none"/>
                <w:lang w:val="en-US" w:eastAsia="zh-CN"/>
              </w:rPr>
              <w:t>2.2</w:t>
            </w:r>
          </w:p>
        </w:tc>
      </w:tr>
      <w:tr w14:paraId="5A1B4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E4C30">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2</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096FC">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b/>
                <w:bCs/>
                <w:color w:val="auto"/>
                <w:sz w:val="24"/>
                <w:szCs w:val="24"/>
                <w:highlight w:val="none"/>
              </w:rPr>
              <w:t>★完工期</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3924">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 xml:space="preserve">合同签订后 </w:t>
            </w:r>
            <w:r>
              <w:rPr>
                <w:rFonts w:hint="eastAsia" w:ascii="宋体" w:hAnsi="宋体" w:eastAsia="宋体" w:cs="宋体"/>
                <w:i w:val="0"/>
                <w:color w:val="auto"/>
                <w:kern w:val="0"/>
                <w:sz w:val="22"/>
                <w:szCs w:val="22"/>
                <w:u w:val="single"/>
                <w:lang w:val="en-US" w:eastAsia="zh-CN" w:bidi="ar"/>
              </w:rPr>
              <w:t xml:space="preserve">      </w:t>
            </w:r>
            <w:r>
              <w:rPr>
                <w:rFonts w:hint="eastAsia" w:ascii="宋体" w:hAnsi="宋体" w:eastAsia="宋体" w:cs="宋体"/>
                <w:i w:val="0"/>
                <w:color w:val="auto"/>
                <w:kern w:val="0"/>
                <w:sz w:val="22"/>
                <w:szCs w:val="22"/>
                <w:u w:val="none"/>
                <w:lang w:val="en-US" w:eastAsia="zh-CN" w:bidi="ar"/>
              </w:rPr>
              <w:t>日</w:t>
            </w:r>
          </w:p>
        </w:tc>
      </w:tr>
      <w:tr w14:paraId="16FEF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46AC6">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3</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60F57">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施工地点</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0B1A4">
            <w:pPr>
              <w:keepNext w:val="0"/>
              <w:keepLines w:val="0"/>
              <w:widowControl/>
              <w:suppressLineNumbers w:val="0"/>
              <w:jc w:val="left"/>
              <w:textAlignment w:val="center"/>
              <w:rPr>
                <w:rFonts w:hint="eastAsia" w:ascii="宋体" w:hAnsi="宋体" w:eastAsia="宋体" w:cs="宋体"/>
                <w:i w:val="0"/>
                <w:color w:val="auto"/>
                <w:sz w:val="22"/>
                <w:szCs w:val="22"/>
                <w:u w:val="none"/>
              </w:rPr>
            </w:pPr>
          </w:p>
        </w:tc>
      </w:tr>
      <w:tr w14:paraId="25562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13"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086D9">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4</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F012A">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报价要求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DAA39">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1、本项目的报价和结算支付均以人民币为货币单位。 </w:t>
            </w:r>
          </w:p>
          <w:p w14:paraId="405482B4">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2、供应商报价应包括设计、采购、运输、安装、相关部门验收及保修期内的维护保养等所有含税费用，以及供应商认为必要的其他货物、材料、工程、服务。</w:t>
            </w:r>
          </w:p>
          <w:p w14:paraId="29F9FE3E">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3、如出现任何遗漏内容需产生额外费用，均由成交供应商自行承担，采购人将不再另支付任何费用。（以实际签署合同为准，另有约定除外） </w:t>
            </w:r>
          </w:p>
          <w:p w14:paraId="52BC0D92">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52763925">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5、供应商应被认为在填报报价之前，已经仔细阅读了本采购需求的所有有关章节以及审查了所有相关资料，已确保本次竞价范围内的各种价格风险均已包含在报价内。</w:t>
            </w:r>
          </w:p>
        </w:tc>
      </w:tr>
      <w:tr w14:paraId="3EB63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1A16FB16">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5</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E863AFA">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付款方式</w:t>
            </w:r>
          </w:p>
          <w:p w14:paraId="501E6523">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 xml:space="preserve">（付款的时间及比例） </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5B31E4BD">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p>
        </w:tc>
      </w:tr>
      <w:tr w14:paraId="4EA33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2183D47C">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6</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6B8C0262">
            <w:pPr>
              <w:keepNext w:val="0"/>
              <w:keepLines w:val="0"/>
              <w:widowControl/>
              <w:suppressLineNumbers w:val="0"/>
              <w:jc w:val="center"/>
              <w:textAlignment w:val="center"/>
              <w:rPr>
                <w:rFonts w:hint="eastAsia" w:ascii="宋体" w:hAnsi="宋体" w:cs="宋体"/>
                <w:b/>
                <w:bCs/>
                <w:i w:val="0"/>
                <w:color w:val="auto"/>
                <w:sz w:val="22"/>
                <w:szCs w:val="22"/>
                <w:u w:val="none"/>
                <w:lang w:eastAsia="zh-CN"/>
              </w:rPr>
            </w:pPr>
            <w:r>
              <w:rPr>
                <w:rFonts w:hint="eastAsia" w:ascii="宋体" w:hAnsi="宋体" w:cs="宋体"/>
                <w:b/>
                <w:bCs/>
                <w:i w:val="0"/>
                <w:color w:val="auto"/>
                <w:sz w:val="22"/>
                <w:szCs w:val="22"/>
                <w:u w:val="none"/>
                <w:lang w:eastAsia="zh-CN"/>
              </w:rPr>
              <w:t>质量要求和质量保修期</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6708E98F">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1、质量：符合国家有关施工质量验收标准的合格工程或合同约定。工程规范以现行的或承担具体施工任务期间国家和行业新颁布施行的规范、规程为准。</w:t>
            </w:r>
          </w:p>
          <w:p w14:paraId="754FAE1D">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2、材料、设备、施工须达到现行中华人民共和国以及省、自治区、直辖市或行业的工程建设标准、规范的要求及验收标准及有关规范为质量评定验收标准。 </w:t>
            </w:r>
          </w:p>
          <w:p w14:paraId="5A219ABC">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 xml:space="preserve"> </w:t>
            </w:r>
            <w:r>
              <w:rPr>
                <w:rFonts w:hint="eastAsia" w:ascii="宋体" w:hAnsi="宋体" w:cs="宋体"/>
                <w:i w:val="0"/>
                <w:color w:val="auto"/>
                <w:sz w:val="22"/>
                <w:szCs w:val="22"/>
                <w:u w:val="none"/>
                <w:lang w:val="en-US" w:eastAsia="zh-CN"/>
              </w:rPr>
              <w:t xml:space="preserve">   </w:t>
            </w:r>
            <w:r>
              <w:rPr>
                <w:rFonts w:hint="eastAsia" w:ascii="宋体" w:hAnsi="宋体" w:cs="宋体"/>
                <w:i w:val="0"/>
                <w:color w:val="auto"/>
                <w:sz w:val="22"/>
                <w:szCs w:val="22"/>
                <w:u w:val="none"/>
                <w:lang w:eastAsia="zh-CN"/>
              </w:rPr>
              <w:t>3、质量保修期：</w:t>
            </w:r>
            <w:r>
              <w:rPr>
                <w:rFonts w:hint="eastAsia" w:ascii="宋体" w:hAnsi="宋体" w:cs="宋体"/>
                <w:i w:val="0"/>
                <w:color w:val="auto"/>
                <w:sz w:val="22"/>
                <w:szCs w:val="22"/>
                <w:u w:val="none"/>
                <w:lang w:val="en-US" w:eastAsia="zh-CN"/>
              </w:rPr>
              <w:t>按</w:t>
            </w:r>
            <w:r>
              <w:rPr>
                <w:rFonts w:hint="eastAsia" w:ascii="宋体" w:hAnsi="宋体" w:cs="宋体"/>
                <w:i w:val="0"/>
                <w:color w:val="auto"/>
                <w:sz w:val="22"/>
                <w:szCs w:val="22"/>
                <w:u w:val="none"/>
                <w:lang w:eastAsia="zh-CN"/>
              </w:rPr>
              <w:t>国务院《建设工程质量管理条例》第四十</w:t>
            </w:r>
            <w:r>
              <w:rPr>
                <w:rFonts w:hint="eastAsia" w:ascii="宋体" w:hAnsi="宋体" w:cs="宋体"/>
                <w:i w:val="0"/>
                <w:color w:val="auto"/>
                <w:sz w:val="22"/>
                <w:szCs w:val="22"/>
                <w:u w:val="none"/>
                <w:lang w:val="en-US" w:eastAsia="zh-CN"/>
              </w:rPr>
              <w:t>条相关</w:t>
            </w:r>
            <w:r>
              <w:rPr>
                <w:rFonts w:hint="eastAsia" w:ascii="宋体" w:hAnsi="宋体" w:cs="宋体"/>
                <w:i w:val="0"/>
                <w:color w:val="auto"/>
                <w:sz w:val="22"/>
                <w:szCs w:val="22"/>
                <w:u w:val="none"/>
                <w:lang w:eastAsia="zh-CN"/>
              </w:rPr>
              <w:t>规定</w:t>
            </w:r>
            <w:r>
              <w:rPr>
                <w:rFonts w:hint="eastAsia" w:ascii="宋体" w:hAnsi="宋体" w:cs="宋体"/>
                <w:i w:val="0"/>
                <w:color w:val="auto"/>
                <w:sz w:val="22"/>
                <w:szCs w:val="22"/>
                <w:u w:val="none"/>
                <w:lang w:val="en-US" w:eastAsia="zh-CN"/>
              </w:rPr>
              <w:t>执行。即如下内容</w:t>
            </w:r>
          </w:p>
          <w:p w14:paraId="75BF6924">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第四十条　在正常使用条件下，建设工程的最低保修期限为：</w:t>
            </w:r>
          </w:p>
          <w:p w14:paraId="390674CD">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（一）基础设施工程、房屋建筑的地基基础工程和主体结构工程，为设计文件规定的该工程的合理使用年限；</w:t>
            </w:r>
          </w:p>
          <w:p w14:paraId="0773B98E">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（二）屋面防水工程、有防水要求的卫生间、房间和外墙面的防渗漏，为</w:t>
            </w:r>
            <w:r>
              <w:rPr>
                <w:rFonts w:hint="eastAsia" w:ascii="宋体" w:hAnsi="宋体" w:cs="宋体"/>
                <w:i w:val="0"/>
                <w:color w:val="auto"/>
                <w:sz w:val="22"/>
                <w:szCs w:val="22"/>
                <w:highlight w:val="none"/>
                <w:u w:val="single"/>
                <w:lang w:val="en-US" w:eastAsia="zh-CN"/>
              </w:rPr>
              <w:t>５年</w:t>
            </w:r>
            <w:r>
              <w:rPr>
                <w:rFonts w:hint="eastAsia" w:ascii="宋体" w:hAnsi="宋体" w:cs="宋体"/>
                <w:i w:val="0"/>
                <w:color w:val="auto"/>
                <w:sz w:val="22"/>
                <w:szCs w:val="22"/>
                <w:u w:val="none"/>
                <w:lang w:val="en-US" w:eastAsia="zh-CN"/>
              </w:rPr>
              <w:t>；</w:t>
            </w:r>
          </w:p>
          <w:p w14:paraId="2076D9BE">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（三）供热与供冷系统，为</w:t>
            </w:r>
            <w:r>
              <w:rPr>
                <w:rFonts w:hint="eastAsia" w:ascii="宋体" w:hAnsi="宋体" w:cs="宋体"/>
                <w:i w:val="0"/>
                <w:color w:val="auto"/>
                <w:sz w:val="22"/>
                <w:szCs w:val="22"/>
                <w:u w:val="single"/>
                <w:lang w:val="en-US" w:eastAsia="zh-CN"/>
              </w:rPr>
              <w:t>２个</w:t>
            </w:r>
            <w:r>
              <w:rPr>
                <w:rFonts w:hint="eastAsia" w:ascii="宋体" w:hAnsi="宋体" w:cs="宋体"/>
                <w:i w:val="0"/>
                <w:color w:val="auto"/>
                <w:sz w:val="22"/>
                <w:szCs w:val="22"/>
                <w:u w:val="none"/>
                <w:lang w:val="en-US" w:eastAsia="zh-CN"/>
              </w:rPr>
              <w:t>采暖期、供冷期；</w:t>
            </w:r>
          </w:p>
          <w:p w14:paraId="344819E7">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（四）电气管线、给排水管道、设备安装和装修工程，</w:t>
            </w:r>
            <w:r>
              <w:rPr>
                <w:rFonts w:hint="eastAsia" w:ascii="宋体" w:hAnsi="宋体" w:cs="宋体"/>
                <w:i w:val="0"/>
                <w:color w:val="auto"/>
                <w:sz w:val="22"/>
                <w:szCs w:val="22"/>
                <w:u w:val="single"/>
                <w:lang w:val="en-US" w:eastAsia="zh-CN"/>
              </w:rPr>
              <w:t>为２年</w:t>
            </w:r>
            <w:r>
              <w:rPr>
                <w:rFonts w:hint="eastAsia" w:ascii="宋体" w:hAnsi="宋体" w:cs="宋体"/>
                <w:i w:val="0"/>
                <w:color w:val="auto"/>
                <w:sz w:val="22"/>
                <w:szCs w:val="22"/>
                <w:u w:val="none"/>
                <w:lang w:val="en-US" w:eastAsia="zh-CN"/>
              </w:rPr>
              <w:t>。其他项目的保修期限由发包方与承包方约定。</w:t>
            </w:r>
          </w:p>
          <w:p w14:paraId="2EC3D5AE">
            <w:pPr>
              <w:keepNext w:val="0"/>
              <w:keepLines w:val="0"/>
              <w:widowControl/>
              <w:suppressLineNumbers w:val="0"/>
              <w:ind w:firstLine="660" w:firstLineChars="3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建设工程的保修期，自竣工验收合格之日起计算。</w:t>
            </w:r>
          </w:p>
          <w:p w14:paraId="24FF540C">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     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14:paraId="3DE54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83"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61DF206C">
            <w:pPr>
              <w:keepNext w:val="0"/>
              <w:keepLines w:val="0"/>
              <w:widowControl/>
              <w:suppressLineNumbers w:val="0"/>
              <w:jc w:val="center"/>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7</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25EEA91D">
            <w:pPr>
              <w:keepNext w:val="0"/>
              <w:keepLines w:val="0"/>
              <w:widowControl/>
              <w:suppressLineNumbers w:val="0"/>
              <w:ind w:firstLine="442" w:firstLineChars="200"/>
              <w:jc w:val="left"/>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验收</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68F7F760">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1、采购人在收到成交供应商提交的竣工报告后组织验收，并在验收后 </w:t>
            </w:r>
            <w:r>
              <w:rPr>
                <w:rFonts w:hint="eastAsia" w:ascii="宋体" w:hAnsi="宋体" w:cs="宋体"/>
                <w:i w:val="0"/>
                <w:color w:val="auto"/>
                <w:sz w:val="22"/>
                <w:szCs w:val="22"/>
                <w:u w:val="single"/>
                <w:lang w:val="en-US" w:eastAsia="zh-CN"/>
              </w:rPr>
              <w:t xml:space="preserve">   </w:t>
            </w:r>
            <w:r>
              <w:rPr>
                <w:rFonts w:hint="eastAsia" w:ascii="宋体" w:hAnsi="宋体" w:cs="宋体"/>
                <w:i w:val="0"/>
                <w:color w:val="auto"/>
                <w:sz w:val="22"/>
                <w:szCs w:val="22"/>
                <w:u w:val="none"/>
                <w:lang w:val="en-US" w:eastAsia="zh-CN"/>
              </w:rPr>
              <w:t xml:space="preserve">天内予以认可或提出修改意见。验收不合格，成交供应商应按要求修改后再次提请采购人验收，并承担因自身原因造成修改的费用。 </w:t>
            </w:r>
          </w:p>
          <w:p w14:paraId="34DB5C76">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2、采购人在收到成交供应商提交的竣工报告后不组织验收，或验收后不提出修改意见，视为竣工报告已被认可。 </w:t>
            </w:r>
          </w:p>
          <w:p w14:paraId="25A4EF90">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3、验收时如发现所交付的设备有短装、次品、损坏或其它不符合竞价规定之情形的，采购人应做出详尽的现场记录，或由用户和成交供应商双方签署备忘录。此现场记录或备忘录可用作补充、缺失和更换损坏部件的有效证据。由此产生的有关费用由成交供应商承担。 </w:t>
            </w:r>
          </w:p>
          <w:p w14:paraId="3771A517">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4、竣工报告被认可，则表明已完成合同工程，并视为通过竣工验收，采购人应向成交供应商颁发工程竣工验收证书。 </w:t>
            </w:r>
          </w:p>
        </w:tc>
      </w:tr>
      <w:tr w14:paraId="19824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784"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4FAB543B">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8</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top"/>
          </w:tcPr>
          <w:p w14:paraId="37A757A3">
            <w:pPr>
              <w:keepNext w:val="0"/>
              <w:keepLines w:val="0"/>
              <w:widowControl/>
              <w:suppressLineNumbers w:val="0"/>
              <w:jc w:val="left"/>
              <w:textAlignment w:val="center"/>
              <w:rPr>
                <w:rFonts w:hint="eastAsia" w:ascii="宋体" w:hAnsi="宋体" w:cs="宋体"/>
                <w:b/>
                <w:bCs/>
                <w:i w:val="0"/>
                <w:color w:val="auto"/>
                <w:sz w:val="22"/>
                <w:szCs w:val="22"/>
                <w:u w:val="none"/>
                <w:lang w:eastAsia="zh-CN"/>
              </w:rPr>
            </w:pPr>
          </w:p>
          <w:p w14:paraId="6BCBC301">
            <w:pPr>
              <w:keepNext w:val="0"/>
              <w:keepLines w:val="0"/>
              <w:widowControl/>
              <w:suppressLineNumbers w:val="0"/>
              <w:jc w:val="left"/>
              <w:textAlignment w:val="center"/>
              <w:rPr>
                <w:rFonts w:hint="eastAsia" w:ascii="宋体" w:hAnsi="宋体" w:cs="宋体"/>
                <w:b/>
                <w:bCs/>
                <w:i w:val="0"/>
                <w:color w:val="auto"/>
                <w:sz w:val="22"/>
                <w:szCs w:val="22"/>
                <w:u w:val="none"/>
                <w:lang w:eastAsia="zh-CN"/>
              </w:rPr>
            </w:pPr>
          </w:p>
          <w:p w14:paraId="3505090D">
            <w:pPr>
              <w:keepNext w:val="0"/>
              <w:keepLines w:val="0"/>
              <w:widowControl/>
              <w:suppressLineNumbers w:val="0"/>
              <w:jc w:val="center"/>
              <w:textAlignment w:val="center"/>
              <w:rPr>
                <w:rFonts w:hint="eastAsia" w:ascii="宋体" w:hAnsi="宋体" w:cs="宋体"/>
                <w:b/>
                <w:bCs/>
                <w:i w:val="0"/>
                <w:color w:val="auto"/>
                <w:sz w:val="22"/>
                <w:szCs w:val="22"/>
                <w:u w:val="none"/>
                <w:lang w:eastAsia="zh-CN"/>
              </w:rPr>
            </w:pPr>
            <w:r>
              <w:rPr>
                <w:rFonts w:hint="eastAsia" w:ascii="宋体" w:hAnsi="宋体" w:cs="宋体"/>
                <w:b/>
                <w:bCs/>
                <w:i w:val="0"/>
                <w:color w:val="auto"/>
                <w:sz w:val="22"/>
                <w:szCs w:val="22"/>
                <w:u w:val="none"/>
                <w:lang w:eastAsia="zh-CN"/>
              </w:rPr>
              <w:t>其它要求</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top"/>
          </w:tcPr>
          <w:p w14:paraId="18A193BE">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1、成交供应商施工前后杂物清理及外运； </w:t>
            </w:r>
          </w:p>
          <w:p w14:paraId="048F3DB0">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2、成交供应商需严格按照采购人需求及设计效果图保质保量施工，不得偷工减料； </w:t>
            </w:r>
          </w:p>
          <w:p w14:paraId="217CC7D3">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3、施工中使用的原材料必须为原厂全新材料，不得翻旧利旧，保证设计效果质量。</w:t>
            </w:r>
          </w:p>
          <w:p w14:paraId="40AE523C">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4、...</w:t>
            </w:r>
            <w:r>
              <w:rPr>
                <w:rFonts w:hint="eastAsia" w:ascii="宋体" w:hAnsi="宋体" w:cs="宋体"/>
                <w:i w:val="0"/>
                <w:color w:val="auto"/>
                <w:sz w:val="22"/>
                <w:szCs w:val="22"/>
                <w:u w:val="none"/>
                <w:lang w:eastAsia="zh-CN"/>
              </w:rPr>
              <w:t xml:space="preserve"> </w:t>
            </w:r>
          </w:p>
        </w:tc>
      </w:tr>
    </w:tbl>
    <w:p w14:paraId="7AE6B6A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left"/>
        <w:textAlignment w:val="auto"/>
        <w:rPr>
          <w:rFonts w:hint="eastAsia" w:asciiTheme="majorEastAsia" w:hAnsiTheme="majorEastAsia" w:eastAsiaTheme="majorEastAsia" w:cstheme="majorEastAsia"/>
          <w:b/>
          <w:bCs w:val="0"/>
          <w:i w:val="0"/>
          <w:color w:val="auto"/>
          <w:kern w:val="0"/>
          <w:sz w:val="28"/>
          <w:szCs w:val="28"/>
          <w:u w:val="none"/>
          <w:lang w:val="en-US" w:eastAsia="zh-CN" w:bidi="ar"/>
        </w:rPr>
      </w:pPr>
      <w:r>
        <w:rPr>
          <w:rFonts w:hint="eastAsia" w:asciiTheme="majorEastAsia" w:hAnsiTheme="majorEastAsia" w:eastAsiaTheme="majorEastAsia" w:cstheme="majorEastAsia"/>
          <w:b/>
          <w:bCs w:val="0"/>
          <w:i w:val="0"/>
          <w:color w:val="auto"/>
          <w:kern w:val="0"/>
          <w:sz w:val="28"/>
          <w:szCs w:val="28"/>
          <w:u w:val="none"/>
          <w:lang w:val="en-US" w:eastAsia="zh-CN" w:bidi="ar"/>
        </w:rPr>
        <w:t>（二）技术要求</w:t>
      </w:r>
    </w:p>
    <w:p w14:paraId="52EDF8EC">
      <w:pPr>
        <w:pStyle w:val="4"/>
        <w:keepNext w:val="0"/>
        <w:keepLines w:val="0"/>
        <w:pageBreakBefore w:val="0"/>
        <w:widowControl w:val="0"/>
        <w:kinsoku/>
        <w:wordWrap/>
        <w:overflowPunct/>
        <w:topLinePunct w:val="0"/>
        <w:autoSpaceDE/>
        <w:autoSpaceDN/>
        <w:bidi w:val="0"/>
        <w:adjustRightInd/>
        <w:snapToGrid/>
        <w:spacing w:beforeAutospacing="0" w:afterAutospacing="0" w:line="240" w:lineRule="auto"/>
        <w:ind w:left="0"/>
        <w:textAlignment w:val="auto"/>
        <w:rPr>
          <w:rFonts w:hint="eastAsia"/>
        </w:rPr>
      </w:pPr>
      <w:r>
        <w:rPr>
          <w:rFonts w:hint="eastAsia"/>
        </w:rPr>
        <w:t xml:space="preserve"> </w:t>
      </w:r>
      <w:r>
        <w:rPr>
          <w:rFonts w:hint="eastAsia"/>
          <w:b w:val="0"/>
          <w:bCs w:val="0"/>
          <w:sz w:val="28"/>
          <w:szCs w:val="28"/>
        </w:rPr>
        <w:t>工程量清单 （另附）</w:t>
      </w:r>
    </w:p>
    <w:p w14:paraId="63CD86E3">
      <w:pPr>
        <w:jc w:val="both"/>
        <w:rPr>
          <w:rFonts w:hint="eastAsia" w:asciiTheme="majorAscii"/>
          <w:b/>
          <w:bCs/>
          <w:color w:val="auto"/>
          <w:sz w:val="24"/>
          <w:szCs w:val="24"/>
          <w:lang w:val="en-US" w:eastAsia="zh-CN"/>
        </w:rPr>
      </w:pPr>
    </w:p>
    <w:tbl>
      <w:tblPr>
        <w:tblStyle w:val="14"/>
        <w:tblW w:w="8458"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8458"/>
      </w:tblGrid>
      <w:tr w14:paraId="39B84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8458" w:type="dxa"/>
            <w:shd w:val="clear" w:color="auto" w:fill="auto"/>
            <w:vAlign w:val="center"/>
          </w:tcPr>
          <w:p w14:paraId="69C03A93">
            <w:pPr>
              <w:keepNext w:val="0"/>
              <w:keepLines w:val="0"/>
              <w:widowControl/>
              <w:suppressLineNumbers w:val="0"/>
              <w:jc w:val="left"/>
              <w:textAlignment w:val="center"/>
              <w:rPr>
                <w:rFonts w:hint="eastAsia" w:ascii="宋体" w:hAnsi="宋体" w:eastAsia="宋体" w:cs="宋体"/>
                <w:b/>
                <w:i w:val="0"/>
                <w:color w:val="auto"/>
                <w:sz w:val="22"/>
                <w:szCs w:val="22"/>
                <w:u w:val="none"/>
              </w:rPr>
            </w:pPr>
            <w:r>
              <w:rPr>
                <w:rStyle w:val="24"/>
                <w:rFonts w:hint="eastAsia" w:ascii="黑体" w:hAnsi="黑体" w:eastAsia="黑体" w:cs="黑体"/>
                <w:b/>
                <w:bCs w:val="0"/>
                <w:color w:val="auto"/>
                <w:sz w:val="32"/>
                <w:szCs w:val="32"/>
                <w:lang w:val="en-US" w:eastAsia="zh-CN" w:bidi="ar"/>
              </w:rPr>
              <w:t>二、评标办法</w:t>
            </w:r>
          </w:p>
        </w:tc>
      </w:tr>
      <w:tr w14:paraId="57404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458" w:type="dxa"/>
            <w:shd w:val="clear" w:color="auto" w:fill="auto"/>
            <w:vAlign w:val="center"/>
          </w:tcPr>
          <w:p w14:paraId="195E345A">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Theme="majorEastAsia" w:hAnsiTheme="majorEastAsia" w:eastAsiaTheme="majorEastAsia" w:cstheme="majorEastAsia"/>
                <w:b/>
                <w:bCs/>
                <w:i/>
                <w:iCs/>
                <w:caps w:val="0"/>
                <w:color w:val="auto"/>
                <w:spacing w:val="0"/>
                <w:sz w:val="21"/>
                <w:szCs w:val="21"/>
                <w:u w:val="single"/>
                <w:shd w:val="clear" w:fill="FFFFFF"/>
              </w:rPr>
            </w:pPr>
            <w:r>
              <w:rPr>
                <w:rFonts w:hint="eastAsia" w:ascii="宋体" w:hAnsi="宋体" w:eastAsia="宋体" w:cs="宋体"/>
                <w:i w:val="0"/>
                <w:caps w:val="0"/>
                <w:color w:val="auto"/>
                <w:spacing w:val="0"/>
                <w:sz w:val="24"/>
                <w:szCs w:val="24"/>
                <w:u w:val="none"/>
                <w:shd w:val="clear" w:fill="FFFFFF"/>
                <w:lang w:eastAsia="zh-CN"/>
              </w:rPr>
              <w:t>☑</w:t>
            </w:r>
            <w:r>
              <w:rPr>
                <w:rFonts w:hint="eastAsia" w:asciiTheme="majorEastAsia" w:hAnsiTheme="majorEastAsia" w:eastAsiaTheme="majorEastAsia" w:cstheme="majorEastAsia"/>
                <w:i w:val="0"/>
                <w:caps w:val="0"/>
                <w:color w:val="auto"/>
                <w:spacing w:val="0"/>
                <w:sz w:val="28"/>
                <w:szCs w:val="28"/>
                <w:u w:val="none"/>
                <w:shd w:val="clear" w:fill="FFFFFF"/>
              </w:rPr>
              <w:t>最低评标价法</w:t>
            </w:r>
          </w:p>
          <w:p w14:paraId="3B7495D6">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r>
    </w:tbl>
    <w:p w14:paraId="66DC3882"/>
    <w:p w14:paraId="61DB0E05">
      <w:pPr>
        <w:sectPr>
          <w:pgSz w:w="11906" w:h="16838"/>
          <w:pgMar w:top="1440" w:right="1800" w:bottom="1440" w:left="1800" w:header="851" w:footer="992" w:gutter="0"/>
          <w:cols w:space="425" w:num="1"/>
          <w:docGrid w:type="lines" w:linePitch="312" w:charSpace="0"/>
        </w:sectPr>
      </w:pPr>
    </w:p>
    <w:tbl>
      <w:tblPr>
        <w:tblStyle w:val="14"/>
        <w:tblW w:w="138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2"/>
        <w:gridCol w:w="2232"/>
        <w:gridCol w:w="4307"/>
        <w:gridCol w:w="661"/>
        <w:gridCol w:w="784"/>
        <w:gridCol w:w="757"/>
        <w:gridCol w:w="1225"/>
        <w:gridCol w:w="853"/>
        <w:gridCol w:w="1060"/>
        <w:gridCol w:w="1431"/>
      </w:tblGrid>
      <w:tr w14:paraId="34FF5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3892" w:type="dxa"/>
            <w:gridSpan w:val="10"/>
            <w:tcBorders>
              <w:top w:val="nil"/>
              <w:left w:val="nil"/>
              <w:bottom w:val="single" w:color="000000" w:sz="4" w:space="0"/>
              <w:right w:val="nil"/>
            </w:tcBorders>
            <w:shd w:val="clear" w:color="auto" w:fill="auto"/>
            <w:vAlign w:val="center"/>
          </w:tcPr>
          <w:p w14:paraId="13B4D513">
            <w:pPr>
              <w:keepNext w:val="0"/>
              <w:keepLines w:val="0"/>
              <w:widowControl/>
              <w:suppressLineNumbers w:val="0"/>
              <w:jc w:val="both"/>
              <w:textAlignment w:val="center"/>
              <w:rPr>
                <w:rFonts w:hint="eastAsia" w:ascii="黑体" w:hAnsi="宋体" w:eastAsia="黑体" w:cs="黑体"/>
                <w:b/>
                <w:bCs/>
                <w:i w:val="0"/>
                <w:iCs w:val="0"/>
                <w:color w:val="000000"/>
                <w:kern w:val="0"/>
                <w:sz w:val="21"/>
                <w:szCs w:val="21"/>
                <w:u w:val="none"/>
                <w:lang w:val="en-US" w:eastAsia="zh-CN" w:bidi="ar"/>
              </w:rPr>
            </w:pPr>
            <w:r>
              <w:rPr>
                <w:rFonts w:hint="eastAsia" w:ascii="仿宋_GB2312" w:hAnsi="仿宋_GB2312" w:eastAsia="仿宋_GB2312" w:cs="仿宋_GB2312"/>
                <w:b/>
                <w:bCs/>
                <w:sz w:val="28"/>
                <w:szCs w:val="28"/>
                <w:u w:val="single"/>
                <w:lang w:val="en-US" w:eastAsia="zh-CN"/>
              </w:rPr>
              <w:t>注：此附件4工程类报价单，采购人可参考使用！采购人发布竞价信息时可要求供应商提交报价时，同时提供此详细报价表。</w:t>
            </w:r>
          </w:p>
          <w:p w14:paraId="09B92B7C">
            <w:pPr>
              <w:keepNext w:val="0"/>
              <w:keepLines w:val="0"/>
              <w:widowControl/>
              <w:suppressLineNumbers w:val="0"/>
              <w:jc w:val="both"/>
              <w:textAlignment w:val="center"/>
              <w:rPr>
                <w:rFonts w:hint="default" w:ascii="黑体" w:hAnsi="宋体" w:eastAsia="黑体" w:cs="黑体"/>
                <w:b/>
                <w:bCs/>
                <w:i w:val="0"/>
                <w:iCs w:val="0"/>
                <w:color w:val="000000"/>
                <w:kern w:val="0"/>
                <w:sz w:val="21"/>
                <w:szCs w:val="21"/>
                <w:u w:val="none"/>
                <w:lang w:val="en-US" w:eastAsia="zh-CN" w:bidi="ar"/>
              </w:rPr>
            </w:pPr>
            <w:r>
              <w:rPr>
                <w:rFonts w:hint="eastAsia" w:ascii="黑体" w:hAnsi="宋体" w:eastAsia="黑体" w:cs="黑体"/>
                <w:b/>
                <w:bCs/>
                <w:i w:val="0"/>
                <w:iCs w:val="0"/>
                <w:color w:val="000000"/>
                <w:kern w:val="0"/>
                <w:sz w:val="21"/>
                <w:szCs w:val="21"/>
                <w:u w:val="none"/>
                <w:lang w:val="en-US" w:eastAsia="zh-CN" w:bidi="ar"/>
              </w:rPr>
              <w:t>附件：4</w:t>
            </w:r>
          </w:p>
          <w:p w14:paraId="4CC777B6">
            <w:pPr>
              <w:ind w:firstLine="3520" w:firstLineChars="800"/>
              <w:rPr>
                <w:rFonts w:hint="eastAsia" w:ascii="宋体" w:hAnsi="宋体" w:eastAsia="宋体" w:cs="宋体"/>
                <w:i w:val="0"/>
                <w:iCs w:val="0"/>
                <w:color w:val="000000"/>
                <w:sz w:val="22"/>
                <w:szCs w:val="22"/>
                <w:u w:val="none"/>
              </w:rPr>
            </w:pPr>
            <w:r>
              <w:rPr>
                <w:rFonts w:hint="eastAsia" w:ascii="黑体" w:hAnsi="宋体" w:eastAsia="黑体" w:cs="黑体"/>
                <w:i w:val="0"/>
                <w:iCs w:val="0"/>
                <w:color w:val="000000"/>
                <w:kern w:val="0"/>
                <w:sz w:val="44"/>
                <w:szCs w:val="44"/>
                <w:u w:val="none"/>
                <w:lang w:val="en-US" w:eastAsia="zh-CN" w:bidi="ar"/>
              </w:rPr>
              <w:t>XXX单位XXX项目报价单（工程类）</w:t>
            </w:r>
          </w:p>
        </w:tc>
      </w:tr>
      <w:tr w14:paraId="688DA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5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AE61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223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BF89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项目名称</w:t>
            </w:r>
          </w:p>
        </w:tc>
        <w:tc>
          <w:tcPr>
            <w:tcW w:w="43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DD67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项目特征描述</w:t>
            </w: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ECD8D">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计量</w:t>
            </w:r>
          </w:p>
          <w:p w14:paraId="47528F2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78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C083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工程量</w:t>
            </w:r>
          </w:p>
        </w:tc>
        <w:tc>
          <w:tcPr>
            <w:tcW w:w="389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45B5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金额（元）</w:t>
            </w:r>
          </w:p>
        </w:tc>
        <w:tc>
          <w:tcPr>
            <w:tcW w:w="1431" w:type="dxa"/>
            <w:vMerge w:val="restart"/>
            <w:tcBorders>
              <w:top w:val="single" w:color="000000" w:sz="4" w:space="0"/>
              <w:left w:val="nil"/>
              <w:bottom w:val="single" w:color="000000" w:sz="4" w:space="0"/>
              <w:right w:val="single" w:color="000000" w:sz="4" w:space="0"/>
            </w:tcBorders>
            <w:shd w:val="clear" w:color="auto" w:fill="auto"/>
            <w:vAlign w:val="center"/>
          </w:tcPr>
          <w:p w14:paraId="1B581AF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计划工期</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（日历日）</w:t>
            </w:r>
          </w:p>
        </w:tc>
      </w:tr>
      <w:tr w14:paraId="515A2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 w:hRule="atLeast"/>
        </w:trPr>
        <w:tc>
          <w:tcPr>
            <w:tcW w:w="5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35C26">
            <w:pPr>
              <w:jc w:val="center"/>
              <w:rPr>
                <w:rFonts w:hint="eastAsia" w:ascii="宋体" w:hAnsi="宋体" w:eastAsia="宋体" w:cs="宋体"/>
                <w:b/>
                <w:bCs/>
                <w:i w:val="0"/>
                <w:iCs w:val="0"/>
                <w:color w:val="000000"/>
                <w:sz w:val="22"/>
                <w:szCs w:val="22"/>
                <w:u w:val="none"/>
              </w:rPr>
            </w:pPr>
          </w:p>
        </w:tc>
        <w:tc>
          <w:tcPr>
            <w:tcW w:w="223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2343E">
            <w:pPr>
              <w:jc w:val="center"/>
              <w:rPr>
                <w:rFonts w:hint="eastAsia" w:ascii="宋体" w:hAnsi="宋体" w:eastAsia="宋体" w:cs="宋体"/>
                <w:b/>
                <w:bCs/>
                <w:i w:val="0"/>
                <w:iCs w:val="0"/>
                <w:color w:val="000000"/>
                <w:sz w:val="22"/>
                <w:szCs w:val="22"/>
                <w:u w:val="none"/>
              </w:rPr>
            </w:pPr>
          </w:p>
        </w:tc>
        <w:tc>
          <w:tcPr>
            <w:tcW w:w="43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38EA3">
            <w:pPr>
              <w:jc w:val="center"/>
              <w:rPr>
                <w:rFonts w:hint="eastAsia" w:ascii="宋体" w:hAnsi="宋体" w:eastAsia="宋体" w:cs="宋体"/>
                <w:b/>
                <w:bCs/>
                <w:i w:val="0"/>
                <w:iCs w:val="0"/>
                <w:color w:val="000000"/>
                <w:sz w:val="22"/>
                <w:szCs w:val="22"/>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A53A4">
            <w:pPr>
              <w:jc w:val="center"/>
              <w:rPr>
                <w:rFonts w:hint="eastAsia" w:ascii="宋体" w:hAnsi="宋体" w:eastAsia="宋体" w:cs="宋体"/>
                <w:b/>
                <w:bCs/>
                <w:i w:val="0"/>
                <w:iCs w:val="0"/>
                <w:color w:val="000000"/>
                <w:sz w:val="22"/>
                <w:szCs w:val="22"/>
                <w:u w:val="none"/>
              </w:rPr>
            </w:pPr>
          </w:p>
        </w:tc>
        <w:tc>
          <w:tcPr>
            <w:tcW w:w="78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FD10B">
            <w:pPr>
              <w:jc w:val="center"/>
              <w:rPr>
                <w:rFonts w:hint="eastAsia" w:ascii="宋体" w:hAnsi="宋体" w:eastAsia="宋体" w:cs="宋体"/>
                <w:b/>
                <w:bCs/>
                <w:i w:val="0"/>
                <w:iCs w:val="0"/>
                <w:color w:val="000000"/>
                <w:sz w:val="22"/>
                <w:szCs w:val="22"/>
                <w:u w:val="none"/>
              </w:rPr>
            </w:pPr>
          </w:p>
        </w:tc>
        <w:tc>
          <w:tcPr>
            <w:tcW w:w="757" w:type="dxa"/>
            <w:vMerge w:val="restart"/>
            <w:tcBorders>
              <w:top w:val="single" w:color="000000" w:sz="4" w:space="0"/>
              <w:left w:val="single" w:color="000000" w:sz="4" w:space="0"/>
              <w:right w:val="single" w:color="000000" w:sz="4" w:space="0"/>
            </w:tcBorders>
            <w:shd w:val="clear" w:color="auto" w:fill="auto"/>
            <w:noWrap/>
            <w:vAlign w:val="center"/>
          </w:tcPr>
          <w:p w14:paraId="386F6368">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综合</w:t>
            </w:r>
          </w:p>
          <w:p w14:paraId="23D1C37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1225" w:type="dxa"/>
            <w:vMerge w:val="restart"/>
            <w:tcBorders>
              <w:top w:val="single" w:color="000000" w:sz="4" w:space="0"/>
              <w:left w:val="single" w:color="000000" w:sz="4" w:space="0"/>
              <w:right w:val="single" w:color="auto" w:sz="4" w:space="0"/>
            </w:tcBorders>
            <w:shd w:val="clear" w:color="auto" w:fill="auto"/>
            <w:noWrap/>
            <w:vAlign w:val="center"/>
          </w:tcPr>
          <w:p w14:paraId="52D930B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合价</w:t>
            </w:r>
          </w:p>
        </w:tc>
        <w:tc>
          <w:tcPr>
            <w:tcW w:w="1913" w:type="dxa"/>
            <w:gridSpan w:val="2"/>
            <w:tcBorders>
              <w:top w:val="single" w:color="000000" w:sz="4" w:space="0"/>
              <w:left w:val="single" w:color="auto" w:sz="4" w:space="0"/>
              <w:bottom w:val="single" w:color="auto" w:sz="4" w:space="0"/>
              <w:right w:val="single" w:color="000000" w:sz="4" w:space="0"/>
            </w:tcBorders>
            <w:shd w:val="clear" w:color="auto" w:fill="auto"/>
            <w:noWrap/>
            <w:vAlign w:val="center"/>
          </w:tcPr>
          <w:p w14:paraId="17C97DE0">
            <w:pPr>
              <w:keepNext w:val="0"/>
              <w:keepLines w:val="0"/>
              <w:widowControl/>
              <w:suppressLineNumbers w:val="0"/>
              <w:ind w:firstLine="442" w:firstLineChars="200"/>
              <w:jc w:val="both"/>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其中</w:t>
            </w:r>
          </w:p>
        </w:tc>
        <w:tc>
          <w:tcPr>
            <w:tcW w:w="1431" w:type="dxa"/>
            <w:vMerge w:val="continue"/>
            <w:tcBorders>
              <w:top w:val="single" w:color="000000" w:sz="4" w:space="0"/>
              <w:left w:val="nil"/>
              <w:bottom w:val="single" w:color="000000" w:sz="4" w:space="0"/>
              <w:right w:val="single" w:color="000000" w:sz="4" w:space="0"/>
            </w:tcBorders>
            <w:shd w:val="clear" w:color="auto" w:fill="auto"/>
            <w:vAlign w:val="center"/>
          </w:tcPr>
          <w:p w14:paraId="02C9E288">
            <w:pPr>
              <w:jc w:val="center"/>
              <w:rPr>
                <w:rFonts w:hint="eastAsia" w:ascii="宋体" w:hAnsi="宋体" w:eastAsia="宋体" w:cs="宋体"/>
                <w:b/>
                <w:bCs/>
                <w:i w:val="0"/>
                <w:iCs w:val="0"/>
                <w:color w:val="000000"/>
                <w:sz w:val="22"/>
                <w:szCs w:val="22"/>
                <w:u w:val="none"/>
              </w:rPr>
            </w:pPr>
          </w:p>
        </w:tc>
      </w:tr>
      <w:tr w14:paraId="3A1AD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 w:hRule="atLeast"/>
        </w:trPr>
        <w:tc>
          <w:tcPr>
            <w:tcW w:w="582" w:type="dxa"/>
            <w:vMerge w:val="continue"/>
            <w:tcBorders>
              <w:left w:val="single" w:color="000000" w:sz="4" w:space="0"/>
              <w:bottom w:val="single" w:color="000000" w:sz="4" w:space="0"/>
              <w:right w:val="single" w:color="000000" w:sz="4" w:space="0"/>
            </w:tcBorders>
            <w:shd w:val="clear" w:color="auto" w:fill="auto"/>
            <w:noWrap/>
            <w:vAlign w:val="center"/>
          </w:tcPr>
          <w:p w14:paraId="389DFEE5">
            <w:pPr>
              <w:jc w:val="center"/>
              <w:rPr>
                <w:rFonts w:hint="eastAsia" w:ascii="宋体" w:hAnsi="宋体" w:eastAsia="宋体" w:cs="宋体"/>
                <w:b/>
                <w:bCs/>
                <w:i w:val="0"/>
                <w:iCs w:val="0"/>
                <w:color w:val="000000"/>
                <w:sz w:val="22"/>
                <w:szCs w:val="22"/>
                <w:u w:val="none"/>
              </w:rPr>
            </w:pPr>
          </w:p>
        </w:tc>
        <w:tc>
          <w:tcPr>
            <w:tcW w:w="2232" w:type="dxa"/>
            <w:vMerge w:val="continue"/>
            <w:tcBorders>
              <w:left w:val="single" w:color="000000" w:sz="4" w:space="0"/>
              <w:bottom w:val="single" w:color="000000" w:sz="4" w:space="0"/>
              <w:right w:val="single" w:color="000000" w:sz="4" w:space="0"/>
            </w:tcBorders>
            <w:shd w:val="clear" w:color="auto" w:fill="auto"/>
            <w:noWrap/>
            <w:vAlign w:val="center"/>
          </w:tcPr>
          <w:p w14:paraId="606B605A">
            <w:pPr>
              <w:jc w:val="center"/>
              <w:rPr>
                <w:rFonts w:hint="eastAsia" w:ascii="宋体" w:hAnsi="宋体" w:eastAsia="宋体" w:cs="宋体"/>
                <w:b/>
                <w:bCs/>
                <w:i w:val="0"/>
                <w:iCs w:val="0"/>
                <w:color w:val="000000"/>
                <w:sz w:val="22"/>
                <w:szCs w:val="22"/>
                <w:u w:val="none"/>
              </w:rPr>
            </w:pPr>
          </w:p>
        </w:tc>
        <w:tc>
          <w:tcPr>
            <w:tcW w:w="4307" w:type="dxa"/>
            <w:vMerge w:val="continue"/>
            <w:tcBorders>
              <w:left w:val="single" w:color="000000" w:sz="4" w:space="0"/>
              <w:bottom w:val="single" w:color="000000" w:sz="4" w:space="0"/>
              <w:right w:val="single" w:color="000000" w:sz="4" w:space="0"/>
            </w:tcBorders>
            <w:shd w:val="clear" w:color="auto" w:fill="auto"/>
            <w:noWrap/>
            <w:vAlign w:val="center"/>
          </w:tcPr>
          <w:p w14:paraId="516E54DA">
            <w:pPr>
              <w:jc w:val="center"/>
              <w:rPr>
                <w:rFonts w:hint="eastAsia" w:ascii="宋体" w:hAnsi="宋体" w:eastAsia="宋体" w:cs="宋体"/>
                <w:b/>
                <w:bCs/>
                <w:i w:val="0"/>
                <w:iCs w:val="0"/>
                <w:color w:val="000000"/>
                <w:sz w:val="22"/>
                <w:szCs w:val="22"/>
                <w:u w:val="none"/>
              </w:rPr>
            </w:pPr>
          </w:p>
        </w:tc>
        <w:tc>
          <w:tcPr>
            <w:tcW w:w="661" w:type="dxa"/>
            <w:vMerge w:val="continue"/>
            <w:tcBorders>
              <w:left w:val="single" w:color="000000" w:sz="4" w:space="0"/>
              <w:bottom w:val="single" w:color="000000" w:sz="4" w:space="0"/>
              <w:right w:val="single" w:color="000000" w:sz="4" w:space="0"/>
            </w:tcBorders>
            <w:shd w:val="clear" w:color="auto" w:fill="auto"/>
            <w:noWrap/>
            <w:vAlign w:val="center"/>
          </w:tcPr>
          <w:p w14:paraId="6946BE32">
            <w:pPr>
              <w:jc w:val="center"/>
              <w:rPr>
                <w:rFonts w:hint="eastAsia" w:ascii="宋体" w:hAnsi="宋体" w:eastAsia="宋体" w:cs="宋体"/>
                <w:b/>
                <w:bCs/>
                <w:i w:val="0"/>
                <w:iCs w:val="0"/>
                <w:color w:val="000000"/>
                <w:sz w:val="22"/>
                <w:szCs w:val="22"/>
                <w:u w:val="none"/>
              </w:rPr>
            </w:pPr>
          </w:p>
        </w:tc>
        <w:tc>
          <w:tcPr>
            <w:tcW w:w="784" w:type="dxa"/>
            <w:vMerge w:val="continue"/>
            <w:tcBorders>
              <w:left w:val="single" w:color="000000" w:sz="4" w:space="0"/>
              <w:bottom w:val="single" w:color="000000" w:sz="4" w:space="0"/>
              <w:right w:val="single" w:color="000000" w:sz="4" w:space="0"/>
            </w:tcBorders>
            <w:shd w:val="clear" w:color="auto" w:fill="auto"/>
            <w:noWrap/>
            <w:vAlign w:val="center"/>
          </w:tcPr>
          <w:p w14:paraId="04C42593">
            <w:pPr>
              <w:jc w:val="center"/>
              <w:rPr>
                <w:rFonts w:hint="eastAsia" w:ascii="宋体" w:hAnsi="宋体" w:eastAsia="宋体" w:cs="宋体"/>
                <w:b/>
                <w:bCs/>
                <w:i w:val="0"/>
                <w:iCs w:val="0"/>
                <w:color w:val="000000"/>
                <w:sz w:val="22"/>
                <w:szCs w:val="22"/>
                <w:u w:val="none"/>
              </w:rPr>
            </w:pPr>
          </w:p>
        </w:tc>
        <w:tc>
          <w:tcPr>
            <w:tcW w:w="757" w:type="dxa"/>
            <w:vMerge w:val="continue"/>
            <w:tcBorders>
              <w:left w:val="single" w:color="000000" w:sz="4" w:space="0"/>
              <w:bottom w:val="single" w:color="000000" w:sz="4" w:space="0"/>
              <w:right w:val="single" w:color="000000" w:sz="4" w:space="0"/>
            </w:tcBorders>
            <w:shd w:val="clear" w:color="auto" w:fill="auto"/>
            <w:noWrap/>
            <w:vAlign w:val="center"/>
          </w:tcPr>
          <w:p w14:paraId="732F0A1C">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c>
          <w:tcPr>
            <w:tcW w:w="1225" w:type="dxa"/>
            <w:vMerge w:val="continue"/>
            <w:tcBorders>
              <w:left w:val="single" w:color="000000" w:sz="4" w:space="0"/>
              <w:bottom w:val="single" w:color="000000" w:sz="4" w:space="0"/>
              <w:right w:val="single" w:color="auto" w:sz="4" w:space="0"/>
            </w:tcBorders>
            <w:shd w:val="clear" w:color="auto" w:fill="auto"/>
            <w:noWrap/>
            <w:vAlign w:val="center"/>
          </w:tcPr>
          <w:p w14:paraId="46F626E9">
            <w:pPr>
              <w:keepNext w:val="0"/>
              <w:keepLines w:val="0"/>
              <w:widowControl/>
              <w:suppressLineNumbers w:val="0"/>
              <w:jc w:val="both"/>
              <w:textAlignment w:val="center"/>
              <w:rPr>
                <w:rFonts w:hint="eastAsia" w:ascii="宋体" w:hAnsi="宋体" w:eastAsia="宋体" w:cs="宋体"/>
                <w:b/>
                <w:bCs/>
                <w:i w:val="0"/>
                <w:iCs w:val="0"/>
                <w:color w:val="000000"/>
                <w:kern w:val="0"/>
                <w:sz w:val="22"/>
                <w:szCs w:val="22"/>
                <w:u w:val="none"/>
                <w:lang w:val="en-US" w:eastAsia="zh-CN" w:bidi="ar"/>
              </w:rPr>
            </w:pPr>
          </w:p>
        </w:tc>
        <w:tc>
          <w:tcPr>
            <w:tcW w:w="853" w:type="dxa"/>
            <w:tcBorders>
              <w:top w:val="single" w:color="auto" w:sz="4" w:space="0"/>
              <w:left w:val="single" w:color="auto" w:sz="4" w:space="0"/>
              <w:bottom w:val="single" w:color="000000" w:sz="4" w:space="0"/>
              <w:right w:val="single" w:color="auto" w:sz="4" w:space="0"/>
            </w:tcBorders>
            <w:shd w:val="clear" w:color="auto" w:fill="auto"/>
            <w:noWrap/>
            <w:vAlign w:val="center"/>
          </w:tcPr>
          <w:p w14:paraId="47CCA34B">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i w:val="0"/>
                <w:color w:val="000000"/>
                <w:kern w:val="0"/>
                <w:sz w:val="20"/>
                <w:szCs w:val="20"/>
                <w:u w:val="none"/>
                <w:lang w:val="en-US" w:eastAsia="zh-CN" w:bidi="ar"/>
              </w:rPr>
              <w:t>材料费</w:t>
            </w:r>
          </w:p>
        </w:tc>
        <w:tc>
          <w:tcPr>
            <w:tcW w:w="1060" w:type="dxa"/>
            <w:tcBorders>
              <w:top w:val="single" w:color="auto" w:sz="4" w:space="0"/>
              <w:left w:val="single" w:color="auto" w:sz="4" w:space="0"/>
              <w:bottom w:val="single" w:color="000000" w:sz="4" w:space="0"/>
              <w:right w:val="single" w:color="000000" w:sz="4" w:space="0"/>
            </w:tcBorders>
            <w:shd w:val="clear" w:color="auto" w:fill="auto"/>
            <w:noWrap/>
            <w:vAlign w:val="center"/>
          </w:tcPr>
          <w:p w14:paraId="787A09CD">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i w:val="0"/>
                <w:color w:val="000000"/>
                <w:kern w:val="0"/>
                <w:sz w:val="20"/>
                <w:szCs w:val="20"/>
                <w:u w:val="none"/>
                <w:lang w:val="en-US" w:eastAsia="zh-CN" w:bidi="ar"/>
              </w:rPr>
              <w:t>人工费</w:t>
            </w:r>
          </w:p>
        </w:tc>
        <w:tc>
          <w:tcPr>
            <w:tcW w:w="1431" w:type="dxa"/>
            <w:vMerge w:val="continue"/>
            <w:tcBorders>
              <w:left w:val="nil"/>
              <w:bottom w:val="single" w:color="000000" w:sz="4" w:space="0"/>
              <w:right w:val="single" w:color="000000" w:sz="4" w:space="0"/>
            </w:tcBorders>
            <w:shd w:val="clear" w:color="auto" w:fill="auto"/>
            <w:vAlign w:val="center"/>
          </w:tcPr>
          <w:p w14:paraId="4FDB0F76">
            <w:pPr>
              <w:jc w:val="center"/>
              <w:rPr>
                <w:rFonts w:hint="eastAsia" w:ascii="宋体" w:hAnsi="宋体" w:eastAsia="宋体" w:cs="宋体"/>
                <w:b/>
                <w:bCs/>
                <w:i w:val="0"/>
                <w:iCs w:val="0"/>
                <w:color w:val="000000"/>
                <w:sz w:val="22"/>
                <w:szCs w:val="22"/>
                <w:u w:val="none"/>
              </w:rPr>
            </w:pPr>
          </w:p>
        </w:tc>
      </w:tr>
      <w:tr w14:paraId="45CEDA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8EB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2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D3466">
            <w:pPr>
              <w:rPr>
                <w:rFonts w:hint="eastAsia" w:ascii="宋体" w:hAnsi="宋体" w:eastAsia="宋体" w:cs="宋体"/>
                <w:i w:val="0"/>
                <w:iCs w:val="0"/>
                <w:color w:val="000000"/>
                <w:sz w:val="22"/>
                <w:szCs w:val="22"/>
                <w:u w:val="none"/>
              </w:rPr>
            </w:pPr>
          </w:p>
        </w:tc>
        <w:tc>
          <w:tcPr>
            <w:tcW w:w="43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0F527">
            <w:pPr>
              <w:rPr>
                <w:rFonts w:hint="eastAsia" w:ascii="宋体" w:hAnsi="宋体" w:eastAsia="宋体" w:cs="宋体"/>
                <w:i w:val="0"/>
                <w:iCs w:val="0"/>
                <w:color w:val="000000"/>
                <w:sz w:val="22"/>
                <w:szCs w:val="22"/>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42AF8">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5987A">
            <w:pPr>
              <w:rPr>
                <w:rFonts w:hint="eastAsia" w:ascii="宋体" w:hAnsi="宋体" w:eastAsia="宋体" w:cs="宋体"/>
                <w:i w:val="0"/>
                <w:iCs w:val="0"/>
                <w:color w:val="000000"/>
                <w:sz w:val="22"/>
                <w:szCs w:val="22"/>
                <w:u w:val="none"/>
              </w:rPr>
            </w:pPr>
          </w:p>
        </w:tc>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F2008">
            <w:pPr>
              <w:rPr>
                <w:rFonts w:hint="eastAsia" w:ascii="宋体" w:hAnsi="宋体" w:eastAsia="宋体" w:cs="宋体"/>
                <w:i w:val="0"/>
                <w:iCs w:val="0"/>
                <w:color w:val="000000"/>
                <w:sz w:val="22"/>
                <w:szCs w:val="22"/>
                <w:u w:val="none"/>
              </w:rPr>
            </w:pPr>
          </w:p>
        </w:tc>
        <w:tc>
          <w:tcPr>
            <w:tcW w:w="1225"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5593D7E0">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auto" w:sz="4" w:space="0"/>
              <w:bottom w:val="single" w:color="000000" w:sz="4" w:space="0"/>
              <w:right w:val="single" w:color="auto" w:sz="4" w:space="0"/>
            </w:tcBorders>
            <w:shd w:val="clear" w:color="auto" w:fill="auto"/>
            <w:noWrap/>
            <w:vAlign w:val="center"/>
          </w:tcPr>
          <w:p w14:paraId="5D3E9614">
            <w:pPr>
              <w:rPr>
                <w:rFonts w:hint="eastAsia" w:ascii="宋体" w:hAnsi="宋体" w:eastAsia="宋体" w:cs="宋体"/>
                <w:i w:val="0"/>
                <w:iCs w:val="0"/>
                <w:color w:val="000000"/>
                <w:sz w:val="22"/>
                <w:szCs w:val="22"/>
                <w:u w:val="none"/>
              </w:rPr>
            </w:pPr>
          </w:p>
        </w:tc>
        <w:tc>
          <w:tcPr>
            <w:tcW w:w="1060"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0B2F6D87">
            <w:pPr>
              <w:rPr>
                <w:rFonts w:hint="eastAsia" w:ascii="宋体" w:hAnsi="宋体" w:eastAsia="宋体" w:cs="宋体"/>
                <w:i w:val="0"/>
                <w:iCs w:val="0"/>
                <w:color w:val="000000"/>
                <w:sz w:val="22"/>
                <w:szCs w:val="22"/>
                <w:u w:val="none"/>
              </w:rPr>
            </w:pPr>
          </w:p>
        </w:tc>
        <w:tc>
          <w:tcPr>
            <w:tcW w:w="14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D39C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自合同签订之日起XX日</w:t>
            </w:r>
          </w:p>
        </w:tc>
      </w:tr>
      <w:tr w14:paraId="2EB21A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628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2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C4FD2">
            <w:pPr>
              <w:rPr>
                <w:rFonts w:hint="eastAsia" w:ascii="宋体" w:hAnsi="宋体" w:eastAsia="宋体" w:cs="宋体"/>
                <w:i w:val="0"/>
                <w:iCs w:val="0"/>
                <w:color w:val="000000"/>
                <w:sz w:val="22"/>
                <w:szCs w:val="22"/>
                <w:u w:val="none"/>
              </w:rPr>
            </w:pPr>
          </w:p>
        </w:tc>
        <w:tc>
          <w:tcPr>
            <w:tcW w:w="43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26429">
            <w:pPr>
              <w:rPr>
                <w:rFonts w:hint="eastAsia" w:ascii="宋体" w:hAnsi="宋体" w:eastAsia="宋体" w:cs="宋体"/>
                <w:i w:val="0"/>
                <w:iCs w:val="0"/>
                <w:color w:val="000000"/>
                <w:sz w:val="22"/>
                <w:szCs w:val="22"/>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76D9E">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BF947">
            <w:pPr>
              <w:rPr>
                <w:rFonts w:hint="eastAsia" w:ascii="宋体" w:hAnsi="宋体" w:eastAsia="宋体" w:cs="宋体"/>
                <w:i w:val="0"/>
                <w:iCs w:val="0"/>
                <w:color w:val="000000"/>
                <w:sz w:val="22"/>
                <w:szCs w:val="22"/>
                <w:u w:val="none"/>
              </w:rPr>
            </w:pPr>
          </w:p>
        </w:tc>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7DE74">
            <w:pPr>
              <w:rPr>
                <w:rFonts w:hint="eastAsia" w:ascii="宋体" w:hAnsi="宋体" w:eastAsia="宋体" w:cs="宋体"/>
                <w:i w:val="0"/>
                <w:iCs w:val="0"/>
                <w:color w:val="000000"/>
                <w:sz w:val="22"/>
                <w:szCs w:val="22"/>
                <w:u w:val="none"/>
              </w:rPr>
            </w:pPr>
          </w:p>
        </w:tc>
        <w:tc>
          <w:tcPr>
            <w:tcW w:w="1225"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4F6606F1">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auto" w:sz="4" w:space="0"/>
              <w:bottom w:val="single" w:color="000000" w:sz="4" w:space="0"/>
              <w:right w:val="single" w:color="auto" w:sz="4" w:space="0"/>
            </w:tcBorders>
            <w:shd w:val="clear" w:color="auto" w:fill="auto"/>
            <w:noWrap/>
            <w:vAlign w:val="center"/>
          </w:tcPr>
          <w:p w14:paraId="24AD2AEB">
            <w:pPr>
              <w:rPr>
                <w:rFonts w:hint="eastAsia" w:ascii="宋体" w:hAnsi="宋体" w:eastAsia="宋体" w:cs="宋体"/>
                <w:i w:val="0"/>
                <w:iCs w:val="0"/>
                <w:color w:val="000000"/>
                <w:sz w:val="22"/>
                <w:szCs w:val="22"/>
                <w:u w:val="none"/>
              </w:rPr>
            </w:pPr>
          </w:p>
        </w:tc>
        <w:tc>
          <w:tcPr>
            <w:tcW w:w="1060"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472A1093">
            <w:pPr>
              <w:rPr>
                <w:rFonts w:hint="eastAsia" w:ascii="宋体" w:hAnsi="宋体" w:eastAsia="宋体" w:cs="宋体"/>
                <w:i w:val="0"/>
                <w:iCs w:val="0"/>
                <w:color w:val="000000"/>
                <w:sz w:val="22"/>
                <w:szCs w:val="22"/>
                <w:u w:val="none"/>
              </w:rPr>
            </w:pPr>
          </w:p>
        </w:tc>
        <w:tc>
          <w:tcPr>
            <w:tcW w:w="14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D1F10">
            <w:pPr>
              <w:jc w:val="center"/>
              <w:rPr>
                <w:rFonts w:hint="eastAsia" w:ascii="宋体" w:hAnsi="宋体" w:eastAsia="宋体" w:cs="宋体"/>
                <w:i w:val="0"/>
                <w:iCs w:val="0"/>
                <w:color w:val="000000"/>
                <w:sz w:val="22"/>
                <w:szCs w:val="22"/>
                <w:u w:val="none"/>
              </w:rPr>
            </w:pPr>
          </w:p>
        </w:tc>
      </w:tr>
      <w:tr w14:paraId="3B029D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6AD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2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61ADD">
            <w:pPr>
              <w:rPr>
                <w:rFonts w:hint="eastAsia" w:ascii="宋体" w:hAnsi="宋体" w:eastAsia="宋体" w:cs="宋体"/>
                <w:i w:val="0"/>
                <w:iCs w:val="0"/>
                <w:color w:val="000000"/>
                <w:sz w:val="22"/>
                <w:szCs w:val="22"/>
                <w:u w:val="none"/>
              </w:rPr>
            </w:pPr>
          </w:p>
        </w:tc>
        <w:tc>
          <w:tcPr>
            <w:tcW w:w="43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A3EB4">
            <w:pPr>
              <w:rPr>
                <w:rFonts w:hint="eastAsia" w:ascii="宋体" w:hAnsi="宋体" w:eastAsia="宋体" w:cs="宋体"/>
                <w:i w:val="0"/>
                <w:iCs w:val="0"/>
                <w:color w:val="000000"/>
                <w:sz w:val="22"/>
                <w:szCs w:val="22"/>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CF542">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B77B8">
            <w:pPr>
              <w:rPr>
                <w:rFonts w:hint="eastAsia" w:ascii="宋体" w:hAnsi="宋体" w:eastAsia="宋体" w:cs="宋体"/>
                <w:i w:val="0"/>
                <w:iCs w:val="0"/>
                <w:color w:val="000000"/>
                <w:sz w:val="22"/>
                <w:szCs w:val="22"/>
                <w:u w:val="none"/>
              </w:rPr>
            </w:pPr>
          </w:p>
        </w:tc>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26125">
            <w:pPr>
              <w:rPr>
                <w:rFonts w:hint="eastAsia" w:ascii="宋体" w:hAnsi="宋体" w:eastAsia="宋体" w:cs="宋体"/>
                <w:i w:val="0"/>
                <w:iCs w:val="0"/>
                <w:color w:val="000000"/>
                <w:sz w:val="22"/>
                <w:szCs w:val="22"/>
                <w:u w:val="none"/>
              </w:rPr>
            </w:pPr>
          </w:p>
        </w:tc>
        <w:tc>
          <w:tcPr>
            <w:tcW w:w="1225"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267EEBA8">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auto" w:sz="4" w:space="0"/>
              <w:bottom w:val="single" w:color="000000" w:sz="4" w:space="0"/>
              <w:right w:val="single" w:color="auto" w:sz="4" w:space="0"/>
            </w:tcBorders>
            <w:shd w:val="clear" w:color="auto" w:fill="auto"/>
            <w:noWrap/>
            <w:vAlign w:val="center"/>
          </w:tcPr>
          <w:p w14:paraId="55E940A4">
            <w:pPr>
              <w:rPr>
                <w:rFonts w:hint="eastAsia" w:ascii="宋体" w:hAnsi="宋体" w:eastAsia="宋体" w:cs="宋体"/>
                <w:i w:val="0"/>
                <w:iCs w:val="0"/>
                <w:color w:val="000000"/>
                <w:sz w:val="22"/>
                <w:szCs w:val="22"/>
                <w:u w:val="none"/>
              </w:rPr>
            </w:pPr>
          </w:p>
        </w:tc>
        <w:tc>
          <w:tcPr>
            <w:tcW w:w="1060"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2A437EFC">
            <w:pPr>
              <w:rPr>
                <w:rFonts w:hint="eastAsia" w:ascii="宋体" w:hAnsi="宋体" w:eastAsia="宋体" w:cs="宋体"/>
                <w:i w:val="0"/>
                <w:iCs w:val="0"/>
                <w:color w:val="000000"/>
                <w:sz w:val="22"/>
                <w:szCs w:val="22"/>
                <w:u w:val="none"/>
              </w:rPr>
            </w:pPr>
          </w:p>
        </w:tc>
        <w:tc>
          <w:tcPr>
            <w:tcW w:w="14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5185EC">
            <w:pPr>
              <w:jc w:val="center"/>
              <w:rPr>
                <w:rFonts w:hint="eastAsia" w:ascii="宋体" w:hAnsi="宋体" w:eastAsia="宋体" w:cs="宋体"/>
                <w:i w:val="0"/>
                <w:iCs w:val="0"/>
                <w:color w:val="000000"/>
                <w:sz w:val="22"/>
                <w:szCs w:val="22"/>
                <w:u w:val="none"/>
              </w:rPr>
            </w:pPr>
          </w:p>
        </w:tc>
      </w:tr>
      <w:tr w14:paraId="29454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D6D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2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E018F">
            <w:pP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lang w:eastAsia="zh-CN"/>
              </w:rPr>
              <w:t>其它费用（如税费等）</w:t>
            </w:r>
          </w:p>
        </w:tc>
        <w:tc>
          <w:tcPr>
            <w:tcW w:w="43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DC00F">
            <w:pPr>
              <w:rPr>
                <w:rFonts w:hint="eastAsia" w:ascii="宋体" w:hAnsi="宋体" w:eastAsia="宋体" w:cs="宋体"/>
                <w:i w:val="0"/>
                <w:iCs w:val="0"/>
                <w:color w:val="000000"/>
                <w:sz w:val="22"/>
                <w:szCs w:val="22"/>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E327D">
            <w:pPr>
              <w:rPr>
                <w:rFonts w:hint="eastAsia" w:ascii="宋体" w:hAnsi="宋体" w:eastAsia="宋体" w:cs="宋体"/>
                <w:i w:val="0"/>
                <w:iCs w:val="0"/>
                <w:color w:val="000000"/>
                <w:sz w:val="22"/>
                <w:szCs w:val="22"/>
                <w:u w:val="none"/>
              </w:rPr>
            </w:pPr>
          </w:p>
        </w:tc>
        <w:tc>
          <w:tcPr>
            <w:tcW w:w="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0BB86">
            <w:pPr>
              <w:rPr>
                <w:rFonts w:hint="eastAsia" w:ascii="宋体" w:hAnsi="宋体" w:eastAsia="宋体" w:cs="宋体"/>
                <w:i w:val="0"/>
                <w:iCs w:val="0"/>
                <w:color w:val="000000"/>
                <w:sz w:val="22"/>
                <w:szCs w:val="22"/>
                <w:u w:val="none"/>
              </w:rPr>
            </w:pPr>
          </w:p>
        </w:tc>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52811">
            <w:pPr>
              <w:rPr>
                <w:rFonts w:hint="eastAsia" w:ascii="宋体" w:hAnsi="宋体" w:eastAsia="宋体" w:cs="宋体"/>
                <w:i w:val="0"/>
                <w:iCs w:val="0"/>
                <w:color w:val="000000"/>
                <w:sz w:val="22"/>
                <w:szCs w:val="22"/>
                <w:u w:val="none"/>
              </w:rPr>
            </w:pPr>
          </w:p>
        </w:tc>
        <w:tc>
          <w:tcPr>
            <w:tcW w:w="1225"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2A13C8C1">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auto" w:sz="4" w:space="0"/>
              <w:bottom w:val="single" w:color="000000" w:sz="4" w:space="0"/>
              <w:right w:val="single" w:color="auto" w:sz="4" w:space="0"/>
            </w:tcBorders>
            <w:shd w:val="clear" w:color="auto" w:fill="auto"/>
            <w:noWrap/>
            <w:vAlign w:val="center"/>
          </w:tcPr>
          <w:p w14:paraId="3F7A91D5">
            <w:pPr>
              <w:rPr>
                <w:rFonts w:hint="eastAsia" w:ascii="宋体" w:hAnsi="宋体" w:eastAsia="宋体" w:cs="宋体"/>
                <w:i w:val="0"/>
                <w:iCs w:val="0"/>
                <w:color w:val="000000"/>
                <w:sz w:val="22"/>
                <w:szCs w:val="22"/>
                <w:u w:val="none"/>
              </w:rPr>
            </w:pPr>
          </w:p>
        </w:tc>
        <w:tc>
          <w:tcPr>
            <w:tcW w:w="1060"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661F8CED">
            <w:pPr>
              <w:rPr>
                <w:rFonts w:hint="eastAsia" w:ascii="宋体" w:hAnsi="宋体" w:eastAsia="宋体" w:cs="宋体"/>
                <w:i w:val="0"/>
                <w:iCs w:val="0"/>
                <w:color w:val="000000"/>
                <w:sz w:val="22"/>
                <w:szCs w:val="22"/>
                <w:u w:val="none"/>
              </w:rPr>
            </w:pPr>
          </w:p>
        </w:tc>
        <w:tc>
          <w:tcPr>
            <w:tcW w:w="14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6DA015">
            <w:pPr>
              <w:jc w:val="center"/>
              <w:rPr>
                <w:rFonts w:hint="eastAsia" w:ascii="宋体" w:hAnsi="宋体" w:eastAsia="宋体" w:cs="宋体"/>
                <w:i w:val="0"/>
                <w:iCs w:val="0"/>
                <w:color w:val="000000"/>
                <w:sz w:val="22"/>
                <w:szCs w:val="22"/>
                <w:u w:val="none"/>
              </w:rPr>
            </w:pPr>
          </w:p>
        </w:tc>
      </w:tr>
      <w:tr w14:paraId="055F5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8566"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9B4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4051B">
            <w:pPr>
              <w:rPr>
                <w:rFonts w:hint="eastAsia" w:ascii="宋体" w:hAnsi="宋体" w:eastAsia="宋体" w:cs="宋体"/>
                <w:i w:val="0"/>
                <w:iCs w:val="0"/>
                <w:color w:val="000000"/>
                <w:sz w:val="22"/>
                <w:szCs w:val="22"/>
                <w:u w:val="none"/>
              </w:rPr>
            </w:pPr>
          </w:p>
        </w:tc>
        <w:tc>
          <w:tcPr>
            <w:tcW w:w="1225"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233B8121">
            <w:pPr>
              <w:rPr>
                <w:rFonts w:hint="eastAsia" w:ascii="宋体" w:hAnsi="宋体" w:eastAsia="宋体" w:cs="宋体"/>
                <w:i w:val="0"/>
                <w:iCs w:val="0"/>
                <w:color w:val="000000"/>
                <w:sz w:val="22"/>
                <w:szCs w:val="22"/>
                <w:u w:val="none"/>
              </w:rPr>
            </w:pPr>
          </w:p>
        </w:tc>
        <w:tc>
          <w:tcPr>
            <w:tcW w:w="853" w:type="dxa"/>
            <w:tcBorders>
              <w:top w:val="single" w:color="000000" w:sz="4" w:space="0"/>
              <w:left w:val="single" w:color="auto" w:sz="4" w:space="0"/>
              <w:bottom w:val="single" w:color="000000" w:sz="4" w:space="0"/>
              <w:right w:val="single" w:color="auto" w:sz="4" w:space="0"/>
            </w:tcBorders>
            <w:shd w:val="clear" w:color="auto" w:fill="auto"/>
            <w:noWrap/>
            <w:vAlign w:val="center"/>
          </w:tcPr>
          <w:p w14:paraId="040AAFC2">
            <w:pPr>
              <w:rPr>
                <w:rFonts w:hint="eastAsia" w:ascii="宋体" w:hAnsi="宋体" w:eastAsia="宋体" w:cs="宋体"/>
                <w:i w:val="0"/>
                <w:iCs w:val="0"/>
                <w:color w:val="000000"/>
                <w:sz w:val="22"/>
                <w:szCs w:val="22"/>
                <w:u w:val="none"/>
              </w:rPr>
            </w:pPr>
          </w:p>
        </w:tc>
        <w:tc>
          <w:tcPr>
            <w:tcW w:w="1060"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3492ACBD">
            <w:pPr>
              <w:rPr>
                <w:rFonts w:hint="eastAsia" w:ascii="宋体" w:hAnsi="宋体" w:eastAsia="宋体" w:cs="宋体"/>
                <w:i w:val="0"/>
                <w:iCs w:val="0"/>
                <w:color w:val="000000"/>
                <w:sz w:val="22"/>
                <w:szCs w:val="22"/>
                <w:u w:val="none"/>
              </w:rPr>
            </w:pPr>
          </w:p>
        </w:tc>
        <w:tc>
          <w:tcPr>
            <w:tcW w:w="14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A5BBC8">
            <w:pPr>
              <w:jc w:val="center"/>
              <w:rPr>
                <w:rFonts w:hint="eastAsia" w:ascii="宋体" w:hAnsi="宋体" w:eastAsia="宋体" w:cs="宋体"/>
                <w:i w:val="0"/>
                <w:iCs w:val="0"/>
                <w:color w:val="000000"/>
                <w:sz w:val="22"/>
                <w:szCs w:val="22"/>
                <w:u w:val="none"/>
              </w:rPr>
            </w:pPr>
          </w:p>
        </w:tc>
      </w:tr>
      <w:tr w14:paraId="1937D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13892"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6D9D56BB">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1、报价包含材料、包装、人工等验收合格之前的一切税金和费用。2、供应商必须将综合单价、合价、计划交付期填写完整，因供应商填写不完整造成投标不响应的，责任自负！  3、若要求供应商提供相关证明材料的，将证明材料附后。</w:t>
            </w:r>
          </w:p>
        </w:tc>
      </w:tr>
      <w:tr w14:paraId="03113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3892"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753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报价合计金额（大写 ）：                小写：  元</w:t>
            </w:r>
          </w:p>
        </w:tc>
      </w:tr>
      <w:tr w14:paraId="766C1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3892" w:type="dxa"/>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32E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供应商单位名称（盖公章）：</w:t>
            </w:r>
          </w:p>
        </w:tc>
      </w:tr>
      <w:tr w14:paraId="71A76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5" w:hRule="atLeast"/>
        </w:trPr>
        <w:tc>
          <w:tcPr>
            <w:tcW w:w="13892"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12468D5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                                           法定代表人或授权代表人（签字）：               </w:t>
            </w:r>
          </w:p>
          <w:p w14:paraId="78C2AB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联系电话：</w:t>
            </w:r>
          </w:p>
        </w:tc>
      </w:tr>
    </w:tbl>
    <w:p w14:paraId="13ABA348"/>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800A5">
    <w:pPr>
      <w:pStyle w:val="9"/>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4F0AA5">
                          <w:pPr>
                            <w:pStyle w:val="9"/>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634F0AA5">
                    <w:pPr>
                      <w:pStyle w:val="9"/>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F74BC42"/>
    <w:multiLevelType w:val="singleLevel"/>
    <w:tmpl w:val="7F74BC42"/>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B36F6B"/>
    <w:rsid w:val="34336F3D"/>
    <w:rsid w:val="43B36F6B"/>
    <w:rsid w:val="43BC3B29"/>
    <w:rsid w:val="460D47FD"/>
    <w:rsid w:val="5B3F0F4F"/>
    <w:rsid w:val="702D26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1"/>
    <w:pPr>
      <w:spacing w:before="3"/>
      <w:ind w:left="1100"/>
      <w:outlineLvl w:val="1"/>
    </w:pPr>
    <w:rPr>
      <w:rFonts w:ascii="仿宋" w:hAnsi="仿宋" w:eastAsia="仿宋" w:cs="仿宋"/>
      <w:b/>
      <w:bCs/>
      <w:sz w:val="32"/>
      <w:szCs w:val="32"/>
      <w:lang w:val="zh-CN" w:eastAsia="zh-CN" w:bidi="zh-CN"/>
    </w:rPr>
  </w:style>
  <w:style w:type="paragraph" w:styleId="4">
    <w:name w:val="heading 2"/>
    <w:basedOn w:val="1"/>
    <w:next w:val="5"/>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2100"/>
    </w:p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rPr>
      <w:sz w:val="21"/>
    </w:rPr>
  </w:style>
  <w:style w:type="paragraph" w:styleId="7">
    <w:name w:val="Body Text"/>
    <w:basedOn w:val="1"/>
    <w:next w:val="8"/>
    <w:qFormat/>
    <w:uiPriority w:val="1"/>
    <w:rPr>
      <w:rFonts w:ascii="仿宋" w:hAnsi="仿宋" w:eastAsia="仿宋" w:cs="仿宋"/>
      <w:sz w:val="32"/>
      <w:szCs w:val="32"/>
      <w:lang w:val="zh-CN" w:eastAsia="zh-CN" w:bidi="zh-CN"/>
    </w:rPr>
  </w:style>
  <w:style w:type="paragraph" w:styleId="8">
    <w:name w:val="Body Text 2"/>
    <w:basedOn w:val="1"/>
    <w:qFormat/>
    <w:uiPriority w:val="0"/>
    <w:rPr>
      <w:sz w:val="28"/>
    </w:rPr>
  </w:style>
  <w:style w:type="paragraph" w:styleId="9">
    <w:name w:val="footer"/>
    <w:basedOn w:val="1"/>
    <w:qFormat/>
    <w:uiPriority w:val="0"/>
    <w:pPr>
      <w:tabs>
        <w:tab w:val="center" w:pos="4153"/>
        <w:tab w:val="right" w:pos="8306"/>
      </w:tabs>
      <w:snapToGrid w:val="0"/>
      <w:jc w:val="left"/>
    </w:pPr>
    <w:rPr>
      <w:sz w:val="18"/>
    </w:rPr>
  </w:style>
  <w:style w:type="paragraph" w:styleId="10">
    <w:name w:val="footnote text"/>
    <w:basedOn w:val="1"/>
    <w:qFormat/>
    <w:uiPriority w:val="0"/>
    <w:pPr>
      <w:snapToGrid w:val="0"/>
      <w:jc w:val="left"/>
    </w:pPr>
    <w:rPr>
      <w:sz w:val="18"/>
    </w:rPr>
  </w:style>
  <w:style w:type="paragraph" w:styleId="11">
    <w:name w:val="Body Text Indent 3"/>
    <w:basedOn w:val="1"/>
    <w:qFormat/>
    <w:uiPriority w:val="0"/>
    <w:pPr>
      <w:spacing w:after="120"/>
      <w:ind w:left="420" w:leftChars="200"/>
    </w:pPr>
    <w:rPr>
      <w:sz w:val="16"/>
      <w:szCs w:val="16"/>
    </w:rPr>
  </w:style>
  <w:style w:type="paragraph" w:styleId="12">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3">
    <w:name w:val="Body Text First Indent"/>
    <w:basedOn w:val="7"/>
    <w:next w:val="1"/>
    <w:qFormat/>
    <w:uiPriority w:val="99"/>
    <w:pPr>
      <w:tabs>
        <w:tab w:val="left" w:pos="562"/>
        <w:tab w:val="left" w:pos="567"/>
        <w:tab w:val="left" w:pos="3372"/>
        <w:tab w:val="left" w:pos="3653"/>
      </w:tabs>
      <w:ind w:firstLine="420" w:firstLineChars="100"/>
    </w:pPr>
    <w:rPr>
      <w:sz w:val="21"/>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1"/>
    <w:basedOn w:val="1"/>
    <w:next w:val="11"/>
    <w:qFormat/>
    <w:uiPriority w:val="0"/>
    <w:pPr>
      <w:adjustRightInd w:val="0"/>
      <w:snapToGrid w:val="0"/>
      <w:spacing w:line="336" w:lineRule="auto"/>
      <w:ind w:firstLine="480" w:firstLineChars="200"/>
    </w:pPr>
    <w:rPr>
      <w:snapToGrid w:val="0"/>
      <w:color w:val="993300"/>
      <w:sz w:val="24"/>
      <w:szCs w:val="20"/>
    </w:rPr>
  </w:style>
  <w:style w:type="character" w:customStyle="1" w:styleId="18">
    <w:name w:val="font51"/>
    <w:basedOn w:val="16"/>
    <w:qFormat/>
    <w:uiPriority w:val="0"/>
    <w:rPr>
      <w:rFonts w:hint="eastAsia" w:ascii="宋体" w:hAnsi="宋体" w:eastAsia="宋体" w:cs="宋体"/>
      <w:color w:val="000000"/>
      <w:sz w:val="22"/>
      <w:szCs w:val="22"/>
      <w:u w:val="none"/>
    </w:rPr>
  </w:style>
  <w:style w:type="character" w:customStyle="1" w:styleId="19">
    <w:name w:val="font121"/>
    <w:basedOn w:val="16"/>
    <w:qFormat/>
    <w:uiPriority w:val="0"/>
    <w:rPr>
      <w:rFonts w:hint="eastAsia" w:ascii="宋体" w:hAnsi="宋体" w:eastAsia="宋体" w:cs="宋体"/>
      <w:color w:val="FF0000"/>
      <w:sz w:val="20"/>
      <w:szCs w:val="20"/>
      <w:u w:val="none"/>
    </w:rPr>
  </w:style>
  <w:style w:type="character" w:customStyle="1" w:styleId="20">
    <w:name w:val="font81"/>
    <w:basedOn w:val="16"/>
    <w:qFormat/>
    <w:uiPriority w:val="0"/>
    <w:rPr>
      <w:rFonts w:hint="eastAsia" w:ascii="宋体" w:hAnsi="宋体" w:eastAsia="宋体" w:cs="宋体"/>
      <w:color w:val="000000"/>
      <w:sz w:val="22"/>
      <w:szCs w:val="22"/>
      <w:u w:val="none"/>
    </w:rPr>
  </w:style>
  <w:style w:type="character" w:customStyle="1" w:styleId="21">
    <w:name w:val="font41"/>
    <w:basedOn w:val="16"/>
    <w:qFormat/>
    <w:uiPriority w:val="0"/>
    <w:rPr>
      <w:rFonts w:hint="eastAsia" w:ascii="宋体" w:hAnsi="宋体" w:eastAsia="宋体" w:cs="宋体"/>
      <w:color w:val="000000"/>
      <w:sz w:val="22"/>
      <w:szCs w:val="22"/>
      <w:u w:val="single"/>
    </w:rPr>
  </w:style>
  <w:style w:type="character" w:customStyle="1" w:styleId="22">
    <w:name w:val="font71"/>
    <w:basedOn w:val="16"/>
    <w:qFormat/>
    <w:uiPriority w:val="0"/>
    <w:rPr>
      <w:rFonts w:hint="eastAsia" w:ascii="宋体" w:hAnsi="宋体" w:eastAsia="宋体" w:cs="宋体"/>
      <w:b/>
      <w:color w:val="FF0000"/>
      <w:sz w:val="20"/>
      <w:szCs w:val="20"/>
      <w:u w:val="none"/>
    </w:rPr>
  </w:style>
  <w:style w:type="character" w:customStyle="1" w:styleId="23">
    <w:name w:val="font61"/>
    <w:basedOn w:val="16"/>
    <w:qFormat/>
    <w:uiPriority w:val="0"/>
    <w:rPr>
      <w:rFonts w:hint="eastAsia" w:ascii="宋体" w:hAnsi="宋体" w:eastAsia="宋体" w:cs="宋体"/>
      <w:color w:val="000000"/>
      <w:sz w:val="22"/>
      <w:szCs w:val="22"/>
      <w:u w:val="single"/>
    </w:rPr>
  </w:style>
  <w:style w:type="character" w:customStyle="1" w:styleId="24">
    <w:name w:val="font31"/>
    <w:basedOn w:val="16"/>
    <w:qFormat/>
    <w:uiPriority w:val="0"/>
    <w:rPr>
      <w:rFonts w:hint="eastAsia" w:ascii="宋体" w:hAnsi="宋体" w:eastAsia="宋体" w:cs="宋体"/>
      <w:b/>
      <w:color w:val="000000"/>
      <w:sz w:val="22"/>
      <w:szCs w:val="22"/>
      <w:u w:val="none"/>
    </w:rPr>
  </w:style>
  <w:style w:type="character" w:customStyle="1" w:styleId="25">
    <w:name w:val="font11"/>
    <w:basedOn w:val="16"/>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3222</Words>
  <Characters>3260</Characters>
  <Lines>0</Lines>
  <Paragraphs>0</Paragraphs>
  <TotalTime>15</TotalTime>
  <ScaleCrop>false</ScaleCrop>
  <LinksUpToDate>false</LinksUpToDate>
  <CharactersWithSpaces>3808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2024-07-12T02:08:00Z</dcterms:created>
  <dc:creator>Administrator</dc:creator>
  <cp:lastModifiedBy>WPS_1627298536</cp:lastModifiedBy>
  <dcterms:modified xsi:type="dcterms:W3CDTF">2025-03-27T09:29:51Z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9C228243584C4C83ADB145F0BEC5653A_13</vt:lpwstr>
  </property>
  <property fmtid="{D5CDD505-2E9C-101B-9397-08002B2CF9AE}" pid="4" name="KSOTemplateDocerSaveRecord">
    <vt:lpwstr>eyJoZGlkIjoiZDZiYzRlMzkzYzRkODA5ZTUxNGIwYmZlMDdiNTI4MzEiLCJ1c2VySWQiOiIxMjM1ODM1MTg3In0=</vt:lpwstr>
  </property>
</Properties>
</file>