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工程量清单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156"/>
        <w:gridCol w:w="6558"/>
        <w:gridCol w:w="1209"/>
        <w:gridCol w:w="127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序号</w:t>
            </w:r>
          </w:p>
        </w:tc>
        <w:tc>
          <w:tcPr>
            <w:tcW w:w="3156"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项目名称</w:t>
            </w:r>
          </w:p>
        </w:tc>
        <w:tc>
          <w:tcPr>
            <w:tcW w:w="655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项目特征描述</w:t>
            </w:r>
          </w:p>
        </w:tc>
        <w:tc>
          <w:tcPr>
            <w:tcW w:w="1209"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计量单位</w:t>
            </w:r>
          </w:p>
        </w:tc>
        <w:tc>
          <w:tcPr>
            <w:tcW w:w="1279"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工程量</w:t>
            </w:r>
          </w:p>
        </w:tc>
        <w:tc>
          <w:tcPr>
            <w:tcW w:w="1279"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1</w:t>
            </w:r>
          </w:p>
        </w:tc>
        <w:tc>
          <w:tcPr>
            <w:tcW w:w="3156"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沙水池修缮</w:t>
            </w:r>
          </w:p>
        </w:tc>
        <w:tc>
          <w:tcPr>
            <w:tcW w:w="6558" w:type="dxa"/>
            <w:vAlign w:val="center"/>
          </w:tcPr>
          <w:p>
            <w:pPr>
              <w:keepNext w:val="0"/>
              <w:keepLines w:val="0"/>
              <w:widowControl/>
              <w:suppressLineNumbers w:val="0"/>
              <w:spacing w:after="220" w:afterAutospacing="0"/>
              <w:jc w:val="left"/>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沙水池面积合计≥140平方米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1.水池面积≥55平米，沙池面积≥85平米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2.沙池在现有场地上开挖扩大土方面积，下面回填15公分50*70mm戈壁料做渗水处理（含本地水洗沙），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3.水池先夯实地坪，用400g国100*1.15*0.7防水卷材进行防水渗漏处理，再打15公分厚地坪，有排水管道，水池底铺设防滑地砖，周边铺一级鹅卵石或马赛克。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原有沙坑处开挖土方，13米*13米*0.6米，约：100m³（由于原位置有沙坑，实际挖方约80m³），拉运至环卫部门指定位置。平整地面，打夯后回填戈壁料约30厘米，50m³，同时下沉原有绿化水管线，平整戈壁料垫层，碾压打夯，按不规则图案砌墙（确定沙池位置），沙池占地约85㎡，墙体抹灰，外围做循环水系，沙池内部回填上面35公分天然小颗粒黄沙，沙池中间低，四周高。约：28m³.规格：2*1.8m3             5.水池先夯实地坪，用400g国100*1.15*0.7防水卷材进行防水渗漏处理，再打15公分厚地坪，有排水管道，水池底铺设防滑地砖，周边铺一级鹅卵石或马赛克。</w:t>
            </w:r>
          </w:p>
        </w:tc>
        <w:tc>
          <w:tcPr>
            <w:tcW w:w="120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面积</w:t>
            </w:r>
          </w:p>
        </w:tc>
        <w:tc>
          <w:tcPr>
            <w:tcW w:w="127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140平方</w:t>
            </w:r>
          </w:p>
        </w:tc>
        <w:tc>
          <w:tcPr>
            <w:tcW w:w="12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2</w:t>
            </w:r>
          </w:p>
        </w:tc>
        <w:tc>
          <w:tcPr>
            <w:tcW w:w="3156"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水循环</w:t>
            </w:r>
          </w:p>
        </w:tc>
        <w:tc>
          <w:tcPr>
            <w:tcW w:w="6558" w:type="dxa"/>
            <w:vAlign w:val="center"/>
          </w:tcPr>
          <w:p>
            <w:pPr>
              <w:keepNext w:val="0"/>
              <w:keepLines w:val="0"/>
              <w:widowControl/>
              <w:suppressLineNumbers w:val="0"/>
              <w:jc w:val="left"/>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在沙池外围用C25混凝土找平/同时铺设好蓄水池及其他设施的水管及蓄水池水泵用电电线、制作循环水系及浅水区和水池墙体（砌砖），墙体墙面及底部用水泥沙子搅拌成砂浆分层抹面。然后做一遍防水，制作循环水系雏形后夯实基础，C25水泥砂浆打底，铺设钢丝网后再打第二遍C25水泥砂浆，做第二遍防水，后再抹一层C30细砂浆，以鹅卵石镶嵌表面（鹅卵石密实镶嵌，不硌脚）后涂蓝色防水漆。循环水池盖用镀锌角钢做骨架把防腐木板固定到骨架上做活动式循环水池盖。水系需要流动活水，水系合计面积约：≥70平方米。完成后回填四周不规则处，回填戈壁料约10立方米，打夯后打水泥地坪面积约30平方米，厚度10厘米。同时在水循环系统外围合适区域放置防腐木收纳柜一组长度3米高度1.5米宽度0.4米</w:t>
            </w:r>
          </w:p>
        </w:tc>
        <w:tc>
          <w:tcPr>
            <w:tcW w:w="120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127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3</w:t>
            </w:r>
          </w:p>
        </w:tc>
        <w:tc>
          <w:tcPr>
            <w:tcW w:w="3156"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铺设菜地小路</w:t>
            </w:r>
          </w:p>
        </w:tc>
        <w:tc>
          <w:tcPr>
            <w:tcW w:w="6558" w:type="dxa"/>
            <w:vAlign w:val="center"/>
          </w:tcPr>
          <w:p>
            <w:pPr>
              <w:keepNext w:val="0"/>
              <w:keepLines w:val="0"/>
              <w:widowControl/>
              <w:suppressLineNumbers w:val="0"/>
              <w:jc w:val="left"/>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菜地总面积约130平方米，在菜地中按甲方要求铺设若干条马路砖小路，把菜地分割成多个菜畦，要求：混凝土垫层上面铺设马路砖，各个小路宽100cm-50cm不等。</w:t>
            </w:r>
          </w:p>
        </w:tc>
        <w:tc>
          <w:tcPr>
            <w:tcW w:w="120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平方米</w:t>
            </w:r>
          </w:p>
        </w:tc>
        <w:tc>
          <w:tcPr>
            <w:tcW w:w="127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130</w:t>
            </w:r>
          </w:p>
        </w:tc>
        <w:tc>
          <w:tcPr>
            <w:tcW w:w="12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4</w:t>
            </w:r>
          </w:p>
        </w:tc>
        <w:tc>
          <w:tcPr>
            <w:tcW w:w="3156"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原滑索道设备拆除及恢复地面</w:t>
            </w:r>
          </w:p>
        </w:tc>
        <w:tc>
          <w:tcPr>
            <w:tcW w:w="6558" w:type="dxa"/>
            <w:vAlign w:val="center"/>
          </w:tcPr>
          <w:p>
            <w:pPr>
              <w:keepNext w:val="0"/>
              <w:keepLines w:val="0"/>
              <w:widowControl/>
              <w:suppressLineNumbers w:val="0"/>
              <w:jc w:val="left"/>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原滑索道设备拆除及恢复地面，回填种植土，种植草坪</w:t>
            </w:r>
          </w:p>
        </w:tc>
        <w:tc>
          <w:tcPr>
            <w:tcW w:w="120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平方米</w:t>
            </w:r>
          </w:p>
        </w:tc>
        <w:tc>
          <w:tcPr>
            <w:tcW w:w="127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25</w:t>
            </w:r>
          </w:p>
        </w:tc>
        <w:tc>
          <w:tcPr>
            <w:tcW w:w="12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5</w:t>
            </w:r>
          </w:p>
        </w:tc>
        <w:tc>
          <w:tcPr>
            <w:tcW w:w="3156"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洗手台</w:t>
            </w:r>
          </w:p>
        </w:tc>
        <w:tc>
          <w:tcPr>
            <w:tcW w:w="6558" w:type="dxa"/>
            <w:vAlign w:val="center"/>
          </w:tcPr>
          <w:p>
            <w:pPr>
              <w:keepNext w:val="0"/>
              <w:keepLines w:val="0"/>
              <w:widowControl/>
              <w:suppressLineNumbers w:val="0"/>
              <w:jc w:val="left"/>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规格：≥2*1*1.5m，洗手池台尺寸：≥2*0.45*0.6m（规格允许偏差±1%）洗手台为连体3个，台面为天然原石台面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其他材质：芬兰木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施工前确定位置，提前铺设好上下水管线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1.产品边角圆润，无飞边毛刺，使用中具有足够的安全性和稳定。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木质（表面光滑无毛刺），材质为芬兰防腐木，经打磨后，用腻子灰填补木材原生裂纹，随后采用室外专用氨脂类防水清漆（环保漆），经过两底一面刷漆处理，总共三道刷漆工艺后自然晾干，成品防腐、防水能力好，无锐边锐角等，整体牢固，无安全隐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洗手池整体框架均采用木质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排水连接循环水系或者连接绿化地直排，如有附近有下水接口可直接接下水</w:t>
            </w:r>
          </w:p>
        </w:tc>
        <w:tc>
          <w:tcPr>
            <w:tcW w:w="120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127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6</w:t>
            </w:r>
          </w:p>
        </w:tc>
        <w:tc>
          <w:tcPr>
            <w:tcW w:w="3156"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洗脚水池</w:t>
            </w:r>
          </w:p>
        </w:tc>
        <w:tc>
          <w:tcPr>
            <w:tcW w:w="6558" w:type="dxa"/>
            <w:vAlign w:val="center"/>
          </w:tcPr>
          <w:p>
            <w:pPr>
              <w:keepNext w:val="0"/>
              <w:keepLines w:val="0"/>
              <w:widowControl/>
              <w:suppressLineNumbers w:val="0"/>
              <w:jc w:val="left"/>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挖方≥3.5米*1.5米*0.4米约2.1立方拉运至环卫部门指定位置。平整地面，打夯后回填戈壁料约0.2m约1立方米，平整戈壁料垫层，碾压打夯，同时铺设好上下水管线，打水泥垫层10厘米同时镶嵌不规则天然石块，同时接通上下水管线，按位置安装好开关及防腐木立柱，立柱水龙头高度50厘米（可根据甲方实际需求或建议更改高度）排水连接循环水系或者连接绿化地直排，如有附近有下水接口可直接接下水，             洗脚水池规格：≥300*120*100cm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材质：大理石地面、共3个水龙头</w:t>
            </w:r>
          </w:p>
        </w:tc>
        <w:tc>
          <w:tcPr>
            <w:tcW w:w="120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127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7</w:t>
            </w:r>
          </w:p>
        </w:tc>
        <w:tc>
          <w:tcPr>
            <w:tcW w:w="3156"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室内幼儿图书教室</w:t>
            </w:r>
          </w:p>
        </w:tc>
        <w:tc>
          <w:tcPr>
            <w:tcW w:w="6558" w:type="dxa"/>
            <w:vAlign w:val="center"/>
          </w:tcPr>
          <w:p>
            <w:pPr>
              <w:keepNext w:val="0"/>
              <w:keepLines w:val="0"/>
              <w:widowControl/>
              <w:suppressLineNumbers w:val="0"/>
              <w:jc w:val="left"/>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拆除墙柜及墙体上粘胶物体，刮腻子恢复平整，墙体开裂处刮腻子，砂纸打磨，按甲方颜色要求粉刷室内乳胶漆。室内粉刷墙面，地面搭建异形阶梯地台，采用木质地板拼接。台阶高度15厘米。设计好位置及造型和甲方沟通，确定后开始施工，先做龙骨，做好后平面先用优质竹胶板打底，再用优质木地板做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★投标人或制造商提供具有TESTINGCNASL0153认证的检测机构出具的室内木地板具有符合GB/T18102-2020《㓎渍纸层压木质地板》及GB 18508-2017《室内装饰装修材料 人造板及其制品中甲醛释放限量》检测依据合格的检验检测报告复印件。 </w:t>
            </w:r>
          </w:p>
        </w:tc>
        <w:tc>
          <w:tcPr>
            <w:tcW w:w="120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间</w:t>
            </w:r>
          </w:p>
        </w:tc>
        <w:tc>
          <w:tcPr>
            <w:tcW w:w="127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66平方</w:t>
            </w:r>
          </w:p>
        </w:tc>
        <w:tc>
          <w:tcPr>
            <w:tcW w:w="12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8</w:t>
            </w:r>
          </w:p>
        </w:tc>
        <w:tc>
          <w:tcPr>
            <w:tcW w:w="3156"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土坡组合</w:t>
            </w:r>
          </w:p>
        </w:tc>
        <w:tc>
          <w:tcPr>
            <w:tcW w:w="6558" w:type="dxa"/>
            <w:vAlign w:val="center"/>
          </w:tcPr>
          <w:p>
            <w:pPr>
              <w:keepNext w:val="0"/>
              <w:keepLines w:val="0"/>
              <w:widowControl/>
              <w:suppressLineNumbers w:val="0"/>
              <w:jc w:val="left"/>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制作方法：提前定制304不锈钢钻洞2个，长度：3.7米，直径75厘米，不锈钢厚度2.5毫米，到达现场后确定摆放位置，在钻洞上堆机不规则长条形土堆（拉土方约：26立方米），确定造型后，打夯，然后在造型表面铺设钢丝网，表面打水泥垫层，安装其他设施，最后在表面铺设人造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规格：≥5.9*3.7*1.2m（规格允许偏差±5%）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材质：镀锌钢管、工程塑料、不锈钢、橡胶轮胎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1.镀锌管配件为32mm壁厚不小于0.2cm，原材料采用CO2 气体保护焊工艺、经过点焊，拉焊，补焊后，经过质检人员检查无误，通过打磨抛光（无毛刺）的方法除绣，接着采用抛砂工艺处理铁件表面，随后将漆粉（环保漆）通过喷枪，借助于喷枪压力，均匀喷涂于被涂物表面，在铁件专用高温烤箱内经过230度高温固化、最终成品表面光滑、色彩鲜艳、不易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滑梯材料：工程塑料（无毒无味）：采用线型低密度聚乙烯优质PE滚塑工艺配备铝膜加工而成，并采用先进的专业技术，将颜料粉末与聚乙烯基材充分混合,强度大，表面光滑，安全环保，耐侯性好。粉末喷涂材料添加抗紫外线稳定剂，颜色保持长久鲜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3.五金零件：材质：304不锈钢，T 型平头螺丝。表面处理：机械抛光无毛刺 。</w:t>
            </w:r>
            <w:r>
              <w:rPr>
                <w:rFonts w:hint="eastAsia" w:ascii="宋体" w:hAnsi="宋体" w:eastAsia="宋体" w:cs="宋体"/>
                <w:i w:val="0"/>
                <w:iCs w:val="0"/>
                <w:color w:val="000000"/>
                <w:kern w:val="0"/>
                <w:sz w:val="22"/>
                <w:szCs w:val="22"/>
                <w:u w:val="none"/>
                <w:lang w:val="en-US" w:eastAsia="zh-CN" w:bidi="ar"/>
              </w:rPr>
              <w:br w:type="textWrapping"/>
            </w:r>
            <w:bookmarkStart w:id="0" w:name="_GoBack"/>
            <w:r>
              <w:rPr>
                <w:rFonts w:hint="eastAsia" w:ascii="宋体" w:hAnsi="宋体" w:eastAsia="宋体" w:cs="宋体"/>
                <w:i w:val="0"/>
                <w:iCs w:val="0"/>
                <w:color w:val="auto"/>
                <w:kern w:val="0"/>
                <w:sz w:val="22"/>
                <w:szCs w:val="22"/>
                <w:u w:val="none"/>
                <w:lang w:val="en-US" w:eastAsia="zh-CN" w:bidi="ar"/>
              </w:rPr>
              <w:t>不锈钢钻洞长度为2个3.7米。</w:t>
            </w:r>
            <w:bookmarkEnd w:id="0"/>
            <w:r>
              <w:rPr>
                <w:rFonts w:hint="eastAsia" w:ascii="宋体" w:hAnsi="宋体" w:eastAsia="宋体" w:cs="宋体"/>
                <w:i w:val="0"/>
                <w:iCs w:val="0"/>
                <w:color w:val="FF0000"/>
                <w:kern w:val="0"/>
                <w:sz w:val="22"/>
                <w:szCs w:val="22"/>
                <w:u w:val="none"/>
                <w:lang w:val="en-US" w:eastAsia="zh-CN" w:bidi="ar"/>
              </w:rPr>
              <w:br w:type="textWrapping"/>
            </w:r>
            <w:r>
              <w:rPr>
                <w:rStyle w:val="7"/>
                <w:lang w:val="en-US" w:eastAsia="zh-CN" w:bidi="ar"/>
              </w:rPr>
              <w:t xml:space="preserve">★投标人或制造商提供具有CMA认证的检测机构出具的儿童滑梯具有符合GB/T27689-2011《无动力类游乐设施 儿童滑梯》检测依据合格的检验检测报告复印件。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★投标人或制造商提供具有CMA认证的检测机构出具的塑料色母具有符合GB6675.1《玩具安全 第1部分：基本规范》检测依据的邻苯二甲酸二正丁酯(DBP)、邻苯二甲酸丁苄酯(BBP)、邻苯二甲酸二(2-乙基己基酯(DEHP)、邻苯二甲酸二正辛酯(DnOP)、邻苯二甲酸二异壬酯(DINP)、邻苯二甲酸二异葵酯(DIDP）、GB 6675.4-2014《玩具安全 第4部分：特定元素的迁移》检测依据的八大重金属检测合格的检测报告复印件并加盖公章。</w:t>
            </w:r>
          </w:p>
        </w:tc>
        <w:tc>
          <w:tcPr>
            <w:tcW w:w="1209" w:type="dxa"/>
            <w:vAlign w:val="center"/>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项</w:t>
            </w:r>
          </w:p>
        </w:tc>
        <w:tc>
          <w:tcPr>
            <w:tcW w:w="1279" w:type="dxa"/>
            <w:vAlign w:val="center"/>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1</w:t>
            </w:r>
          </w:p>
        </w:tc>
        <w:tc>
          <w:tcPr>
            <w:tcW w:w="1279" w:type="dxa"/>
            <w:vAlign w:val="center"/>
          </w:tcPr>
          <w:p>
            <w:pPr>
              <w:jc w:val="center"/>
              <w:rPr>
                <w:rFonts w:hint="eastAsia"/>
                <w:b w:val="0"/>
                <w:b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9</w:t>
            </w:r>
          </w:p>
        </w:tc>
        <w:tc>
          <w:tcPr>
            <w:tcW w:w="3156"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木质拱桥</w:t>
            </w:r>
          </w:p>
        </w:tc>
        <w:tc>
          <w:tcPr>
            <w:tcW w:w="6558" w:type="dxa"/>
            <w:vAlign w:val="center"/>
          </w:tcPr>
          <w:p>
            <w:pPr>
              <w:keepNext w:val="0"/>
              <w:keepLines w:val="0"/>
              <w:widowControl/>
              <w:suppressLineNumbers w:val="0"/>
              <w:jc w:val="left"/>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规格：≥2*0.8*0.9m（规格允许偏差±1%）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材质：芬兰木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1.产品边角圆润，无飞边毛刺，使用中具有足够的安全性和稳定性。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质（表面光滑无毛刺），材质为芬兰防腐木，经打磨后，用腻子灰填补木材原生裂纹，随后采用室外专用氨脂类防水清漆（环保漆），经过两底一面刷漆处理，总共三道刷漆工艺后自然晾干，成品防腐、防水能力好，无锐边锐角等，整体牢固，无安全隐患。有产品合格证</w:t>
            </w:r>
          </w:p>
        </w:tc>
        <w:tc>
          <w:tcPr>
            <w:tcW w:w="1209" w:type="dxa"/>
            <w:vAlign w:val="center"/>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项</w:t>
            </w:r>
          </w:p>
        </w:tc>
        <w:tc>
          <w:tcPr>
            <w:tcW w:w="127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10</w:t>
            </w:r>
          </w:p>
        </w:tc>
        <w:tc>
          <w:tcPr>
            <w:tcW w:w="3156"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脚踩水车</w:t>
            </w:r>
          </w:p>
        </w:tc>
        <w:tc>
          <w:tcPr>
            <w:tcW w:w="6558" w:type="dxa"/>
            <w:vAlign w:val="center"/>
          </w:tcPr>
          <w:p>
            <w:pPr>
              <w:keepNext w:val="0"/>
              <w:keepLines w:val="0"/>
              <w:widowControl/>
              <w:suppressLineNumbers w:val="0"/>
              <w:jc w:val="left"/>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规格：≥2.3*1.5*1.4m，中间距0.9m，水车直径120cm，高度1.4m规格允许偏差±1%）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材质：黄花梨木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质（表面光滑无毛刺），材质为黄花梨木，经打磨后，用腻子灰填补木材原生裂纹，随后采用室外专用氨脂类防水清漆（环保漆），经过两底一面刷漆处理，总共三道刷漆工艺后自然晾干，成品防腐、防水能力好，无锐边锐角等，整体牢固，无安全隐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3.五金零件：材质：304不锈钢，T 型平头螺丝。表面处理：机械抛光无毛刺 。有产品合格证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★投标人或制造商提供具有CMA认证的检测机构出具的黄花梨具有符合GB6675.4-2014《玩具安全 第4部分：特定元素迁移》检测依据合格的检测报告复印件并加盖公章。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★投标人或制造商提供具有CMA认证的检测机构出具的黄花梨具有符合GB6675.4-2014《玩具安全 第4部分：特定元素迁移》检测依据合格的检测报告复印件并加盖公章。</w:t>
            </w:r>
          </w:p>
        </w:tc>
        <w:tc>
          <w:tcPr>
            <w:tcW w:w="1209" w:type="dxa"/>
            <w:vAlign w:val="center"/>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个</w:t>
            </w:r>
          </w:p>
        </w:tc>
        <w:tc>
          <w:tcPr>
            <w:tcW w:w="1279" w:type="dxa"/>
            <w:vAlign w:val="center"/>
          </w:tcPr>
          <w:p>
            <w:pPr>
              <w:keepNext w:val="0"/>
              <w:keepLines w:val="0"/>
              <w:widowControl/>
              <w:suppressLineNumbers w:val="0"/>
              <w:jc w:val="center"/>
              <w:textAlignment w:val="center"/>
              <w:rPr>
                <w:rFonts w:hint="eastAsia"/>
                <w:b w:val="0"/>
                <w:bCs w:val="0"/>
                <w:sz w:val="24"/>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jc w:val="left"/>
        <w:rPr>
          <w:rFonts w:hint="eastAsia"/>
          <w:b w:val="0"/>
          <w:bCs w:val="0"/>
          <w:sz w:val="24"/>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WRkNzdjMDAxZjM0ZjljYmE1MGJmMjAwNTkxNzMifQ=="/>
  </w:docVars>
  <w:rsids>
    <w:rsidRoot w:val="156339BF"/>
    <w:rsid w:val="084944A9"/>
    <w:rsid w:val="156339BF"/>
    <w:rsid w:val="5D72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autoRedefine/>
    <w:qFormat/>
    <w:uiPriority w:val="0"/>
    <w:rPr>
      <w:rFonts w:hint="eastAsia" w:ascii="宋体" w:hAnsi="宋体" w:eastAsia="宋体" w:cs="宋体"/>
      <w:color w:val="000000"/>
      <w:sz w:val="22"/>
      <w:szCs w:val="22"/>
      <w:u w:val="none"/>
    </w:rPr>
  </w:style>
  <w:style w:type="character" w:customStyle="1" w:styleId="6">
    <w:name w:val="font31"/>
    <w:basedOn w:val="4"/>
    <w:autoRedefine/>
    <w:qFormat/>
    <w:uiPriority w:val="0"/>
    <w:rPr>
      <w:rFonts w:hint="eastAsia" w:ascii="宋体" w:hAnsi="宋体" w:eastAsia="宋体" w:cs="宋体"/>
      <w:color w:val="FF0000"/>
      <w:sz w:val="22"/>
      <w:szCs w:val="22"/>
      <w:u w:val="none"/>
    </w:rPr>
  </w:style>
  <w:style w:type="character" w:customStyle="1" w:styleId="7">
    <w:name w:val="font51"/>
    <w:basedOn w:val="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2024-08-02T09:13:00Z</dcterms:created>
  <dc:creator>帕丽扎提</dc:creator>
  <cp:lastModifiedBy>帕丽扎提</cp:lastModifiedBy>
  <dcterms:modified xsi:type="dcterms:W3CDTF">2024-08-06T01:47:21Z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E392D142816D4B8A903D659F8BB652F6_11</vt:lpwstr>
  </property>
</Properties>
</file>