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  <w:r>
        <w:rPr>
          <w:rFonts w:hint="eastAsia"/>
          <w:b/>
          <w:bCs/>
          <w:sz w:val="32"/>
          <w:szCs w:val="32"/>
          <w:u w:val="none"/>
          <w:lang w:eastAsia="zh-CN"/>
        </w:rPr>
        <w:t>供货</w:t>
      </w:r>
      <w:r>
        <w:rPr>
          <w:rFonts w:hint="eastAsia"/>
          <w:b/>
          <w:bCs/>
          <w:sz w:val="32"/>
          <w:szCs w:val="32"/>
          <w:u w:val="none"/>
        </w:rPr>
        <w:t>要求及质保</w:t>
      </w:r>
      <w:r>
        <w:rPr>
          <w:rFonts w:hint="eastAsia"/>
          <w:b/>
          <w:bCs/>
          <w:sz w:val="32"/>
          <w:szCs w:val="32"/>
          <w:u w:val="none"/>
          <w:lang w:eastAsia="zh-CN"/>
        </w:rPr>
        <w:t>要求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1、供应商需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采购方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招标清单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及质量要求进行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供货，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如中标方提供的产品不符合采购方招标参数或使用需求，采购方有权要求中标方更换至符合招标参数或使用需求为止。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2、供应商报价产品包括货物、包装、运输、装卸、安装、保险、税金等验收合格之前的一切税金和费用。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供应商需提供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工商营业执照（需具备生产或销售体育、健身器材相关经营范围）副本原件或具有同等法律效力的证明文件。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4、为确保供应商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提供的产品为正规制造商生产的全新原装正品，需提供制造商资格证明和针对本项目的授权证明。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5、供应商需提供相关货物要求的产品认证书和检验报告，复印件加盖制造商公章（中标后核查原件）。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供应商需提供相关质量保证承诺书：报价产品质保期不少于2年，质保期内如有质量问题供货商2小时内到场，24小时内排除故障。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7、中标供应商需按甲方要求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48小时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内提供相关产品实物样品，到指定位置进行查验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，并在签订合同后5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日内完成供货安装。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、供应商所提供的响应文件要求为PDF格式必须由法定代表人签名盖章并逐页加盖公章。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、供应商存在不按参数要求报价、盲目报价，恶性竞争、中标后无法满足我单位要求，无法按时完成交货，不按合同履行等违约行为的，采购人将根据《在线询价、反向竞价违约报价要求处理规则》依法依规提请政采云平台进行处罚，并记入政府采购诚信档案。商品性能及功能如不能达到采购要求的，视为虚假响应采购要求，将列入政府采购黑名单。不能满足采购方要求，无法准时完成交货并安装的中标供应商，顺延至下一家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WQxYmVmMDY5MDk5NGU4Nzc2OTllNDI0Y2U5NTkifQ=="/>
    <w:docVar w:name="KSO_WPS_MARK_KEY" w:val="24e16b34-e711-43d9-b354-0e261dba9651"/>
  </w:docVars>
  <w:rsids>
    <w:rsidRoot w:val="00000000"/>
    <w:rsid w:val="32597313"/>
    <w:rsid w:val="5C3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661</Characters>
  <Paragraphs>11</Paragraphs>
  <TotalTime>35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2023-08-26T05:32:00Z</dcterms:created>
  <dc:creator>梦醒时分</dc:creator>
  <cp:lastModifiedBy>Administrator</cp:lastModifiedBy>
  <dcterms:modified xsi:type="dcterms:W3CDTF">2024-11-05T14:43:51Z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818A0D78D7194129ABE912FFE4AFA38A_13</vt:lpwstr>
  </property>
</Properties>
</file>