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FCD280F">
      <w:pPr>
        <w:spacing w:line="360" w:lineRule="auto"/>
        <w:jc w:val="center"/>
        <w:rPr>
          <w:rFonts w:hint="eastAsia" w:asciiTheme="minorEastAsia" w:hAnsiTheme="minorEastAsia" w:cstheme="minorEastAsia"/>
          <w:b/>
          <w:bCs/>
          <w:sz w:val="36"/>
          <w:szCs w:val="36"/>
        </w:rPr>
      </w:pPr>
      <w:r>
        <w:rPr>
          <w:rFonts w:hint="eastAsia" w:asciiTheme="minorEastAsia" w:hAnsiTheme="minorEastAsia" w:cstheme="minorEastAsia"/>
          <w:b/>
          <w:bCs/>
          <w:sz w:val="36"/>
          <w:szCs w:val="36"/>
        </w:rPr>
        <w:t>招标参数</w:t>
      </w:r>
    </w:p>
    <w:p w14:paraId="5C1B126F">
      <w:pPr>
        <w:numPr>
          <w:ilvl w:val="0"/>
          <w:numId w:val="1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/>
          <w:bCs/>
          <w:sz w:val="24"/>
        </w:rPr>
        <w:t>物理功能</w:t>
      </w:r>
    </w:p>
    <w:p w14:paraId="2CDC02C9">
      <w:pPr>
        <w:numPr>
          <w:ilvl w:val="0"/>
          <w:numId w:val="2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设备整机重量（含电池）≤2.6kg。</w:t>
      </w:r>
    </w:p>
    <w:p w14:paraId="5A0A5AC3">
      <w:pPr>
        <w:numPr>
          <w:ilvl w:val="0"/>
          <w:numId w:val="2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设备具备高便携性，有便携把手。</w:t>
      </w:r>
    </w:p>
    <w:p w14:paraId="7E953494">
      <w:pPr>
        <w:numPr>
          <w:ilvl w:val="0"/>
          <w:numId w:val="2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主机有机盖保护装置，电极片具有收纳仓。</w:t>
      </w:r>
    </w:p>
    <w:p w14:paraId="44A9DEC0">
      <w:pPr>
        <w:numPr>
          <w:ilvl w:val="0"/>
          <w:numId w:val="2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主机使用期限≥8年。</w:t>
      </w:r>
    </w:p>
    <w:p w14:paraId="5CADCFAA">
      <w:pPr>
        <w:numPr>
          <w:ilvl w:val="0"/>
          <w:numId w:val="2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电子产品环保使用年限≥20年。</w:t>
      </w:r>
    </w:p>
    <w:p w14:paraId="3F1723B7">
      <w:pPr>
        <w:numPr>
          <w:ilvl w:val="0"/>
          <w:numId w:val="2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产品防尘防水等级≥IP65。</w:t>
      </w:r>
    </w:p>
    <w:p w14:paraId="75975F94">
      <w:pPr>
        <w:numPr>
          <w:ilvl w:val="0"/>
          <w:numId w:val="2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支持直升机和固定翼飞机环境使用，产品符合RTCA/DO-160G，Section21的适航相关电磁兼容条款。</w:t>
      </w:r>
    </w:p>
    <w:p w14:paraId="7B4D30C9">
      <w:pPr>
        <w:numPr>
          <w:ilvl w:val="0"/>
          <w:numId w:val="2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设备能够适应各种恶劣气候环境，工作温度：-20℃～ 55℃，0%～95%(无冷凝)，大气压力：50kPa～ 110kPa。</w:t>
      </w:r>
    </w:p>
    <w:p w14:paraId="200C2ACA">
      <w:pPr>
        <w:numPr>
          <w:ilvl w:val="0"/>
          <w:numId w:val="2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存储温度：-30℃～70℃，0%～95%(无冷凝)，大气压力：50kPa～ 110kPa。</w:t>
      </w:r>
    </w:p>
    <w:p w14:paraId="2251A3AE">
      <w:pPr>
        <w:numPr>
          <w:ilvl w:val="0"/>
          <w:numId w:val="1"/>
        </w:numPr>
        <w:spacing w:line="360" w:lineRule="auto"/>
        <w:jc w:val="left"/>
        <w:rPr>
          <w:rFonts w:hint="eastAsia" w:asciiTheme="minorEastAsia" w:hAnsiTheme="minorEastAsia" w:cstheme="minorEastAsia"/>
          <w:b/>
          <w:bCs/>
          <w:sz w:val="24"/>
        </w:rPr>
      </w:pPr>
      <w:r>
        <w:rPr>
          <w:rFonts w:hint="eastAsia" w:asciiTheme="minorEastAsia" w:hAnsiTheme="minorEastAsia" w:cstheme="minorEastAsia"/>
          <w:b/>
          <w:bCs/>
          <w:sz w:val="24"/>
        </w:rPr>
        <w:t xml:space="preserve"> 操作显示</w:t>
      </w:r>
    </w:p>
    <w:p w14:paraId="18B84143">
      <w:pPr>
        <w:numPr>
          <w:ilvl w:val="0"/>
          <w:numId w:val="3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采用开盖即开机方式，为避免误操作，主机操作面板上按键≤3个。</w:t>
      </w:r>
    </w:p>
    <w:p w14:paraId="40E81727">
      <w:pPr>
        <w:numPr>
          <w:ilvl w:val="0"/>
          <w:numId w:val="3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主机具有成人和儿童模式，可以通过病人类型一键切换按钮进行成人/儿童切换。</w:t>
      </w:r>
    </w:p>
    <w:p w14:paraId="28C94201">
      <w:pPr>
        <w:numPr>
          <w:ilvl w:val="0"/>
          <w:numId w:val="3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屏幕尺寸≥7英寸TFT彩色显示屏，分辨率不小于800×480像素，支持动画指导用户执行急救操作。</w:t>
      </w:r>
    </w:p>
    <w:p w14:paraId="4AC7C7C2">
      <w:pPr>
        <w:numPr>
          <w:ilvl w:val="0"/>
          <w:numId w:val="3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屏幕可显示操作步骤提示画面、按压提示次数、病人类型、电击次数、急救累计时长、CPR计时、网络类型、电池电量、病人的ECG心电波形图</w:t>
      </w:r>
    </w:p>
    <w:p w14:paraId="6D4FA66C">
      <w:pPr>
        <w:numPr>
          <w:ilvl w:val="0"/>
          <w:numId w:val="3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语言可以一键切换，支持≥3种以上不同国家的语言。</w:t>
      </w:r>
    </w:p>
    <w:p w14:paraId="653DAE15">
      <w:pPr>
        <w:numPr>
          <w:ilvl w:val="0"/>
          <w:numId w:val="3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为适应强光环境下使用，设备能够根据环境光强度自动调节屏幕显示亮度。</w:t>
      </w:r>
    </w:p>
    <w:p w14:paraId="33B03023">
      <w:pPr>
        <w:numPr>
          <w:ilvl w:val="0"/>
          <w:numId w:val="3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为适应急救现场嘈杂环境下使用，设备能够根据环境噪音强度自动调节语音播放音量。</w:t>
      </w:r>
    </w:p>
    <w:p w14:paraId="73641202">
      <w:pPr>
        <w:numPr>
          <w:ilvl w:val="0"/>
          <w:numId w:val="3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CPR按压模式30:2和仅按压模式可调，按压速率100、110、120可调。</w:t>
      </w:r>
    </w:p>
    <w:p w14:paraId="5A496939">
      <w:pPr>
        <w:numPr>
          <w:ilvl w:val="0"/>
          <w:numId w:val="3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设备具有符合 AHA/ERC 推荐的频率对病人实施胸部按压并进行通气的语音提示。</w:t>
      </w:r>
    </w:p>
    <w:p w14:paraId="2826028E">
      <w:pPr>
        <w:numPr>
          <w:ilvl w:val="0"/>
          <w:numId w:val="1"/>
        </w:numPr>
        <w:spacing w:line="360" w:lineRule="auto"/>
        <w:jc w:val="left"/>
        <w:rPr>
          <w:rFonts w:hint="eastAsia" w:asciiTheme="minorEastAsia" w:hAnsiTheme="minorEastAsia" w:cstheme="minorEastAsia"/>
          <w:b/>
          <w:bCs/>
          <w:sz w:val="24"/>
        </w:rPr>
      </w:pPr>
      <w:r>
        <w:rPr>
          <w:rFonts w:hint="eastAsia" w:asciiTheme="minorEastAsia" w:hAnsiTheme="minorEastAsia" w:cstheme="minorEastAsia"/>
          <w:b/>
          <w:bCs/>
          <w:sz w:val="24"/>
        </w:rPr>
        <w:t>设备性能</w:t>
      </w:r>
    </w:p>
    <w:p w14:paraId="08702DD7">
      <w:pPr>
        <w:numPr>
          <w:ilvl w:val="0"/>
          <w:numId w:val="4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采用双相波技术，成人除颤最大能量可达360J，儿童除颤最大能量可达100J</w:t>
      </w:r>
      <w:r>
        <w:rPr>
          <w:rFonts w:ascii="宋体" w:hAnsi="宋体" w:eastAsia="宋体" w:cs="宋体"/>
          <w:sz w:val="24"/>
        </w:rPr>
        <w:t>，</w:t>
      </w:r>
      <w:r>
        <w:rPr>
          <w:rFonts w:hint="eastAsia" w:asciiTheme="minorEastAsia" w:hAnsiTheme="minorEastAsia" w:cstheme="minorEastAsia"/>
          <w:bCs/>
          <w:szCs w:val="21"/>
        </w:rPr>
        <w:t>能量可自动递增，首次除颤没有消除室颤时，第二次或后续电击使用更高级别能量。</w:t>
      </w:r>
    </w:p>
    <w:p w14:paraId="01D85DD0">
      <w:pPr>
        <w:numPr>
          <w:ilvl w:val="0"/>
          <w:numId w:val="4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开机到200J放电准备就绪用时＜7s，</w:t>
      </w:r>
    </w:p>
    <w:p w14:paraId="6850CFD5">
      <w:pPr>
        <w:numPr>
          <w:ilvl w:val="0"/>
          <w:numId w:val="4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除颤后ECG恢复时间＜3s。</w:t>
      </w:r>
    </w:p>
    <w:p w14:paraId="50AAC57F">
      <w:pPr>
        <w:numPr>
          <w:ilvl w:val="0"/>
          <w:numId w:val="4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开始分析心律到200J放电准备就绪时间＜5s,</w:t>
      </w:r>
    </w:p>
    <w:p w14:paraId="1B077C5B">
      <w:pPr>
        <w:numPr>
          <w:ilvl w:val="0"/>
          <w:numId w:val="4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电池使用年限≥5年，电池容量≥4500mAh。</w:t>
      </w:r>
    </w:p>
    <w:p w14:paraId="4FE71AA8">
      <w:pPr>
        <w:numPr>
          <w:ilvl w:val="0"/>
          <w:numId w:val="4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在适合条件下，可提供≥200次360J除颤或380次150J除颤。</w:t>
      </w:r>
    </w:p>
    <w:p w14:paraId="4FA10D93">
      <w:pPr>
        <w:numPr>
          <w:ilvl w:val="0"/>
          <w:numId w:val="4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单副电极片有效期≧55个月。</w:t>
      </w:r>
    </w:p>
    <w:p w14:paraId="43B1614A">
      <w:pPr>
        <w:numPr>
          <w:ilvl w:val="0"/>
          <w:numId w:val="4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首次出现电池电量低报警时，主机至少还可以持续工作30分钟或至少提供10次200J的电击。</w:t>
      </w:r>
    </w:p>
    <w:p w14:paraId="5CFCA38F">
      <w:pPr>
        <w:numPr>
          <w:ilvl w:val="0"/>
          <w:numId w:val="4"/>
        </w:numPr>
        <w:spacing w:line="360" w:lineRule="auto"/>
        <w:jc w:val="left"/>
      </w:pPr>
      <w:r>
        <w:rPr>
          <w:rFonts w:hint="eastAsia"/>
        </w:rPr>
        <w:t>电极片失效日期到期前3个月，设备会发送提醒信息，用户可通过显示屏界面、Web端查看到相关信息数据。</w:t>
      </w:r>
    </w:p>
    <w:p w14:paraId="3801CA18">
      <w:pPr>
        <w:numPr>
          <w:ilvl w:val="0"/>
          <w:numId w:val="4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主机上有电极片粘贴位置动画提示。</w:t>
      </w:r>
    </w:p>
    <w:p w14:paraId="724344B2">
      <w:pPr>
        <w:numPr>
          <w:ilvl w:val="0"/>
          <w:numId w:val="1"/>
        </w:numPr>
        <w:spacing w:line="360" w:lineRule="auto"/>
        <w:jc w:val="left"/>
        <w:rPr>
          <w:rFonts w:hint="eastAsia" w:asciiTheme="minorEastAsia" w:hAnsiTheme="minorEastAsia" w:cstheme="minorEastAsia"/>
          <w:b/>
          <w:bCs/>
          <w:sz w:val="24"/>
        </w:rPr>
      </w:pPr>
      <w:r>
        <w:rPr>
          <w:rFonts w:hint="eastAsia" w:asciiTheme="minorEastAsia" w:hAnsiTheme="minorEastAsia" w:cstheme="minorEastAsia"/>
          <w:b/>
          <w:bCs/>
          <w:sz w:val="24"/>
        </w:rPr>
        <w:t xml:space="preserve"> 设备自检与巡检</w:t>
      </w:r>
    </w:p>
    <w:p w14:paraId="4715C1B6">
      <w:pPr>
        <w:numPr>
          <w:ilvl w:val="0"/>
          <w:numId w:val="5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设备每天、每周、每月都会进行自检。</w:t>
      </w:r>
    </w:p>
    <w:p w14:paraId="03E7563D">
      <w:pPr>
        <w:numPr>
          <w:ilvl w:val="0"/>
          <w:numId w:val="5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插入电池后主机会进行检测，主要包括以下检测项：按键测试、高压充放电、</w:t>
      </w:r>
      <w:r>
        <w:rPr>
          <w:rFonts w:hint="eastAsia"/>
        </w:rPr>
        <w:t>能量内部释放与解除、电池电量</w:t>
      </w:r>
      <w:r>
        <w:rPr>
          <w:rFonts w:hint="eastAsia" w:asciiTheme="minorEastAsia" w:hAnsiTheme="minorEastAsia" w:cstheme="minorEastAsia"/>
          <w:bCs/>
          <w:szCs w:val="21"/>
        </w:rPr>
        <w:t>、通讯情况等。</w:t>
      </w:r>
    </w:p>
    <w:p w14:paraId="6D969824">
      <w:pPr>
        <w:numPr>
          <w:ilvl w:val="0"/>
          <w:numId w:val="5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为减少电池的损耗和线下巡检的工作量，不开机不开盖的情况就能查看电池电量，主机外壳具有电量显示屏，能够快速识别设备电量。</w:t>
      </w:r>
    </w:p>
    <w:p w14:paraId="707CE96A">
      <w:pPr>
        <w:numPr>
          <w:ilvl w:val="0"/>
          <w:numId w:val="5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方便工作人员线下巡检，主机具有三种不同颜色的指示灯指示设备不同状态，在不开机不开盖的情况下能够识别设备状态。</w:t>
      </w:r>
    </w:p>
    <w:p w14:paraId="6BB0FE42">
      <w:pPr>
        <w:numPr>
          <w:ilvl w:val="0"/>
          <w:numId w:val="5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主机具有电极片查看窗，方便随时查看电极片的使用效期。</w:t>
      </w:r>
    </w:p>
    <w:p w14:paraId="1A8616D0">
      <w:pPr>
        <w:numPr>
          <w:ilvl w:val="0"/>
          <w:numId w:val="1"/>
        </w:numPr>
        <w:spacing w:line="360" w:lineRule="auto"/>
        <w:jc w:val="left"/>
        <w:rPr>
          <w:rFonts w:hint="eastAsia" w:asciiTheme="minorEastAsia" w:hAnsiTheme="minorEastAsia" w:cstheme="minorEastAsia"/>
          <w:b/>
          <w:bCs/>
          <w:sz w:val="24"/>
        </w:rPr>
      </w:pPr>
      <w:r>
        <w:rPr>
          <w:rFonts w:hint="eastAsia" w:asciiTheme="minorEastAsia" w:hAnsiTheme="minorEastAsia" w:cstheme="minorEastAsia"/>
          <w:b/>
          <w:bCs/>
          <w:sz w:val="24"/>
        </w:rPr>
        <w:t>数据传输和存储</w:t>
      </w:r>
    </w:p>
    <w:p w14:paraId="47A4ED29">
      <w:pPr>
        <w:numPr>
          <w:ilvl w:val="0"/>
          <w:numId w:val="6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数据存储内存容量≥10G，可存储≥1200条事件记录，或≥1500份自检报告。</w:t>
      </w:r>
    </w:p>
    <w:p w14:paraId="3B76FEA3">
      <w:pPr>
        <w:numPr>
          <w:ilvl w:val="0"/>
          <w:numId w:val="6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为方便记录患者施救信息，可记录≥6h ECG波形记录，且同时能保存至少≥6h心肺复苏数据。</w:t>
      </w:r>
    </w:p>
    <w:p w14:paraId="6573CE58">
      <w:pPr>
        <w:numPr>
          <w:ilvl w:val="0"/>
          <w:numId w:val="6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设备支持USB接口，可通过外部USB闪存设备导出抢救记录数据。</w:t>
      </w:r>
    </w:p>
    <w:p w14:paraId="324C19A2">
      <w:pPr>
        <w:numPr>
          <w:ilvl w:val="0"/>
          <w:numId w:val="6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具备录音功能，可保存≥65分钟抢救现场录音。</w:t>
      </w:r>
    </w:p>
    <w:p w14:paraId="68DEA249">
      <w:pPr>
        <w:numPr>
          <w:ilvl w:val="0"/>
          <w:numId w:val="6"/>
        </w:numPr>
        <w:spacing w:line="360" w:lineRule="auto"/>
        <w:jc w:val="left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设备配置了蜂窝移动模块和Wi-Fi模块，可通过蜂窝移动网络和Wi-Fi网络接入设备管理系统。</w:t>
      </w:r>
    </w:p>
    <w:p w14:paraId="4BD17460">
      <w:pPr>
        <w:widowControl w:val="0"/>
        <w:numPr>
          <w:ilvl w:val="0"/>
          <w:numId w:val="0"/>
        </w:numPr>
        <w:jc w:val="both"/>
        <w:rPr>
          <w:rFonts w:hint="default"/>
          <w:lang w:val="en-US" w:eastAsia="zh-CN"/>
        </w:rPr>
      </w:pPr>
    </w:p>
    <w:p w14:paraId="71A99B95">
      <w:pPr>
        <w:widowControl w:val="0"/>
        <w:numPr>
          <w:ilvl w:val="0"/>
          <w:numId w:val="0"/>
        </w:numPr>
        <w:jc w:val="both"/>
        <w:rPr>
          <w:rFonts w:hint="default"/>
          <w:lang w:val="en-US" w:eastAsia="zh-CN"/>
        </w:rPr>
      </w:pPr>
    </w:p>
    <w:p w14:paraId="18FDA9F4">
      <w:pPr>
        <w:numPr>
          <w:ilvl w:val="0"/>
          <w:numId w:val="0"/>
        </w:num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响应附件要求：</w:t>
      </w:r>
    </w:p>
    <w:p w14:paraId="0FA4B29E">
      <w:pPr>
        <w:numPr>
          <w:ilvl w:val="0"/>
          <w:numId w:val="7"/>
        </w:num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需上传技术偏离表（格式自拟），每条参数对应佐证材料，原厂授权书，原厂售后服务承诺、营业执照、医疗器械经营许可证、医疗器械注册证及生产厂家资质。</w:t>
      </w:r>
    </w:p>
    <w:p w14:paraId="0B8185DF">
      <w:pPr>
        <w:numPr>
          <w:ilvl w:val="0"/>
          <w:numId w:val="7"/>
        </w:num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新疆有分公司或者办事处，保证服务能力，提供购房或者房屋租赁证明。</w:t>
      </w:r>
    </w:p>
    <w:p w14:paraId="7F3D31AD">
      <w:pPr>
        <w:numPr>
          <w:ilvl w:val="0"/>
          <w:numId w:val="7"/>
        </w:num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提供新疆近一年的业绩证明三份（中标通知书或者供货合同）。</w:t>
      </w:r>
    </w:p>
    <w:p w14:paraId="41E0E483">
      <w:pPr>
        <w:numPr>
          <w:ilvl w:val="0"/>
          <w:numId w:val="0"/>
        </w:numPr>
        <w:rPr>
          <w:rFonts w:hint="default"/>
          <w:lang w:val="en-US" w:eastAsia="zh-CN"/>
        </w:rPr>
      </w:pPr>
    </w:p>
    <w:p w14:paraId="0D9627B4">
      <w:pPr>
        <w:numPr>
          <w:ilvl w:val="0"/>
          <w:numId w:val="0"/>
        </w:num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商务要求</w:t>
      </w:r>
    </w:p>
    <w:p w14:paraId="0C18DD04">
      <w:pPr>
        <w:numPr>
          <w:ilvl w:val="0"/>
          <w:numId w:val="8"/>
        </w:num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要求送货上门及安装。</w:t>
      </w:r>
    </w:p>
    <w:p w14:paraId="726AEB3E">
      <w:pPr>
        <w:numPr>
          <w:ilvl w:val="0"/>
          <w:numId w:val="8"/>
        </w:num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标人报价费用包含所有货物本身购置费用，备品备件、配件费用，货物运输到指定地点运输费用，包括但不限于：人工、安装调试、培训、修理、调换、退货、送检等所需费用、质保、维保及各种税金税费等完成项目实施的所有费用。</w:t>
      </w:r>
    </w:p>
    <w:p w14:paraId="17BA36F7">
      <w:pPr>
        <w:numPr>
          <w:ilvl w:val="0"/>
          <w:numId w:val="8"/>
        </w:num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 xml:space="preserve">投标人必须响应相当于或优于采购人技术参数性能（配置）要求和各项技术标准必须符合国家强制性标准的产品，否则视为报价无效。 </w:t>
      </w:r>
    </w:p>
    <w:p w14:paraId="35F7BD76">
      <w:pPr>
        <w:numPr>
          <w:ilvl w:val="0"/>
          <w:numId w:val="8"/>
        </w:num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为保证供货质量，投标人须在招标结束后的5个工作日内携带样品、合格证、质检报告等（如有，报告日期应在本项目挂网公告日期之前）至采购单位进行测试，由样品小组详细记录过程和结果，包括外观型号、技术参数、数量等，测试完成后，样品小组出具样品验收报告，并由样品验收小组成员签字确认。如所供样品与采购人要求不一致或不合格的视为虚假应标。审查不通过可向采购中心申请依次顺延候选人。</w:t>
      </w:r>
    </w:p>
    <w:p w14:paraId="2DF8CD90">
      <w:pPr>
        <w:widowControl w:val="0"/>
        <w:numPr>
          <w:ilvl w:val="0"/>
          <w:numId w:val="0"/>
        </w:numPr>
        <w:jc w:val="both"/>
        <w:rPr>
          <w:rFonts w:hint="default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AC87673"/>
    <w:multiLevelType w:val="singleLevel"/>
    <w:tmpl w:val="8AC87673"/>
    <w:lvl w:ilvl="0" w:tentative="0">
      <w:start w:val="1"/>
      <w:numFmt w:val="decimal"/>
      <w:lvlText w:val="%1."/>
      <w:lvlJc w:val="left"/>
      <w:pPr>
        <w:tabs>
          <w:tab w:val="left" w:pos="420"/>
        </w:tabs>
        <w:ind w:left="845" w:hanging="425"/>
      </w:pPr>
      <w:rPr>
        <w:rFonts w:hint="default"/>
      </w:rPr>
    </w:lvl>
  </w:abstractNum>
  <w:abstractNum w:abstractNumId="1">
    <w:nsid w:val="B64DF0FB"/>
    <w:multiLevelType w:val="singleLevel"/>
    <w:tmpl w:val="B64DF0FB"/>
    <w:lvl w:ilvl="0" w:tentative="0">
      <w:start w:val="1"/>
      <w:numFmt w:val="chineseCounting"/>
      <w:suff w:val="nothing"/>
      <w:lvlText w:val="%1、"/>
      <w:lvlJc w:val="left"/>
      <w:pPr>
        <w:ind w:left="0" w:firstLine="420"/>
      </w:pPr>
      <w:rPr>
        <w:rFonts w:hint="eastAsia"/>
      </w:rPr>
    </w:lvl>
  </w:abstractNum>
  <w:abstractNum w:abstractNumId="2">
    <w:nsid w:val="FB922060"/>
    <w:multiLevelType w:val="singleLevel"/>
    <w:tmpl w:val="FB922060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24F9FC5A"/>
    <w:multiLevelType w:val="singleLevel"/>
    <w:tmpl w:val="24F9FC5A"/>
    <w:lvl w:ilvl="0" w:tentative="0">
      <w:start w:val="1"/>
      <w:numFmt w:val="decimal"/>
      <w:lvlText w:val="%1."/>
      <w:lvlJc w:val="left"/>
      <w:pPr>
        <w:tabs>
          <w:tab w:val="left" w:pos="420"/>
        </w:tabs>
        <w:ind w:left="845" w:hanging="425"/>
      </w:pPr>
      <w:rPr>
        <w:rFonts w:hint="default"/>
      </w:rPr>
    </w:lvl>
  </w:abstractNum>
  <w:abstractNum w:abstractNumId="4">
    <w:nsid w:val="3B9DB8A2"/>
    <w:multiLevelType w:val="singleLevel"/>
    <w:tmpl w:val="3B9DB8A2"/>
    <w:lvl w:ilvl="0" w:tentative="0">
      <w:start w:val="1"/>
      <w:numFmt w:val="decimal"/>
      <w:suff w:val="nothing"/>
      <w:lvlText w:val="%1、"/>
      <w:lvlJc w:val="left"/>
    </w:lvl>
  </w:abstractNum>
  <w:abstractNum w:abstractNumId="5">
    <w:nsid w:val="3E6F77AA"/>
    <w:multiLevelType w:val="singleLevel"/>
    <w:tmpl w:val="3E6F77AA"/>
    <w:lvl w:ilvl="0" w:tentative="0">
      <w:start w:val="1"/>
      <w:numFmt w:val="decimal"/>
      <w:lvlText w:val="%1."/>
      <w:lvlJc w:val="left"/>
      <w:pPr>
        <w:tabs>
          <w:tab w:val="left" w:pos="420"/>
        </w:tabs>
        <w:ind w:left="845" w:hanging="425"/>
      </w:pPr>
      <w:rPr>
        <w:rFonts w:hint="default"/>
      </w:rPr>
    </w:lvl>
  </w:abstractNum>
  <w:abstractNum w:abstractNumId="6">
    <w:nsid w:val="4BF5F0DA"/>
    <w:multiLevelType w:val="singleLevel"/>
    <w:tmpl w:val="4BF5F0DA"/>
    <w:lvl w:ilvl="0" w:tentative="0">
      <w:start w:val="1"/>
      <w:numFmt w:val="decimal"/>
      <w:lvlText w:val="%1."/>
      <w:lvlJc w:val="left"/>
      <w:pPr>
        <w:tabs>
          <w:tab w:val="left" w:pos="420"/>
        </w:tabs>
        <w:ind w:left="845" w:hanging="425"/>
      </w:pPr>
      <w:rPr>
        <w:rFonts w:hint="default"/>
      </w:rPr>
    </w:lvl>
  </w:abstractNum>
  <w:abstractNum w:abstractNumId="7">
    <w:nsid w:val="50EAE109"/>
    <w:multiLevelType w:val="singleLevel"/>
    <w:tmpl w:val="50EAE109"/>
    <w:lvl w:ilvl="0" w:tentative="0">
      <w:start w:val="1"/>
      <w:numFmt w:val="decimal"/>
      <w:lvlText w:val="%1."/>
      <w:lvlJc w:val="left"/>
      <w:pPr>
        <w:tabs>
          <w:tab w:val="left" w:pos="420"/>
        </w:tabs>
        <w:ind w:left="845" w:hanging="425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7"/>
  </w:num>
  <w:num w:numId="4">
    <w:abstractNumId w:val="3"/>
  </w:num>
  <w:num w:numId="5">
    <w:abstractNumId w:val="5"/>
  </w:num>
  <w:num w:numId="6">
    <w:abstractNumId w:val="6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53274B"/>
    <w:rsid w:val="31653B7E"/>
    <w:rsid w:val="65763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1858</Words>
  <Characters>2011</Characters>
  <Lines>0</Lines>
  <Paragraphs>0</Paragraphs>
  <TotalTime>1</TotalTime>
  <ScaleCrop>false</ScaleCrop>
  <LinksUpToDate>false</LinksUpToDate>
  <CharactersWithSpaces>2020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2025-04-02T08:50:00Z</dcterms:created>
  <dc:creator>Administrator</dc:creator>
  <cp:lastModifiedBy>꧁༺羊༒先生༻꧂</cp:lastModifiedBy>
  <dcterms:modified xsi:type="dcterms:W3CDTF">2025-04-03T03:09:56Z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eyJoZGlkIjoiZGExODJkNzU1ZTY0ODljNTEzM2QyZWEyNjA4ZTU3NTkiLCJ1c2VySWQiOiIzMjU5NzM0ODIifQ==</vt:lpwstr>
  </property>
  <property fmtid="{D5CDD505-2E9C-101B-9397-08002B2CF9AE}" pid="4" name="ICV">
    <vt:lpwstr>50379C38518E4D69BB32085FF977E3DD_13</vt:lpwstr>
  </property>
</Properties>
</file>