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0"/>
        <w:rPr>
          <w:rFonts w:hint="eastAsia" w:ascii="宋体" w:hAnsi="宋体" w:cs="宋体"/>
          <w:color w:val="000000"/>
          <w:kern w:val="0"/>
          <w:sz w:val="20"/>
          <w:szCs w:val="20"/>
          <w:lang w:val="en-US" w:eastAsia="zh-CN" w:bidi="ar"/>
        </w:rPr>
      </w:pPr>
      <w:bookmarkStart w:id="0" w:name="_GoBack"/>
      <w:bookmarkEnd w:id="0"/>
      <w:r>
        <w:rPr>
          <w:rFonts w:hint="eastAsia" w:ascii="宋体" w:hAnsi="宋体" w:cs="仿宋"/>
          <w:b/>
          <w:bCs/>
          <w:kern w:val="0"/>
          <w:sz w:val="28"/>
          <w:szCs w:val="28"/>
          <w:lang w:val="en-US" w:eastAsia="zh-CN"/>
        </w:rPr>
        <w:t>一、技术参数要求</w:t>
      </w:r>
    </w:p>
    <w:tbl>
      <w:tblPr>
        <w:tblStyle w:val="4"/>
        <w:tblW w:w="5519" w:type="pct"/>
        <w:tblInd w:w="-6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7"/>
        <w:gridCol w:w="1052"/>
        <w:gridCol w:w="960"/>
        <w:gridCol w:w="6034"/>
        <w:gridCol w:w="694"/>
      </w:tblGrid>
      <w:tr>
        <w:trPr>
          <w:trHeight w:val="270" w:hRule="atLeast"/>
        </w:trPr>
        <w:tc>
          <w:tcPr>
            <w:tcW w:w="354" w:type="pct"/>
            <w:tcBorders>
              <w:top w:val="single" w:color="auto" w:sz="4" w:space="0"/>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bidi="ar"/>
              </w:rPr>
              <w:t>序号</w:t>
            </w:r>
          </w:p>
        </w:tc>
        <w:tc>
          <w:tcPr>
            <w:tcW w:w="559" w:type="pct"/>
            <w:tcBorders>
              <w:top w:val="single" w:color="auto" w:sz="4" w:space="0"/>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bidi="ar"/>
              </w:rPr>
              <w:t>名称</w:t>
            </w: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bidi="ar"/>
              </w:rPr>
              <w:t>指标项</w:t>
            </w:r>
          </w:p>
        </w:tc>
        <w:tc>
          <w:tcPr>
            <w:tcW w:w="3207"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bidi="ar"/>
              </w:rPr>
              <w:t>主要配置</w:t>
            </w:r>
          </w:p>
        </w:tc>
        <w:tc>
          <w:tcPr>
            <w:tcW w:w="368" w:type="pct"/>
            <w:tcBorders>
              <w:top w:val="single" w:color="auto" w:sz="4" w:space="0"/>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bidi="ar"/>
              </w:rPr>
              <w:t>数量</w:t>
            </w:r>
          </w:p>
        </w:tc>
      </w:tr>
      <w:tr>
        <w:trPr>
          <w:trHeight w:val="270" w:hRule="atLeast"/>
        </w:trPr>
        <w:tc>
          <w:tcPr>
            <w:tcW w:w="354" w:type="pct"/>
            <w:vMerge w:val="restart"/>
            <w:tcBorders>
              <w:top w:val="single" w:color="auto" w:sz="4" w:space="0"/>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1</w:t>
            </w:r>
          </w:p>
        </w:tc>
        <w:tc>
          <w:tcPr>
            <w:tcW w:w="559" w:type="pct"/>
            <w:vMerge w:val="restart"/>
            <w:tcBorders>
              <w:top w:val="single" w:color="auto" w:sz="4" w:space="0"/>
              <w:left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下一代防火墙</w:t>
            </w: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bidi="ar"/>
              </w:rPr>
              <w:t>规格</w:t>
            </w:r>
          </w:p>
        </w:tc>
        <w:tc>
          <w:tcPr>
            <w:tcW w:w="3207"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1</w:t>
            </w:r>
            <w:r>
              <w:rPr>
                <w:rFonts w:hint="eastAsia" w:asciiTheme="minorEastAsia" w:hAnsiTheme="minorEastAsia" w:eastAsiaTheme="minorEastAsia" w:cstheme="minorEastAsia"/>
                <w:color w:val="000000"/>
                <w:kern w:val="0"/>
                <w:sz w:val="21"/>
                <w:szCs w:val="21"/>
                <w:lang w:bidi="ar"/>
              </w:rPr>
              <w:t>U机架式</w:t>
            </w:r>
          </w:p>
        </w:tc>
        <w:tc>
          <w:tcPr>
            <w:tcW w:w="368" w:type="pct"/>
            <w:vMerge w:val="restart"/>
            <w:tcBorders>
              <w:top w:val="single" w:color="auto" w:sz="4" w:space="0"/>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1台</w:t>
            </w: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容量</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配置内存≥8GB，数据盘≥128GB SSD</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接口</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不少于8个千兆电口，2个万兆光口SFP+</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性能</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★网络层吞吐量≥10Gbps，应用层吞吐量≥5G，IPS吞吐量≥1G，HTTP新建连接数≥6万</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bidi="ar"/>
              </w:rPr>
              <w:t>电源</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配置白金交流电源</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部署模式</w:t>
            </w:r>
          </w:p>
        </w:tc>
        <w:tc>
          <w:tcPr>
            <w:tcW w:w="3207"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color w:val="000000"/>
                <w:kern w:val="0"/>
                <w:sz w:val="21"/>
                <w:szCs w:val="21"/>
                <w:lang w:val="en-US" w:eastAsia="zh-CN" w:bidi="ar"/>
              </w:rPr>
            </w:pPr>
            <w:r>
              <w:rPr>
                <w:rFonts w:hint="eastAsia"/>
                <w:lang w:val="en-US" w:eastAsia="zh-CN"/>
              </w:rPr>
              <w:t>产品</w:t>
            </w:r>
            <w:r>
              <w:rPr>
                <w:rFonts w:hint="eastAsia"/>
              </w:rPr>
              <w:t>必须支持路由模式、透明模式、虚拟网线、旁路镜像、混合模式等多种部署方式</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安全防护功能</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1"/>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需支持IPv6环境下的应用控制策略，能针对IPv6的IP地址、服务端口、区域、服务/应用、时间等条件进行应用访问规则的设置；</w:t>
            </w:r>
          </w:p>
          <w:p>
            <w:pPr>
              <w:numPr>
                <w:ilvl w:val="0"/>
                <w:numId w:val="1"/>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防火墙需具备详细的策略路由配置规则，需支持按照国家设置屏蔽策略，不允许境外访问本单位业务；</w:t>
            </w:r>
          </w:p>
          <w:p>
            <w:pPr>
              <w:numPr>
                <w:ilvl w:val="0"/>
                <w:numId w:val="1"/>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防火墙具备对外业务防护功能，避免黑客的恶意扫描，支持对扫描源IP进行日志记录和加黑名单。提供关于“漏洞防扫描”功能的检测报告；</w:t>
            </w:r>
          </w:p>
          <w:p>
            <w:pPr>
              <w:numPr>
                <w:ilvl w:val="0"/>
                <w:numId w:val="1"/>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防火墙需具备高级威胁入侵防御功能，能对所有经过的流量在转发前经过威胁情报的检测并已明确结果，威胁流量进行实时检测或者拦截，实现恶意流量在转发前被阻断，保护我单位互联网业务安全，威胁情报中心应有多节点服务，保障可用性；</w:t>
            </w:r>
          </w:p>
          <w:p>
            <w:pPr>
              <w:numPr>
                <w:ilvl w:val="0"/>
                <w:numId w:val="1"/>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w:t>
            </w:r>
            <w:r>
              <w:rPr>
                <w:rFonts w:hint="default" w:asciiTheme="minorEastAsia" w:hAnsiTheme="minorEastAsia" w:eastAsiaTheme="minorEastAsia" w:cstheme="minorEastAsia"/>
                <w:color w:val="000000"/>
                <w:kern w:val="0"/>
                <w:sz w:val="21"/>
                <w:szCs w:val="21"/>
                <w:lang w:val="en-US" w:eastAsia="zh-CN" w:bidi="ar"/>
              </w:rPr>
              <w:t>防火墙需支持检测网络中的勒索病毒，能针对勒索病毒攻击设置专门的安全策略（提供“勒索病毒检测功能”软件著作权证书）;</w:t>
            </w:r>
          </w:p>
          <w:p>
            <w:pPr>
              <w:numPr>
                <w:ilvl w:val="0"/>
                <w:numId w:val="1"/>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产品支持僵尸主机检测功能，产品内置僵尸网络特征库超过128万种，可识别主机的异常外联行为</w:t>
            </w:r>
            <w:r>
              <w:rPr>
                <w:rFonts w:hint="eastAsia" w:asciiTheme="minorEastAsia" w:hAnsiTheme="minorEastAsia" w:eastAsiaTheme="minorEastAsia" w:cstheme="minorEastAsia"/>
                <w:sz w:val="21"/>
                <w:szCs w:val="21"/>
                <w:lang w:val="en-US" w:eastAsia="zh-CN"/>
              </w:rPr>
              <w:t>；</w:t>
            </w:r>
          </w:p>
          <w:p>
            <w:pPr>
              <w:numPr>
                <w:ilvl w:val="0"/>
                <w:numId w:val="1"/>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w:t>
            </w:r>
            <w:r>
              <w:rPr>
                <w:rFonts w:hint="default" w:asciiTheme="minorEastAsia" w:hAnsiTheme="minorEastAsia" w:eastAsiaTheme="minorEastAsia" w:cstheme="minorEastAsia"/>
                <w:color w:val="000000"/>
                <w:kern w:val="0"/>
                <w:sz w:val="21"/>
                <w:szCs w:val="21"/>
                <w:lang w:val="en-US" w:eastAsia="zh-CN" w:bidi="ar"/>
              </w:rPr>
              <w:t>产品支持对压缩病毒文件进行检测和拦截，压缩层数支持1</w:t>
            </w:r>
            <w:r>
              <w:rPr>
                <w:rFonts w:hint="eastAsia" w:asciiTheme="minorEastAsia" w:hAnsiTheme="minorEastAsia" w:eastAsiaTheme="minorEastAsia" w:cstheme="minorEastAsia"/>
                <w:color w:val="000000"/>
                <w:kern w:val="0"/>
                <w:sz w:val="21"/>
                <w:szCs w:val="21"/>
                <w:lang w:val="en-US" w:eastAsia="zh-CN" w:bidi="ar"/>
              </w:rPr>
              <w:t>4</w:t>
            </w:r>
            <w:r>
              <w:rPr>
                <w:rFonts w:hint="default" w:asciiTheme="minorEastAsia" w:hAnsiTheme="minorEastAsia" w:eastAsiaTheme="minorEastAsia" w:cstheme="minorEastAsia"/>
                <w:color w:val="000000"/>
                <w:kern w:val="0"/>
                <w:sz w:val="21"/>
                <w:szCs w:val="21"/>
                <w:lang w:val="en-US" w:eastAsia="zh-CN" w:bidi="ar"/>
              </w:rPr>
              <w:t>层及以上</w:t>
            </w:r>
            <w:r>
              <w:rPr>
                <w:rFonts w:hint="eastAsia" w:asciiTheme="minorEastAsia" w:hAnsiTheme="minorEastAsia" w:eastAsiaTheme="minorEastAsia" w:cstheme="minorEastAsia"/>
                <w:sz w:val="21"/>
                <w:szCs w:val="21"/>
                <w:lang w:val="en-US" w:eastAsia="zh-CN"/>
              </w:rPr>
              <w:t>（需提供产品功能截图）</w:t>
            </w:r>
            <w:r>
              <w:rPr>
                <w:rFonts w:hint="default" w:asciiTheme="minorEastAsia" w:hAnsiTheme="minorEastAsia" w:eastAsiaTheme="minorEastAsia" w:cstheme="minorEastAsia"/>
                <w:color w:val="000000"/>
                <w:kern w:val="0"/>
                <w:sz w:val="21"/>
                <w:szCs w:val="21"/>
                <w:lang w:val="en-US" w:eastAsia="zh-CN" w:bidi="ar"/>
              </w:rPr>
              <w:t>；</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tabs>
                <w:tab w:val="left" w:pos="509"/>
              </w:tabs>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维护管理</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2"/>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当主机故障时，双机切换时不丢包，并可实现双机部署下升级不断网</w:t>
            </w:r>
            <w:r>
              <w:rPr>
                <w:rFonts w:hint="eastAsia" w:asciiTheme="minorEastAsia" w:hAnsiTheme="minorEastAsia" w:eastAsiaTheme="minorEastAsia" w:cstheme="minorEastAsia"/>
                <w:color w:val="000000"/>
                <w:kern w:val="0"/>
                <w:sz w:val="21"/>
                <w:szCs w:val="21"/>
                <w:lang w:eastAsia="zh-CN" w:bidi="ar"/>
              </w:rPr>
              <w:t>；</w:t>
            </w:r>
          </w:p>
          <w:p>
            <w:pPr>
              <w:numPr>
                <w:ilvl w:val="0"/>
                <w:numId w:val="2"/>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产品支持策略生命周期管理功能，支持对安全策略修改的时间、原因、变更类型进行统一管理，便于策略的运维与管理</w:t>
            </w:r>
            <w:r>
              <w:rPr>
                <w:rFonts w:hint="eastAsia" w:asciiTheme="minorEastAsia" w:hAnsiTheme="minorEastAsia" w:eastAsiaTheme="minorEastAsia" w:cstheme="minorEastAsia"/>
                <w:color w:val="000000"/>
                <w:kern w:val="0"/>
                <w:sz w:val="21"/>
                <w:szCs w:val="21"/>
                <w:lang w:eastAsia="zh-CN" w:bidi="ar"/>
              </w:rPr>
              <w:t>；</w:t>
            </w:r>
          </w:p>
          <w:p>
            <w:pPr>
              <w:numPr>
                <w:ilvl w:val="0"/>
                <w:numId w:val="2"/>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支持被动监测和主动扫描两种资产识别方式，可梳理离线资产、高危端口开放、冗余端口等安全风险；同时通过可视化的拓扑关系图，直观地展示资产和资产之间的访问关系、访问细节协议端口等信息；</w:t>
            </w:r>
          </w:p>
          <w:p>
            <w:pPr>
              <w:numPr>
                <w:ilvl w:val="0"/>
                <w:numId w:val="2"/>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sz w:val="21"/>
                <w:szCs w:val="21"/>
                <w:lang w:val="en-US" w:eastAsia="zh-CN"/>
              </w:rPr>
              <w:t>★</w:t>
            </w:r>
            <w:r>
              <w:rPr>
                <w:rFonts w:hint="eastAsia" w:asciiTheme="minorEastAsia" w:hAnsiTheme="minorEastAsia" w:eastAsiaTheme="minorEastAsia" w:cstheme="minorEastAsia"/>
                <w:color w:val="000000"/>
                <w:kern w:val="0"/>
                <w:sz w:val="21"/>
                <w:szCs w:val="21"/>
                <w:lang w:bidi="ar"/>
              </w:rPr>
              <w:t>产品支持用户账号全生命周期保护功能，包括用户账号多余入口检测、用户账号弱口令检测、用户账号暴力破解检测、失陷账号检测，防止因账号被暴力破解导致的非法提权情况发生</w:t>
            </w:r>
            <w:r>
              <w:rPr>
                <w:rFonts w:hint="eastAsia" w:asciiTheme="minorEastAsia" w:hAnsiTheme="minorEastAsia" w:eastAsiaTheme="minorEastAsia" w:cstheme="minorEastAsia"/>
                <w:sz w:val="21"/>
                <w:szCs w:val="21"/>
                <w:lang w:val="en-US" w:eastAsia="zh-CN"/>
              </w:rPr>
              <w:t>（需提供产品功能截图）</w:t>
            </w:r>
            <w:r>
              <w:rPr>
                <w:rFonts w:hint="default" w:asciiTheme="minorEastAsia" w:hAnsiTheme="minorEastAsia" w:eastAsiaTheme="minorEastAsia" w:cstheme="minorEastAsia"/>
                <w:color w:val="000000"/>
                <w:kern w:val="0"/>
                <w:sz w:val="21"/>
                <w:szCs w:val="21"/>
                <w:lang w:val="en-US" w:eastAsia="zh-CN" w:bidi="ar"/>
              </w:rPr>
              <w:t>；</w:t>
            </w:r>
          </w:p>
          <w:p>
            <w:pPr>
              <w:numPr>
                <w:ilvl w:val="0"/>
                <w:numId w:val="2"/>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sz w:val="21"/>
                <w:szCs w:val="21"/>
                <w:lang w:val="en-US" w:eastAsia="zh-CN"/>
              </w:rPr>
              <w:t>★</w:t>
            </w:r>
            <w:r>
              <w:rPr>
                <w:rFonts w:hint="eastAsia" w:asciiTheme="minorEastAsia" w:hAnsiTheme="minorEastAsia" w:eastAsiaTheme="minorEastAsia" w:cstheme="minorEastAsia"/>
                <w:color w:val="000000"/>
                <w:kern w:val="0"/>
                <w:sz w:val="21"/>
                <w:szCs w:val="21"/>
                <w:lang w:bidi="ar"/>
              </w:rPr>
              <w:t>产品支持与</w:t>
            </w:r>
            <w:r>
              <w:rPr>
                <w:rFonts w:hint="eastAsia" w:asciiTheme="minorEastAsia" w:hAnsiTheme="minorEastAsia" w:eastAsiaTheme="minorEastAsia" w:cstheme="minorEastAsia"/>
                <w:color w:val="000000"/>
                <w:kern w:val="0"/>
                <w:sz w:val="21"/>
                <w:szCs w:val="21"/>
                <w:lang w:val="en-US" w:eastAsia="zh-CN" w:bidi="ar"/>
              </w:rPr>
              <w:t>同品牌态势感知平台</w:t>
            </w:r>
            <w:r>
              <w:rPr>
                <w:rFonts w:hint="eastAsia" w:asciiTheme="minorEastAsia" w:hAnsiTheme="minorEastAsia" w:eastAsiaTheme="minorEastAsia" w:cstheme="minorEastAsia"/>
                <w:color w:val="000000"/>
                <w:kern w:val="0"/>
                <w:sz w:val="21"/>
                <w:szCs w:val="21"/>
                <w:lang w:bidi="ar"/>
              </w:rPr>
              <w:t>联动管理，实现</w:t>
            </w:r>
            <w:r>
              <w:rPr>
                <w:rFonts w:hint="eastAsia" w:asciiTheme="minorEastAsia" w:hAnsiTheme="minorEastAsia" w:eastAsiaTheme="minorEastAsia" w:cstheme="minorEastAsia"/>
                <w:color w:val="000000"/>
                <w:kern w:val="0"/>
                <w:sz w:val="21"/>
                <w:szCs w:val="21"/>
                <w:lang w:val="en-US" w:eastAsia="zh-CN" w:bidi="ar"/>
              </w:rPr>
              <w:t>联动</w:t>
            </w:r>
            <w:r>
              <w:rPr>
                <w:rFonts w:hint="eastAsia" w:asciiTheme="minorEastAsia" w:hAnsiTheme="minorEastAsia" w:eastAsiaTheme="minorEastAsia" w:cstheme="minorEastAsia"/>
                <w:color w:val="000000"/>
                <w:kern w:val="0"/>
                <w:sz w:val="21"/>
                <w:szCs w:val="21"/>
                <w:lang w:bidi="ar"/>
              </w:rPr>
              <w:t>效果包含联动封锁、访问控制</w:t>
            </w:r>
            <w:r>
              <w:rPr>
                <w:rFonts w:hint="eastAsia" w:asciiTheme="minorEastAsia" w:hAnsiTheme="minorEastAsia" w:eastAsiaTheme="minorEastAsia" w:cstheme="minorEastAsia"/>
                <w:color w:val="000000"/>
                <w:kern w:val="0"/>
                <w:sz w:val="21"/>
                <w:szCs w:val="21"/>
                <w:lang w:eastAsia="zh-CN" w:bidi="ar"/>
              </w:rPr>
              <w:t>、</w:t>
            </w:r>
            <w:r>
              <w:rPr>
                <w:rFonts w:hint="eastAsia" w:asciiTheme="minorEastAsia" w:hAnsiTheme="minorEastAsia" w:eastAsiaTheme="minorEastAsia" w:cstheme="minorEastAsia"/>
                <w:color w:val="000000"/>
                <w:kern w:val="0"/>
                <w:sz w:val="21"/>
                <w:szCs w:val="21"/>
                <w:lang w:bidi="ar"/>
              </w:rPr>
              <w:t>一键查杀等</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eastAsia="zh-CN" w:bidi="ar"/>
              </w:rPr>
              <w:t>；</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val="en-US" w:eastAsia="zh-CN" w:bidi="ar"/>
              </w:rPr>
              <w:t>产品先进性</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3"/>
              </w:numPr>
              <w:jc w:val="left"/>
              <w:textAlignment w:val="center"/>
              <w:rPr>
                <w:rFonts w:hint="eastAsia" w:asciiTheme="minorEastAsia" w:hAnsiTheme="minorEastAsia" w:eastAsiaTheme="minorEastAsia" w:cstheme="minorEastAsia"/>
                <w:color w:val="000000"/>
                <w:kern w:val="0"/>
                <w:sz w:val="21"/>
                <w:szCs w:val="21"/>
                <w:lang w:eastAsia="zh-CN" w:bidi="ar"/>
              </w:rPr>
            </w:pPr>
            <w:r>
              <w:rPr>
                <w:rFonts w:hint="eastAsia" w:asciiTheme="minorEastAsia" w:hAnsiTheme="minorEastAsia" w:eastAsiaTheme="minorEastAsia" w:cstheme="minorEastAsia"/>
                <w:color w:val="000000"/>
                <w:kern w:val="0"/>
                <w:sz w:val="21"/>
                <w:szCs w:val="21"/>
                <w:lang w:bidi="ar"/>
              </w:rPr>
              <w:t>为确保设备安全性，防火墙应采用自主知识产权的专用操作系统，应用多核并行的处理技术以确保产品处理性能，提供“多核并行安全操作系统”软件著作权证书；</w:t>
            </w:r>
          </w:p>
          <w:p>
            <w:pPr>
              <w:numPr>
                <w:ilvl w:val="0"/>
                <w:numId w:val="3"/>
              </w:numPr>
              <w:jc w:val="left"/>
              <w:textAlignment w:val="center"/>
              <w:rPr>
                <w:rFonts w:hint="eastAsia" w:asciiTheme="minorEastAsia" w:hAnsiTheme="minorEastAsia" w:eastAsiaTheme="minorEastAsia" w:cstheme="minorEastAsia"/>
                <w:color w:val="000000"/>
                <w:kern w:val="0"/>
                <w:sz w:val="21"/>
                <w:szCs w:val="21"/>
                <w:lang w:eastAsia="zh-CN" w:bidi="ar"/>
              </w:rPr>
            </w:pPr>
            <w:r>
              <w:rPr>
                <w:rFonts w:hint="eastAsia" w:asciiTheme="minorEastAsia" w:hAnsiTheme="minorEastAsia" w:eastAsiaTheme="minorEastAsia" w:cstheme="minorEastAsia"/>
                <w:color w:val="000000"/>
                <w:kern w:val="0"/>
                <w:sz w:val="21"/>
                <w:szCs w:val="21"/>
                <w:lang w:eastAsia="zh-CN" w:bidi="ar"/>
              </w:rPr>
              <w:t>为保障产品满足国家信息安全审查要求，产品须具备中国网络安全审查技术与认证中心颁发的IT产品信息安全认证证书EAL4增强级；</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bidi="ar"/>
              </w:rPr>
              <w:t>服务</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★含至少3年原厂质保，提供原厂商服务承诺函加盖</w:t>
            </w:r>
            <w:r>
              <w:rPr>
                <w:rFonts w:hint="eastAsia" w:asciiTheme="minorEastAsia" w:hAnsiTheme="minorEastAsia" w:eastAsiaTheme="minorEastAsia" w:cstheme="minorEastAsia"/>
                <w:color w:val="000000"/>
                <w:kern w:val="0"/>
                <w:sz w:val="21"/>
                <w:szCs w:val="21"/>
                <w:lang w:val="en-US" w:eastAsia="zh-CN" w:bidi="ar"/>
              </w:rPr>
              <w:t>制造商和</w:t>
            </w:r>
            <w:r>
              <w:rPr>
                <w:rFonts w:hint="eastAsia" w:asciiTheme="minorEastAsia" w:hAnsiTheme="minorEastAsia" w:eastAsiaTheme="minorEastAsia" w:cstheme="minorEastAsia"/>
                <w:color w:val="000000"/>
                <w:kern w:val="0"/>
                <w:sz w:val="21"/>
                <w:szCs w:val="21"/>
                <w:lang w:bidi="ar"/>
              </w:rPr>
              <w:t>投标人公章</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restart"/>
            <w:tcBorders>
              <w:top w:val="single" w:color="auto" w:sz="4" w:space="0"/>
              <w:left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2</w:t>
            </w:r>
          </w:p>
        </w:tc>
        <w:tc>
          <w:tcPr>
            <w:tcW w:w="559" w:type="pct"/>
            <w:vMerge w:val="restart"/>
            <w:tcBorders>
              <w:top w:val="single" w:color="auto" w:sz="4" w:space="0"/>
              <w:left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上网行为管理系统</w:t>
            </w: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bidi="ar"/>
              </w:rPr>
              <w:t>规格</w:t>
            </w:r>
          </w:p>
        </w:tc>
        <w:tc>
          <w:tcPr>
            <w:tcW w:w="3207"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1</w:t>
            </w:r>
            <w:r>
              <w:rPr>
                <w:rFonts w:hint="eastAsia" w:asciiTheme="minorEastAsia" w:hAnsiTheme="minorEastAsia" w:eastAsiaTheme="minorEastAsia" w:cstheme="minorEastAsia"/>
                <w:color w:val="000000"/>
                <w:kern w:val="0"/>
                <w:sz w:val="21"/>
                <w:szCs w:val="21"/>
                <w:lang w:bidi="ar"/>
              </w:rPr>
              <w:t>U机架式</w:t>
            </w:r>
          </w:p>
        </w:tc>
        <w:tc>
          <w:tcPr>
            <w:tcW w:w="368" w:type="pct"/>
            <w:vMerge w:val="restart"/>
            <w:tcBorders>
              <w:top w:val="single" w:color="auto" w:sz="4" w:space="0"/>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1台</w:t>
            </w: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容量</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配置内存≥4GB，数据盘≥128GB SSD</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接口</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不少于6个千兆电口</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性能</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★网络层吞吐量≥3.5Gbps，应用层吞吐量≥450M，HTTP新建连接数≥4000</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bidi="ar"/>
              </w:rPr>
              <w:t>电源</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配置白金交流电源</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部署模式</w:t>
            </w:r>
          </w:p>
        </w:tc>
        <w:tc>
          <w:tcPr>
            <w:tcW w:w="3207"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color w:val="000000"/>
                <w:kern w:val="0"/>
                <w:sz w:val="21"/>
                <w:szCs w:val="21"/>
                <w:lang w:val="en-US" w:eastAsia="zh-CN" w:bidi="ar"/>
              </w:rPr>
            </w:pPr>
            <w:r>
              <w:rPr>
                <w:rFonts w:hint="eastAsia"/>
                <w:b w:val="0"/>
                <w:bCs w:val="0"/>
                <w:lang w:val="en-US" w:eastAsia="zh-CN"/>
              </w:rPr>
              <w:t>产品</w:t>
            </w:r>
            <w:r>
              <w:rPr>
                <w:rFonts w:hint="eastAsia" w:eastAsia="宋体"/>
                <w:b w:val="0"/>
                <w:bCs w:val="0"/>
                <w:lang w:val="en-US" w:eastAsia="zh-CN"/>
              </w:rPr>
              <w:t>支持路由模式（NAT、路由转发、DHCP、GRE、OSPF）、网桥模式（多路桥接模式）、旁路模式；高可用支持主主、主备模式部署；</w:t>
            </w:r>
            <w:r>
              <w:rPr>
                <w:rFonts w:hint="eastAsia"/>
                <w:b w:val="0"/>
                <w:bCs w:val="0"/>
              </w:rPr>
              <w:t xml:space="preserve"> </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行为审计功能</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4"/>
              </w:num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支持图形化查看当前内网IP使用情况，帮助管理员减少人工维护IP表的工作量；</w:t>
            </w:r>
          </w:p>
          <w:p>
            <w:pPr>
              <w:numPr>
                <w:ilvl w:val="0"/>
                <w:numId w:val="4"/>
              </w:num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自动发现网络里面的终端，并获取IP、Mac、厂商、操作系统等信息，设备必须支持PC、移动设备、哑终端、专用设备的发现和型号识别：至少支持Windows、Linux、MAC、瘦客户机等PC；至少支持手机、平板等移动设备；至少支持服务器、交换机、无线控制器等网络设备；至少支持打印机、投影仪、电视、摄像头、门禁系统等哑终端；支持自定义终端类型；</w:t>
            </w:r>
          </w:p>
          <w:p>
            <w:pPr>
              <w:numPr>
                <w:ilvl w:val="0"/>
                <w:numId w:val="4"/>
              </w:num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支持windows终端安全检查，包括：杀软检查、登录域检查、操作系统检查、进程检查、文件检查、注册表检查、补丁检查、windows账号检查、防篡改检查、客户端集成检查，对不满足检查要求的终端可弹窗提示、禁止上网、违规修复；</w:t>
            </w:r>
          </w:p>
          <w:p>
            <w:pPr>
              <w:numPr>
                <w:ilvl w:val="0"/>
                <w:numId w:val="4"/>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w:t>
            </w:r>
            <w:r>
              <w:rPr>
                <w:rFonts w:hint="eastAsia" w:asciiTheme="minorEastAsia" w:hAnsiTheme="minorEastAsia" w:eastAsiaTheme="minorEastAsia" w:cstheme="minorEastAsia"/>
                <w:color w:val="000000"/>
                <w:kern w:val="0"/>
                <w:sz w:val="21"/>
                <w:szCs w:val="21"/>
                <w:lang w:val="en-US" w:eastAsia="zh-CN" w:bidi="ar"/>
              </w:rPr>
              <w:t>支持windows终端外联行为检查，包括：连接外网检查、PPPoE拨号检查、双网卡行为检查、无线网卡检查、链接非法WIFI检查、4G网卡检查、否使用非法网关，对不满足检查要求的终端强制断网，支持向管理员告警，并弹窗提示用户</w:t>
            </w:r>
            <w:r>
              <w:rPr>
                <w:rFonts w:hint="eastAsia" w:asciiTheme="minorEastAsia" w:hAnsiTheme="minorEastAsia" w:eastAsiaTheme="minorEastAsia" w:cstheme="minorEastAsia"/>
                <w:sz w:val="21"/>
                <w:szCs w:val="21"/>
                <w:lang w:val="en-US" w:eastAsia="zh-CN"/>
              </w:rPr>
              <w:t>（需提供产品功能截图）</w:t>
            </w:r>
            <w:r>
              <w:rPr>
                <w:rFonts w:hint="default" w:asciiTheme="minorEastAsia" w:hAnsiTheme="minorEastAsia" w:eastAsiaTheme="minorEastAsia" w:cstheme="minorEastAsia"/>
                <w:color w:val="000000"/>
                <w:kern w:val="0"/>
                <w:sz w:val="21"/>
                <w:szCs w:val="21"/>
                <w:lang w:val="en-US" w:eastAsia="zh-CN" w:bidi="ar"/>
              </w:rPr>
              <w:t>；</w:t>
            </w:r>
          </w:p>
          <w:p>
            <w:pPr>
              <w:numPr>
                <w:ilvl w:val="0"/>
                <w:numId w:val="4"/>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设备内置应用识别规则库，支持超过</w:t>
            </w:r>
            <w:r>
              <w:rPr>
                <w:rFonts w:hint="eastAsia" w:asciiTheme="minorEastAsia" w:hAnsiTheme="minorEastAsia" w:eastAsiaTheme="minorEastAsia" w:cstheme="minorEastAsia"/>
                <w:color w:val="000000"/>
                <w:kern w:val="0"/>
                <w:sz w:val="21"/>
                <w:szCs w:val="21"/>
                <w:lang w:val="en-US" w:eastAsia="zh-CN" w:bidi="ar"/>
              </w:rPr>
              <w:t>8</w:t>
            </w:r>
            <w:r>
              <w:rPr>
                <w:rFonts w:hint="default" w:asciiTheme="minorEastAsia" w:hAnsiTheme="minorEastAsia" w:eastAsiaTheme="minorEastAsia" w:cstheme="minorEastAsia"/>
                <w:color w:val="000000"/>
                <w:kern w:val="0"/>
                <w:sz w:val="21"/>
                <w:szCs w:val="21"/>
                <w:lang w:val="en-US" w:eastAsia="zh-CN" w:bidi="ar"/>
              </w:rPr>
              <w:t>000条应用规则数、支持根据标签选择应用，并支持给每个应用自定义标签；支持根据标签选择一类应用做控制；</w:t>
            </w:r>
          </w:p>
          <w:p>
            <w:pPr>
              <w:numPr>
                <w:ilvl w:val="0"/>
                <w:numId w:val="4"/>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w:t>
            </w:r>
            <w:r>
              <w:rPr>
                <w:rFonts w:hint="default" w:asciiTheme="minorEastAsia" w:hAnsiTheme="minorEastAsia" w:eastAsiaTheme="minorEastAsia" w:cstheme="minorEastAsia"/>
                <w:color w:val="000000"/>
                <w:kern w:val="0"/>
                <w:sz w:val="21"/>
                <w:szCs w:val="21"/>
                <w:lang w:val="en-US" w:eastAsia="zh-CN" w:bidi="ar"/>
              </w:rPr>
              <w:t>识别并过滤SSL加密的钓鱼网站、非法网站等，支持将违规https访问重定向到告警页面</w:t>
            </w:r>
            <w:r>
              <w:rPr>
                <w:rFonts w:hint="eastAsia" w:asciiTheme="minorEastAsia" w:hAnsiTheme="minorEastAsia" w:eastAsiaTheme="minorEastAsia" w:cstheme="minorEastAsia"/>
                <w:sz w:val="21"/>
                <w:szCs w:val="21"/>
                <w:lang w:val="en-US" w:eastAsia="zh-CN"/>
              </w:rPr>
              <w:t>（需提供产品功能截图）</w:t>
            </w:r>
            <w:r>
              <w:rPr>
                <w:rFonts w:hint="default" w:asciiTheme="minorEastAsia" w:hAnsiTheme="minorEastAsia" w:eastAsiaTheme="minorEastAsia" w:cstheme="minorEastAsia"/>
                <w:color w:val="000000"/>
                <w:kern w:val="0"/>
                <w:sz w:val="21"/>
                <w:szCs w:val="21"/>
                <w:lang w:val="en-US" w:eastAsia="zh-CN" w:bidi="ar"/>
              </w:rPr>
              <w:t>；</w:t>
            </w:r>
          </w:p>
          <w:p>
            <w:pPr>
              <w:numPr>
                <w:ilvl w:val="0"/>
                <w:numId w:val="4"/>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支持检测SYN Flood、ICMP Flood、UDP Flood等泛洪类攻击防护，支持发现异常后告警、封锁主机、推送同品牌终端安全软件修复处置；支持防ARP欺骗，支持告警；支持定时广播静态ARP表项；</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tabs>
                <w:tab w:val="left" w:pos="509"/>
              </w:tabs>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维护管理</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5"/>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sz w:val="21"/>
                <w:szCs w:val="21"/>
                <w:lang w:val="en-US" w:eastAsia="zh-CN"/>
              </w:rPr>
              <w:t>支持部署在IPv6环境中，设备接口及部署模式均支持ipv6配置，所有核心功能（上网认证、应用控制、流量控制、内容审计、日志报表等）都支持IPv6；</w:t>
            </w:r>
          </w:p>
          <w:p>
            <w:pPr>
              <w:numPr>
                <w:ilvl w:val="0"/>
                <w:numId w:val="5"/>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支持多种认证方式，包括本地用户名密码、第三方服务器、短信认证、微信认证、二维码认证等；支持通过OAuth认证协议对接，支持企业微信第三方账号授权认证；</w:t>
            </w:r>
          </w:p>
          <w:p>
            <w:pPr>
              <w:numPr>
                <w:ilvl w:val="0"/>
                <w:numId w:val="5"/>
              </w:numPr>
              <w:jc w:val="left"/>
              <w:textAlignment w:val="center"/>
              <w:rPr>
                <w:rFonts w:hint="eastAsia" w:asciiTheme="minorEastAsia" w:hAnsiTheme="minorEastAsia" w:eastAsiaTheme="minorEastAsia" w:cstheme="minorEastAsia"/>
                <w:color w:val="000000"/>
                <w:kern w:val="0"/>
                <w:sz w:val="21"/>
                <w:szCs w:val="21"/>
                <w:lang w:bidi="ar"/>
              </w:rPr>
            </w:pPr>
            <w:r>
              <w:rPr>
                <w:rFonts w:hint="default" w:asciiTheme="minorEastAsia" w:hAnsiTheme="minorEastAsia" w:eastAsiaTheme="minorEastAsia" w:cstheme="minorEastAsia"/>
                <w:color w:val="000000"/>
                <w:kern w:val="0"/>
                <w:sz w:val="21"/>
                <w:szCs w:val="21"/>
                <w:lang w:val="en-US" w:eastAsia="zh-CN" w:bidi="ar"/>
              </w:rPr>
              <w:t>支持查询和导出基于指定时间段/用户/用户组的文件审计、邮件收发、访问网站、发帖/微博、搜索关键字等详细用户行为的报表；支持基于时间段/用户/用户组/终端类型/位置等维度的多种上网行为统计排行报表</w:t>
            </w:r>
            <w:r>
              <w:rPr>
                <w:rFonts w:hint="eastAsia" w:asciiTheme="minorEastAsia" w:hAnsiTheme="minorEastAsia" w:eastAsiaTheme="minorEastAsia" w:cstheme="minorEastAsia"/>
                <w:sz w:val="21"/>
                <w:szCs w:val="21"/>
                <w:lang w:val="en-US" w:eastAsia="zh-CN"/>
              </w:rPr>
              <w:t>）</w:t>
            </w:r>
            <w:r>
              <w:rPr>
                <w:rFonts w:hint="default" w:asciiTheme="minorEastAsia" w:hAnsiTheme="minorEastAsia" w:eastAsiaTheme="minorEastAsia" w:cstheme="minorEastAsia"/>
                <w:color w:val="000000"/>
                <w:kern w:val="0"/>
                <w:sz w:val="21"/>
                <w:szCs w:val="21"/>
                <w:lang w:val="en-US" w:eastAsia="zh-CN" w:bidi="ar"/>
              </w:rPr>
              <w:t>；</w:t>
            </w:r>
          </w:p>
          <w:p>
            <w:pPr>
              <w:numPr>
                <w:ilvl w:val="0"/>
                <w:numId w:val="5"/>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★产品支持与同品牌</w:t>
            </w:r>
            <w:r>
              <w:rPr>
                <w:rFonts w:hint="eastAsia" w:asciiTheme="minorEastAsia" w:hAnsiTheme="minorEastAsia" w:eastAsiaTheme="minorEastAsia" w:cstheme="minorEastAsia"/>
                <w:color w:val="000000"/>
                <w:kern w:val="0"/>
                <w:sz w:val="21"/>
                <w:szCs w:val="21"/>
                <w:lang w:val="en-US" w:eastAsia="zh-CN" w:bidi="ar"/>
              </w:rPr>
              <w:t>终端安全</w:t>
            </w:r>
            <w:r>
              <w:rPr>
                <w:rFonts w:hint="eastAsia" w:asciiTheme="minorEastAsia" w:hAnsiTheme="minorEastAsia" w:eastAsiaTheme="minorEastAsia" w:cstheme="minorEastAsia"/>
                <w:color w:val="000000"/>
                <w:kern w:val="0"/>
                <w:sz w:val="21"/>
                <w:szCs w:val="21"/>
                <w:lang w:bidi="ar"/>
              </w:rPr>
              <w:t>产品实现联动，当检测到终端未安装</w:t>
            </w:r>
            <w:r>
              <w:rPr>
                <w:rFonts w:hint="eastAsia" w:asciiTheme="minorEastAsia" w:hAnsiTheme="minorEastAsia" w:eastAsiaTheme="minorEastAsia" w:cstheme="minorEastAsia"/>
                <w:color w:val="000000"/>
                <w:kern w:val="0"/>
                <w:sz w:val="21"/>
                <w:szCs w:val="21"/>
                <w:lang w:val="en-US" w:eastAsia="zh-CN" w:bidi="ar"/>
              </w:rPr>
              <w:t>终端安全</w:t>
            </w:r>
            <w:r>
              <w:rPr>
                <w:rFonts w:hint="eastAsia" w:asciiTheme="minorEastAsia" w:hAnsiTheme="minorEastAsia" w:eastAsiaTheme="minorEastAsia" w:cstheme="minorEastAsia"/>
                <w:color w:val="000000"/>
                <w:kern w:val="0"/>
                <w:sz w:val="21"/>
                <w:szCs w:val="21"/>
                <w:lang w:bidi="ar"/>
              </w:rPr>
              <w:t>产品时，禁止上网并提示需要安装</w:t>
            </w:r>
            <w:r>
              <w:rPr>
                <w:rFonts w:hint="eastAsia" w:asciiTheme="minorEastAsia" w:hAnsiTheme="minorEastAsia" w:eastAsiaTheme="minorEastAsia" w:cstheme="minorEastAsia"/>
                <w:color w:val="000000"/>
                <w:kern w:val="0"/>
                <w:sz w:val="21"/>
                <w:szCs w:val="21"/>
                <w:lang w:val="en-US" w:eastAsia="zh-CN" w:bidi="ar"/>
              </w:rPr>
              <w:t>终端安全</w:t>
            </w:r>
            <w:r>
              <w:rPr>
                <w:rFonts w:hint="eastAsia" w:asciiTheme="minorEastAsia" w:hAnsiTheme="minorEastAsia" w:eastAsiaTheme="minorEastAsia" w:cstheme="minorEastAsia"/>
                <w:color w:val="000000"/>
                <w:kern w:val="0"/>
                <w:sz w:val="21"/>
                <w:szCs w:val="21"/>
                <w:lang w:bidi="ar"/>
              </w:rPr>
              <w:t>产品软件</w:t>
            </w:r>
            <w:r>
              <w:rPr>
                <w:rFonts w:hint="eastAsia" w:asciiTheme="minorEastAsia" w:hAnsiTheme="minorEastAsia" w:eastAsiaTheme="minorEastAsia" w:cstheme="minorEastAsia"/>
                <w:sz w:val="21"/>
                <w:szCs w:val="21"/>
                <w:lang w:val="en-US" w:eastAsia="zh-CN"/>
              </w:rPr>
              <w:t>（需提供产品功能截图）</w:t>
            </w:r>
            <w:r>
              <w:rPr>
                <w:rFonts w:hint="default" w:asciiTheme="minorEastAsia" w:hAnsiTheme="minorEastAsia" w:eastAsiaTheme="minorEastAsia" w:cstheme="minorEastAsia"/>
                <w:color w:val="000000"/>
                <w:kern w:val="0"/>
                <w:sz w:val="21"/>
                <w:szCs w:val="21"/>
                <w:lang w:val="en-US" w:eastAsia="zh-CN" w:bidi="ar"/>
              </w:rPr>
              <w:t>；</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val="en-US" w:eastAsia="zh-CN" w:bidi="ar"/>
              </w:rPr>
              <w:t>产品先进性</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6"/>
              </w:numPr>
              <w:jc w:val="left"/>
              <w:textAlignment w:val="center"/>
              <w:rPr>
                <w:rFonts w:hint="eastAsia" w:asciiTheme="minorEastAsia" w:hAnsiTheme="minorEastAsia" w:eastAsiaTheme="minorEastAsia" w:cstheme="minorEastAsia"/>
                <w:color w:val="000000"/>
                <w:kern w:val="0"/>
                <w:sz w:val="21"/>
                <w:szCs w:val="21"/>
                <w:lang w:eastAsia="zh-CN" w:bidi="ar"/>
              </w:rPr>
            </w:pPr>
            <w:r>
              <w:rPr>
                <w:rFonts w:hint="eastAsia" w:asciiTheme="minorEastAsia" w:hAnsiTheme="minorEastAsia" w:eastAsiaTheme="minorEastAsia" w:cstheme="minorEastAsia"/>
                <w:color w:val="000000"/>
                <w:kern w:val="0"/>
                <w:sz w:val="21"/>
                <w:szCs w:val="21"/>
                <w:lang w:bidi="ar"/>
              </w:rPr>
              <w:t>为确保设备安全性，</w:t>
            </w:r>
            <w:r>
              <w:rPr>
                <w:rFonts w:hint="eastAsia" w:asciiTheme="minorEastAsia" w:hAnsiTheme="minorEastAsia" w:eastAsiaTheme="minorEastAsia" w:cstheme="minorEastAsia"/>
                <w:color w:val="000000"/>
                <w:kern w:val="0"/>
                <w:sz w:val="21"/>
                <w:szCs w:val="21"/>
                <w:lang w:val="en-US" w:eastAsia="zh-CN" w:bidi="ar"/>
              </w:rPr>
              <w:t>产品具备</w:t>
            </w:r>
            <w:r>
              <w:rPr>
                <w:rFonts w:hint="eastAsia" w:asciiTheme="minorEastAsia" w:hAnsiTheme="minorEastAsia" w:eastAsiaTheme="minorEastAsia" w:cstheme="minorEastAsia"/>
                <w:color w:val="000000"/>
                <w:kern w:val="0"/>
                <w:sz w:val="21"/>
                <w:szCs w:val="21"/>
                <w:lang w:bidi="ar"/>
              </w:rPr>
              <w:t>公安部计算机信息系统安全产品质量监督检验中心《网络安全专用产品安全检测证书》或同等效力的其他证书</w:t>
            </w:r>
            <w:r>
              <w:rPr>
                <w:rFonts w:hint="eastAsia" w:asciiTheme="minorEastAsia" w:hAnsiTheme="minorEastAsia" w:eastAsiaTheme="minorEastAsia" w:cstheme="minorEastAsia"/>
                <w:color w:val="000000"/>
                <w:kern w:val="0"/>
                <w:sz w:val="21"/>
                <w:szCs w:val="21"/>
                <w:lang w:eastAsia="zh-CN" w:bidi="ar"/>
              </w:rPr>
              <w:t>，</w:t>
            </w:r>
            <w:r>
              <w:rPr>
                <w:rFonts w:hint="eastAsia" w:asciiTheme="minorEastAsia" w:hAnsiTheme="minorEastAsia" w:eastAsiaTheme="minorEastAsia" w:cstheme="minorEastAsia"/>
                <w:color w:val="000000"/>
                <w:kern w:val="0"/>
                <w:sz w:val="21"/>
                <w:szCs w:val="21"/>
                <w:lang w:val="en-US" w:eastAsia="zh-CN" w:bidi="ar"/>
              </w:rPr>
              <w:t>提供证书复印件</w:t>
            </w:r>
            <w:r>
              <w:rPr>
                <w:rFonts w:hint="eastAsia" w:asciiTheme="minorEastAsia" w:hAnsiTheme="minorEastAsia" w:eastAsiaTheme="minorEastAsia" w:cstheme="minorEastAsia"/>
                <w:color w:val="000000"/>
                <w:kern w:val="0"/>
                <w:sz w:val="21"/>
                <w:szCs w:val="21"/>
                <w:lang w:eastAsia="zh-CN" w:bidi="ar"/>
              </w:rPr>
              <w:t>；</w:t>
            </w:r>
          </w:p>
          <w:p>
            <w:pPr>
              <w:numPr>
                <w:ilvl w:val="0"/>
                <w:numId w:val="6"/>
              </w:numPr>
              <w:jc w:val="left"/>
              <w:textAlignment w:val="center"/>
              <w:rPr>
                <w:rFonts w:hint="eastAsia" w:asciiTheme="minorEastAsia" w:hAnsiTheme="minorEastAsia" w:eastAsiaTheme="minorEastAsia" w:cstheme="minorEastAsia"/>
                <w:color w:val="000000"/>
                <w:kern w:val="0"/>
                <w:sz w:val="21"/>
                <w:szCs w:val="21"/>
                <w:lang w:eastAsia="zh-CN" w:bidi="ar"/>
              </w:rPr>
            </w:pPr>
            <w:r>
              <w:rPr>
                <w:rFonts w:hint="eastAsia" w:asciiTheme="minorEastAsia" w:hAnsiTheme="minorEastAsia" w:eastAsiaTheme="minorEastAsia" w:cstheme="minorEastAsia"/>
                <w:color w:val="000000"/>
                <w:kern w:val="0"/>
                <w:sz w:val="21"/>
                <w:szCs w:val="21"/>
                <w:lang w:eastAsia="zh-CN" w:bidi="ar"/>
              </w:rPr>
              <w:t>为保障产品满足国家信息安全审查要求，产品具备IT产品信息安全认证证书EAL3+，提供有效证书复印件。</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bidi="ar"/>
              </w:rPr>
              <w:t>服务</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★含至少3年原厂质保，提供原厂商服务承诺函加盖</w:t>
            </w:r>
            <w:r>
              <w:rPr>
                <w:rFonts w:hint="eastAsia" w:asciiTheme="minorEastAsia" w:hAnsiTheme="minorEastAsia" w:eastAsiaTheme="minorEastAsia" w:cstheme="minorEastAsia"/>
                <w:color w:val="000000"/>
                <w:kern w:val="0"/>
                <w:sz w:val="21"/>
                <w:szCs w:val="21"/>
                <w:lang w:val="en-US" w:eastAsia="zh-CN" w:bidi="ar"/>
              </w:rPr>
              <w:t>制造商和</w:t>
            </w:r>
            <w:r>
              <w:rPr>
                <w:rFonts w:hint="eastAsia" w:asciiTheme="minorEastAsia" w:hAnsiTheme="minorEastAsia" w:eastAsiaTheme="minorEastAsia" w:cstheme="minorEastAsia"/>
                <w:color w:val="000000"/>
                <w:kern w:val="0"/>
                <w:sz w:val="21"/>
                <w:szCs w:val="21"/>
                <w:lang w:bidi="ar"/>
              </w:rPr>
              <w:t>投标人公章</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restart"/>
            <w:tcBorders>
              <w:top w:val="single" w:color="auto" w:sz="4" w:space="0"/>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3</w:t>
            </w:r>
          </w:p>
        </w:tc>
        <w:tc>
          <w:tcPr>
            <w:tcW w:w="559" w:type="pct"/>
            <w:vMerge w:val="restart"/>
            <w:tcBorders>
              <w:top w:val="single" w:color="auto" w:sz="4" w:space="0"/>
              <w:left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数据库安全审计</w:t>
            </w: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bidi="ar"/>
              </w:rPr>
              <w:t>规格</w:t>
            </w:r>
          </w:p>
        </w:tc>
        <w:tc>
          <w:tcPr>
            <w:tcW w:w="3207"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1</w:t>
            </w:r>
            <w:r>
              <w:rPr>
                <w:rFonts w:hint="eastAsia" w:asciiTheme="minorEastAsia" w:hAnsiTheme="minorEastAsia" w:eastAsiaTheme="minorEastAsia" w:cstheme="minorEastAsia"/>
                <w:color w:val="000000"/>
                <w:kern w:val="0"/>
                <w:sz w:val="21"/>
                <w:szCs w:val="21"/>
                <w:lang w:bidi="ar"/>
              </w:rPr>
              <w:t>U机架式</w:t>
            </w:r>
          </w:p>
        </w:tc>
        <w:tc>
          <w:tcPr>
            <w:tcW w:w="368" w:type="pct"/>
            <w:vMerge w:val="restart"/>
            <w:tcBorders>
              <w:top w:val="single" w:color="auto" w:sz="4" w:space="0"/>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1台</w:t>
            </w: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容量</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配置内存≥8GB，数据盘≥2TB SATA，日志存储量至少十亿条</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接口</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不少于6个千兆电口，2个万兆光口SFP+</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性能</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★最大硬件吞吐量≥2Gbps，数据库实例个数≥30个，SQL处理性能≥</w:t>
            </w:r>
            <w:r>
              <w:rPr>
                <w:rFonts w:hint="eastAsia" w:asciiTheme="minorEastAsia" w:hAnsiTheme="minorEastAsia" w:eastAsiaTheme="minorEastAsia" w:cstheme="minorEastAsia"/>
                <w:i/>
                <w:iCs/>
                <w:sz w:val="21"/>
                <w:szCs w:val="21"/>
                <w:lang w:val="en-US" w:eastAsia="zh-CN"/>
              </w:rPr>
              <w:t>30000条SQL/s</w:t>
            </w:r>
            <w:r>
              <w:rPr>
                <w:rFonts w:hint="eastAsia" w:asciiTheme="minorEastAsia" w:hAnsiTheme="minorEastAsia" w:eastAsiaTheme="minorEastAsia" w:cstheme="minorEastAsia"/>
                <w:sz w:val="21"/>
                <w:szCs w:val="21"/>
                <w:lang w:val="en-US" w:eastAsia="zh-CN"/>
              </w:rPr>
              <w:t>，日志检索性能≥50万条/秒</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bidi="ar"/>
              </w:rPr>
              <w:t>电源</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配置白金交流电源</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numPr>
                <w:ilvl w:val="0"/>
                <w:numId w:val="0"/>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部署模式</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7"/>
              </w:num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产品可以旁路镜像模式部署，不影响数据库性能和网络架构；支持多点联合部署；</w:t>
            </w:r>
          </w:p>
          <w:p>
            <w:pPr>
              <w:numPr>
                <w:ilvl w:val="0"/>
                <w:numId w:val="7"/>
              </w:num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支持集中管理，可集中管理多台审计设备审计事件的存储、分析，实现统一配置、统一报表、统一查询</w:t>
            </w:r>
            <w:r>
              <w:rPr>
                <w:rFonts w:hint="default" w:asciiTheme="minorEastAsia" w:hAnsiTheme="minorEastAsia" w:eastAsiaTheme="minorEastAsia" w:cstheme="minorEastAsia"/>
                <w:color w:val="000000"/>
                <w:kern w:val="0"/>
                <w:sz w:val="21"/>
                <w:szCs w:val="21"/>
                <w:lang w:val="en-US" w:eastAsia="zh-CN" w:bidi="ar"/>
              </w:rPr>
              <w:t>；</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安全审计功能</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8"/>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w:t>
            </w:r>
            <w:r>
              <w:rPr>
                <w:rFonts w:hint="eastAsia" w:asciiTheme="minorEastAsia" w:hAnsiTheme="minorEastAsia" w:eastAsiaTheme="minorEastAsia" w:cstheme="minorEastAsia"/>
                <w:color w:val="000000"/>
                <w:kern w:val="0"/>
                <w:sz w:val="21"/>
                <w:szCs w:val="21"/>
                <w:lang w:val="en-US" w:eastAsia="zh-CN" w:bidi="ar"/>
              </w:rPr>
              <w:t>产品</w:t>
            </w:r>
            <w:r>
              <w:rPr>
                <w:rFonts w:hint="default" w:asciiTheme="minorEastAsia" w:hAnsiTheme="minorEastAsia" w:eastAsiaTheme="minorEastAsia" w:cstheme="minorEastAsia"/>
                <w:color w:val="000000"/>
                <w:kern w:val="0"/>
                <w:sz w:val="21"/>
                <w:szCs w:val="21"/>
                <w:lang w:val="en-US" w:eastAsia="zh-CN" w:bidi="ar"/>
              </w:rPr>
              <w:t>支持主流数据库：Oracle（Tdata）、SQL-Server、DB2、MySQL（Tdsql）、Informix、Sybase、Cache、MongDB、PostgreSQL；</w:t>
            </w:r>
          </w:p>
          <w:p>
            <w:pPr>
              <w:numPr>
                <w:numId w:val="0"/>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国产化数据库：K-DB，达梦、人大金仓</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8"/>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产品</w:t>
            </w:r>
            <w:r>
              <w:rPr>
                <w:rFonts w:hint="default" w:asciiTheme="minorEastAsia" w:hAnsiTheme="minorEastAsia" w:eastAsiaTheme="minorEastAsia" w:cstheme="minorEastAsia"/>
                <w:color w:val="000000"/>
                <w:kern w:val="0"/>
                <w:sz w:val="21"/>
                <w:szCs w:val="21"/>
                <w:lang w:val="en-US" w:eastAsia="zh-CN" w:bidi="ar"/>
              </w:rPr>
              <w:t>支持时间段、源IP、客户端程序、业务系统、数据库用户、数据库名、操作类型、表名、返回行数、影响行数、响应时长、响应码等对数据库日志进行精细检索；</w:t>
            </w:r>
          </w:p>
          <w:p>
            <w:pPr>
              <w:numPr>
                <w:ilvl w:val="0"/>
                <w:numId w:val="8"/>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产品</w:t>
            </w:r>
            <w:r>
              <w:rPr>
                <w:rFonts w:hint="default" w:asciiTheme="minorEastAsia" w:hAnsiTheme="minorEastAsia" w:eastAsiaTheme="minorEastAsia" w:cstheme="minorEastAsia"/>
                <w:color w:val="000000"/>
                <w:kern w:val="0"/>
                <w:sz w:val="21"/>
                <w:szCs w:val="21"/>
                <w:lang w:val="en-US" w:eastAsia="zh-CN" w:bidi="ar"/>
              </w:rPr>
              <w:t>支持客户端程序、数据库用户、操作类型、数据库名表名、响应时间、返回行数、影响行数、响应内容等实现对敏感数据库操作的精细监控</w:t>
            </w:r>
          </w:p>
          <w:p>
            <w:pPr>
              <w:numPr>
                <w:ilvl w:val="0"/>
                <w:numId w:val="8"/>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w:t>
            </w:r>
            <w:r>
              <w:rPr>
                <w:rFonts w:hint="default" w:asciiTheme="minorEastAsia" w:hAnsiTheme="minorEastAsia" w:eastAsiaTheme="minorEastAsia" w:cstheme="minorEastAsia"/>
                <w:color w:val="000000"/>
                <w:kern w:val="0"/>
                <w:sz w:val="21"/>
                <w:szCs w:val="21"/>
                <w:lang w:val="en-US" w:eastAsia="zh-CN" w:bidi="ar"/>
              </w:rPr>
              <w:t>内置大量SQL安全规则</w:t>
            </w:r>
            <w:r>
              <w:rPr>
                <w:rFonts w:hint="eastAsia" w:asciiTheme="minorEastAsia" w:hAnsiTheme="minorEastAsia" w:eastAsiaTheme="minorEastAsia" w:cstheme="minorEastAsia"/>
                <w:color w:val="000000"/>
                <w:kern w:val="0"/>
                <w:sz w:val="21"/>
                <w:szCs w:val="21"/>
                <w:lang w:val="en-US" w:eastAsia="zh-CN" w:bidi="ar"/>
              </w:rPr>
              <w:t>，</w:t>
            </w:r>
            <w:r>
              <w:rPr>
                <w:rFonts w:hint="default" w:asciiTheme="minorEastAsia" w:hAnsiTheme="minorEastAsia" w:eastAsiaTheme="minorEastAsia" w:cstheme="minorEastAsia"/>
                <w:color w:val="000000"/>
                <w:kern w:val="0"/>
                <w:sz w:val="21"/>
                <w:szCs w:val="21"/>
                <w:lang w:val="en-US" w:eastAsia="zh-CN" w:bidi="ar"/>
              </w:rPr>
              <w:t>包括：导出方式窃取、备份方式窃取、导出可执行程序、备份方式写入恶意代码、系统命令执行、读注册表、写注册表、暴露系统信息、高权存储过程、执行本地代码、常见运维工具使用grant、业务系统使用grant、客户端sp_addrolemember提权、web端sp_addrolemember提权、查询内置敏感表、篡改内置敏感表等</w:t>
            </w:r>
            <w:r>
              <w:rPr>
                <w:rFonts w:hint="eastAsia" w:asciiTheme="minorEastAsia" w:hAnsiTheme="minorEastAsia" w:eastAsiaTheme="minorEastAsia" w:cstheme="minorEastAsia"/>
                <w:sz w:val="21"/>
                <w:szCs w:val="21"/>
                <w:lang w:val="en-US" w:eastAsia="zh-CN"/>
              </w:rPr>
              <w:t>（需提供产品功能截图）</w:t>
            </w:r>
            <w:r>
              <w:rPr>
                <w:rFonts w:hint="default" w:asciiTheme="minorEastAsia" w:hAnsiTheme="minorEastAsia" w:eastAsiaTheme="minorEastAsia" w:cstheme="minorEastAsia"/>
                <w:color w:val="000000"/>
                <w:kern w:val="0"/>
                <w:sz w:val="21"/>
                <w:szCs w:val="21"/>
                <w:lang w:val="en-US" w:eastAsia="zh-CN" w:bidi="ar"/>
              </w:rPr>
              <w:t>；</w:t>
            </w:r>
          </w:p>
          <w:p>
            <w:pPr>
              <w:numPr>
                <w:ilvl w:val="0"/>
                <w:numId w:val="8"/>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可以对SQL语句进行安全检测，并识别当前的SQL操作是否有暴库、撞库等严重性安全问题，如果命中了安全风险规则，那么可根据动作进行阻断、告警、记录等操作，可提示管理员作出相应的防御措施</w:t>
            </w:r>
            <w:r>
              <w:rPr>
                <w:rFonts w:hint="eastAsia" w:asciiTheme="minorEastAsia" w:hAnsiTheme="minorEastAsia" w:eastAsiaTheme="minorEastAsia" w:cstheme="minorEastAsia"/>
                <w:color w:val="000000"/>
                <w:kern w:val="0"/>
                <w:sz w:val="21"/>
                <w:szCs w:val="21"/>
                <w:lang w:val="en-US" w:eastAsia="zh-CN" w:bidi="ar"/>
              </w:rPr>
              <w:t>；</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tabs>
                <w:tab w:val="left" w:pos="509"/>
              </w:tabs>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维护管理</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9"/>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产品支持以风险级别、源IP、业务主机、数据库用户、风险类型为维度的数据库风险排行</w:t>
            </w:r>
            <w:r>
              <w:rPr>
                <w:rFonts w:hint="eastAsia" w:asciiTheme="minorEastAsia" w:hAnsiTheme="minorEastAsia" w:eastAsiaTheme="minorEastAsia" w:cstheme="minorEastAsia"/>
                <w:color w:val="000000"/>
                <w:kern w:val="0"/>
                <w:sz w:val="21"/>
                <w:szCs w:val="21"/>
                <w:lang w:eastAsia="zh-CN" w:bidi="ar"/>
              </w:rPr>
              <w:t>；</w:t>
            </w:r>
          </w:p>
          <w:p>
            <w:pPr>
              <w:numPr>
                <w:ilvl w:val="0"/>
                <w:numId w:val="9"/>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sz w:val="21"/>
                <w:szCs w:val="21"/>
                <w:lang w:val="en-US" w:eastAsia="zh-CN"/>
              </w:rPr>
              <w:t>★</w:t>
            </w:r>
            <w:r>
              <w:rPr>
                <w:rFonts w:hint="eastAsia" w:asciiTheme="minorEastAsia" w:hAnsiTheme="minorEastAsia" w:eastAsiaTheme="minorEastAsia" w:cstheme="minorEastAsia"/>
                <w:color w:val="000000"/>
                <w:kern w:val="0"/>
                <w:sz w:val="21"/>
                <w:szCs w:val="21"/>
                <w:lang w:val="en-US" w:eastAsia="zh-CN" w:bidi="ar"/>
              </w:rPr>
              <w:t>产品</w:t>
            </w:r>
            <w:r>
              <w:rPr>
                <w:rFonts w:hint="eastAsia" w:asciiTheme="minorEastAsia" w:hAnsiTheme="minorEastAsia" w:eastAsiaTheme="minorEastAsia" w:cstheme="minorEastAsia"/>
                <w:color w:val="000000"/>
                <w:kern w:val="0"/>
                <w:sz w:val="21"/>
                <w:szCs w:val="21"/>
                <w:lang w:bidi="ar"/>
              </w:rPr>
              <w:t>支持以时间、源IP、客户端程序、业务系统、数据库用户、数据库名、操作类型、表名、返回行数、影响行数、响应时长、响应码、策略、规则、风险级别、SQL模版为条件的数据库风险查询</w:t>
            </w:r>
            <w:r>
              <w:rPr>
                <w:rFonts w:hint="eastAsia" w:asciiTheme="minorEastAsia" w:hAnsiTheme="minorEastAsia" w:eastAsiaTheme="minorEastAsia" w:cstheme="minorEastAsia"/>
                <w:sz w:val="21"/>
                <w:szCs w:val="21"/>
                <w:lang w:val="en-US" w:eastAsia="zh-CN"/>
              </w:rPr>
              <w:t>（需提供产品功能截图）；</w:t>
            </w:r>
          </w:p>
          <w:p>
            <w:pPr>
              <w:numPr>
                <w:ilvl w:val="0"/>
                <w:numId w:val="9"/>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val="en-US" w:eastAsia="zh-CN" w:bidi="ar"/>
              </w:rPr>
              <w:t>产品</w:t>
            </w:r>
            <w:r>
              <w:rPr>
                <w:rFonts w:hint="eastAsia" w:asciiTheme="minorEastAsia" w:hAnsiTheme="minorEastAsia" w:eastAsiaTheme="minorEastAsia" w:cstheme="minorEastAsia"/>
                <w:color w:val="000000"/>
                <w:kern w:val="0"/>
                <w:sz w:val="21"/>
                <w:szCs w:val="21"/>
                <w:lang w:bidi="ar"/>
              </w:rPr>
              <w:t>支持执行SQL语句失败分析，包括登录失败排行，SQL语句失败排行</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val="en-US" w:eastAsia="zh-CN" w:bidi="ar"/>
              </w:rPr>
              <w:t>产品先进性</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10"/>
              </w:numPr>
              <w:jc w:val="left"/>
              <w:textAlignment w:val="center"/>
              <w:rPr>
                <w:rFonts w:hint="eastAsia" w:asciiTheme="minorEastAsia" w:hAnsiTheme="minorEastAsia" w:eastAsiaTheme="minorEastAsia" w:cstheme="minorEastAsia"/>
                <w:color w:val="000000"/>
                <w:kern w:val="0"/>
                <w:sz w:val="21"/>
                <w:szCs w:val="21"/>
                <w:lang w:eastAsia="zh-CN" w:bidi="ar"/>
              </w:rPr>
            </w:pPr>
            <w:r>
              <w:rPr>
                <w:rFonts w:hint="eastAsia" w:asciiTheme="minorEastAsia" w:hAnsiTheme="minorEastAsia" w:eastAsiaTheme="minorEastAsia" w:cstheme="minorEastAsia"/>
                <w:color w:val="000000"/>
                <w:kern w:val="0"/>
                <w:sz w:val="21"/>
                <w:szCs w:val="21"/>
                <w:lang w:bidi="ar"/>
              </w:rPr>
              <w:t>为确保设备安全性，</w:t>
            </w:r>
            <w:r>
              <w:rPr>
                <w:rFonts w:hint="eastAsia" w:asciiTheme="minorEastAsia" w:hAnsiTheme="minorEastAsia" w:eastAsiaTheme="minorEastAsia" w:cstheme="minorEastAsia"/>
                <w:color w:val="000000"/>
                <w:kern w:val="0"/>
                <w:sz w:val="21"/>
                <w:szCs w:val="21"/>
                <w:lang w:val="en-US" w:eastAsia="zh-CN" w:bidi="ar"/>
              </w:rPr>
              <w:t>产品应</w:t>
            </w:r>
            <w:r>
              <w:rPr>
                <w:rFonts w:hint="eastAsia" w:asciiTheme="minorEastAsia" w:hAnsiTheme="minorEastAsia" w:eastAsiaTheme="minorEastAsia" w:cstheme="minorEastAsia"/>
                <w:color w:val="000000"/>
                <w:kern w:val="0"/>
                <w:sz w:val="21"/>
                <w:szCs w:val="21"/>
                <w:lang w:bidi="ar"/>
              </w:rPr>
              <w:t>具有中国信息安全认证中心《中国国家信息安全产品认证证书》</w:t>
            </w:r>
            <w:r>
              <w:rPr>
                <w:rFonts w:hint="eastAsia" w:asciiTheme="minorEastAsia" w:hAnsiTheme="minorEastAsia" w:eastAsiaTheme="minorEastAsia" w:cstheme="minorEastAsia"/>
                <w:color w:val="000000"/>
                <w:kern w:val="0"/>
                <w:sz w:val="21"/>
                <w:szCs w:val="21"/>
                <w:lang w:eastAsia="zh-CN" w:bidi="ar"/>
              </w:rPr>
              <w:t>，提供有效证书复印件</w:t>
            </w:r>
            <w:r>
              <w:rPr>
                <w:rFonts w:hint="eastAsia" w:asciiTheme="minorEastAsia" w:hAnsiTheme="minorEastAsia" w:eastAsiaTheme="minorEastAsia" w:cstheme="minorEastAsia"/>
                <w:color w:val="000000"/>
                <w:kern w:val="0"/>
                <w:sz w:val="21"/>
                <w:szCs w:val="21"/>
                <w:lang w:bidi="ar"/>
              </w:rPr>
              <w:t>；</w:t>
            </w:r>
          </w:p>
          <w:p>
            <w:pPr>
              <w:numPr>
                <w:ilvl w:val="0"/>
                <w:numId w:val="10"/>
              </w:numPr>
              <w:jc w:val="left"/>
              <w:textAlignment w:val="center"/>
              <w:rPr>
                <w:rFonts w:hint="eastAsia" w:asciiTheme="minorEastAsia" w:hAnsiTheme="minorEastAsia" w:eastAsiaTheme="minorEastAsia" w:cstheme="minorEastAsia"/>
                <w:color w:val="000000"/>
                <w:kern w:val="0"/>
                <w:sz w:val="21"/>
                <w:szCs w:val="21"/>
                <w:lang w:eastAsia="zh-CN" w:bidi="ar"/>
              </w:rPr>
            </w:pPr>
            <w:r>
              <w:rPr>
                <w:rFonts w:hint="eastAsia" w:asciiTheme="minorEastAsia" w:hAnsiTheme="minorEastAsia" w:eastAsiaTheme="minorEastAsia" w:cstheme="minorEastAsia"/>
                <w:color w:val="000000"/>
                <w:kern w:val="0"/>
                <w:sz w:val="21"/>
                <w:szCs w:val="21"/>
                <w:lang w:val="en-US" w:eastAsia="zh-CN" w:bidi="ar"/>
              </w:rPr>
              <w:t>产品生产</w:t>
            </w:r>
            <w:r>
              <w:rPr>
                <w:rFonts w:hint="eastAsia" w:asciiTheme="minorEastAsia" w:hAnsiTheme="minorEastAsia" w:eastAsiaTheme="minorEastAsia" w:cstheme="minorEastAsia"/>
                <w:color w:val="000000"/>
                <w:kern w:val="0"/>
                <w:sz w:val="21"/>
                <w:szCs w:val="21"/>
                <w:lang w:eastAsia="zh-CN" w:bidi="ar"/>
              </w:rPr>
              <w:t>厂商具有中国网络安全审查技术与认证中心颁发的信息安全服务资质，安全运维（一级），提供有效证书复印件</w:t>
            </w:r>
            <w:r>
              <w:rPr>
                <w:rFonts w:hint="eastAsia" w:asciiTheme="minorEastAsia" w:hAnsiTheme="minorEastAsia" w:eastAsiaTheme="minorEastAsia" w:cstheme="minorEastAsia"/>
                <w:color w:val="000000"/>
                <w:kern w:val="0"/>
                <w:sz w:val="21"/>
                <w:szCs w:val="21"/>
                <w:lang w:bidi="ar"/>
              </w:rPr>
              <w:t>；</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bidi="ar"/>
              </w:rPr>
              <w:t>服务</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★含至少3年原厂质保，提供原厂商服务承诺函加盖</w:t>
            </w:r>
            <w:r>
              <w:rPr>
                <w:rFonts w:hint="eastAsia" w:asciiTheme="minorEastAsia" w:hAnsiTheme="minorEastAsia" w:eastAsiaTheme="minorEastAsia" w:cstheme="minorEastAsia"/>
                <w:color w:val="000000"/>
                <w:kern w:val="0"/>
                <w:sz w:val="21"/>
                <w:szCs w:val="21"/>
                <w:lang w:val="en-US" w:eastAsia="zh-CN" w:bidi="ar"/>
              </w:rPr>
              <w:t>制造商和</w:t>
            </w:r>
            <w:r>
              <w:rPr>
                <w:rFonts w:hint="eastAsia" w:asciiTheme="minorEastAsia" w:hAnsiTheme="minorEastAsia" w:eastAsiaTheme="minorEastAsia" w:cstheme="minorEastAsia"/>
                <w:color w:val="000000"/>
                <w:kern w:val="0"/>
                <w:sz w:val="21"/>
                <w:szCs w:val="21"/>
                <w:lang w:bidi="ar"/>
              </w:rPr>
              <w:t>投标人公章</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restart"/>
            <w:tcBorders>
              <w:top w:val="single" w:color="auto" w:sz="4" w:space="0"/>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4</w:t>
            </w:r>
          </w:p>
        </w:tc>
        <w:tc>
          <w:tcPr>
            <w:tcW w:w="559" w:type="pct"/>
            <w:vMerge w:val="restart"/>
            <w:tcBorders>
              <w:top w:val="single" w:color="auto" w:sz="4" w:space="0"/>
              <w:left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运维安全管理系统</w:t>
            </w: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bidi="ar"/>
              </w:rPr>
              <w:t>规格</w:t>
            </w:r>
          </w:p>
        </w:tc>
        <w:tc>
          <w:tcPr>
            <w:tcW w:w="3207"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1</w:t>
            </w:r>
            <w:r>
              <w:rPr>
                <w:rFonts w:hint="eastAsia" w:asciiTheme="minorEastAsia" w:hAnsiTheme="minorEastAsia" w:eastAsiaTheme="minorEastAsia" w:cstheme="minorEastAsia"/>
                <w:color w:val="000000"/>
                <w:kern w:val="0"/>
                <w:sz w:val="21"/>
                <w:szCs w:val="21"/>
                <w:lang w:bidi="ar"/>
              </w:rPr>
              <w:t>U机架式</w:t>
            </w:r>
          </w:p>
        </w:tc>
        <w:tc>
          <w:tcPr>
            <w:tcW w:w="368" w:type="pct"/>
            <w:vMerge w:val="restart"/>
            <w:tcBorders>
              <w:top w:val="single" w:color="auto" w:sz="4" w:space="0"/>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1台</w:t>
            </w: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容量</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配置内存≥8GB，数据盘≥2TB SATA</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接口</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不少于6个千兆电口</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性能</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★运维授权数≥50个，图形运维最大并发数≥100，字符运维最大并发数≥200</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bidi="ar"/>
              </w:rPr>
              <w:t>电源</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配置白金交流电源</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部署模式</w:t>
            </w:r>
          </w:p>
        </w:tc>
        <w:tc>
          <w:tcPr>
            <w:tcW w:w="3207"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sz w:val="21"/>
                <w:szCs w:val="21"/>
              </w:rPr>
              <w:t>物理旁路单臂部署，以逻辑网关方式工作</w:t>
            </w:r>
            <w:r>
              <w:rPr>
                <w:rFonts w:hint="eastAsia" w:asciiTheme="minorEastAsia" w:hAnsiTheme="minorEastAsia" w:eastAsiaTheme="minorEastAsia"/>
                <w:sz w:val="21"/>
                <w:szCs w:val="21"/>
                <w:lang w:eastAsia="zh-CN"/>
              </w:rPr>
              <w:t>，</w:t>
            </w:r>
            <w:r>
              <w:rPr>
                <w:rFonts w:hint="eastAsia" w:asciiTheme="minorEastAsia" w:hAnsiTheme="minorEastAsia" w:eastAsiaTheme="minorEastAsia"/>
                <w:sz w:val="21"/>
                <w:szCs w:val="21"/>
              </w:rPr>
              <w:t>不改变现有网络结构</w:t>
            </w:r>
            <w:r>
              <w:rPr>
                <w:rFonts w:hint="eastAsia" w:asciiTheme="minorEastAsia" w:hAnsiTheme="minorEastAsia" w:eastAsiaTheme="minorEastAsia"/>
                <w:sz w:val="21"/>
                <w:szCs w:val="21"/>
                <w:lang w:eastAsia="zh-CN"/>
              </w:rPr>
              <w:t>；</w:t>
            </w:r>
            <w:r>
              <w:rPr>
                <w:rFonts w:hint="eastAsia" w:asciiTheme="minorEastAsia" w:hAnsiTheme="minorEastAsia" w:eastAsiaTheme="minorEastAsia"/>
                <w:sz w:val="21"/>
                <w:szCs w:val="21"/>
              </w:rPr>
              <w:t>系统各模块支持以B/S方式管理，采用https加密方式访问</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资源管理</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11"/>
              </w:num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支持通过协议前置机进行协议扩展，至少支持扩展KVM、Vmware、数据库、http/https、CS应用等</w:t>
            </w:r>
          </w:p>
          <w:p>
            <w:pPr>
              <w:numPr>
                <w:ilvl w:val="0"/>
                <w:numId w:val="11"/>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w:t>
            </w:r>
            <w:r>
              <w:rPr>
                <w:rFonts w:hint="eastAsia" w:asciiTheme="minorEastAsia" w:hAnsiTheme="minorEastAsia" w:eastAsiaTheme="minorEastAsia" w:cstheme="minorEastAsia"/>
                <w:color w:val="000000"/>
                <w:kern w:val="0"/>
                <w:sz w:val="21"/>
                <w:szCs w:val="21"/>
                <w:lang w:val="en-US" w:eastAsia="zh-CN" w:bidi="ar"/>
              </w:rPr>
              <w:t>支持通过动作流配置提供广泛的应用接入支持，无论被接入的资源如何设计登录动作，通过动作流配置都可以实现单点登陆和审计接入</w:t>
            </w:r>
            <w:r>
              <w:rPr>
                <w:rFonts w:hint="eastAsia" w:asciiTheme="minorEastAsia" w:hAnsiTheme="minorEastAsia" w:eastAsiaTheme="minorEastAsia" w:cstheme="minorEastAsia"/>
                <w:sz w:val="21"/>
                <w:szCs w:val="21"/>
                <w:lang w:val="en-US" w:eastAsia="zh-CN"/>
              </w:rPr>
              <w:t>（需提供产品功能截图）</w:t>
            </w:r>
            <w:r>
              <w:rPr>
                <w:rFonts w:hint="default" w:asciiTheme="minorEastAsia" w:hAnsiTheme="minorEastAsia" w:eastAsiaTheme="minorEastAsia" w:cstheme="minorEastAsia"/>
                <w:color w:val="000000"/>
                <w:kern w:val="0"/>
                <w:sz w:val="21"/>
                <w:szCs w:val="21"/>
                <w:lang w:val="en-US" w:eastAsia="zh-CN" w:bidi="ar"/>
              </w:rPr>
              <w:t>；</w:t>
            </w:r>
          </w:p>
          <w:p>
            <w:pPr>
              <w:numPr>
                <w:ilvl w:val="0"/>
                <w:numId w:val="11"/>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内置三员角色的同时支持角色灵活自定义，可根据用户实际的管理特性或特殊的安全管理组织架构，划分管理角色的管理范畴</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1"/>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支持批量导入、导出资源信息；支持手动添加、删除、编辑、查询资源，支持变更默认运维端口；</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tabs>
                <w:tab w:val="left" w:pos="509"/>
              </w:tabs>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安全管理</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12"/>
              </w:numPr>
              <w:jc w:val="left"/>
              <w:textAlignment w:val="center"/>
              <w:rPr>
                <w:rFonts w:hint="eastAsia" w:asciiTheme="minorEastAsia" w:hAnsiTheme="minorEastAsia" w:eastAsiaTheme="minorEastAsia" w:cstheme="minorEastAsia"/>
                <w:color w:val="000000"/>
                <w:kern w:val="0"/>
                <w:sz w:val="21"/>
                <w:szCs w:val="21"/>
                <w:lang w:bidi="ar"/>
              </w:rPr>
            </w:pPr>
            <w:r>
              <w:rPr>
                <w:rFonts w:hint="default" w:asciiTheme="minorEastAsia" w:hAnsiTheme="minorEastAsia" w:eastAsiaTheme="minorEastAsia" w:cstheme="minorEastAsia"/>
                <w:color w:val="000000"/>
                <w:kern w:val="0"/>
                <w:sz w:val="21"/>
                <w:szCs w:val="21"/>
                <w:lang w:val="en-US" w:eastAsia="zh-CN" w:bidi="ar"/>
              </w:rPr>
              <w:t>支持在授权基础上设定双人复核登陆，登录时必须经过第二人授权后才能登录，第二人可通过远程授权或同终端授权两种方式实现授权</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2"/>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sz w:val="21"/>
                <w:szCs w:val="21"/>
                <w:lang w:val="en-US" w:eastAsia="zh-CN"/>
              </w:rPr>
              <w:t>★</w:t>
            </w:r>
            <w:r>
              <w:rPr>
                <w:rFonts w:hint="eastAsia" w:asciiTheme="minorEastAsia" w:hAnsiTheme="minorEastAsia" w:eastAsiaTheme="minorEastAsia" w:cstheme="minorEastAsia"/>
                <w:color w:val="000000"/>
                <w:kern w:val="0"/>
                <w:sz w:val="21"/>
                <w:szCs w:val="21"/>
                <w:lang w:bidi="ar"/>
              </w:rPr>
              <w:t>支持SQL语句阻断，对select、delete、drop等SQL语句执行进行阻断</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eastAsia="zh-CN" w:bidi="ar"/>
              </w:rPr>
              <w:t>；</w:t>
            </w:r>
          </w:p>
          <w:p>
            <w:pPr>
              <w:numPr>
                <w:ilvl w:val="0"/>
                <w:numId w:val="12"/>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支持命令审批规则，用户执行高危命令时需要管理员审批后才允许执行；命令审批规则可以指定运维人员、访问设备、设备账号及命令审批人</w:t>
            </w:r>
            <w:r>
              <w:rPr>
                <w:rFonts w:hint="eastAsia" w:asciiTheme="minorEastAsia" w:hAnsiTheme="minorEastAsia" w:eastAsiaTheme="minorEastAsia" w:cstheme="minorEastAsia"/>
                <w:color w:val="000000"/>
                <w:kern w:val="0"/>
                <w:sz w:val="21"/>
                <w:szCs w:val="21"/>
                <w:lang w:eastAsia="zh-CN" w:bidi="ar"/>
              </w:rPr>
              <w:t>；</w:t>
            </w:r>
          </w:p>
          <w:p>
            <w:pPr>
              <w:numPr>
                <w:ilvl w:val="0"/>
                <w:numId w:val="12"/>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支持web页面直接发起运维，无需安装任何控件，并同时支持调用SecureCRT、Xshell、Putty、WinSCP、FileZilla、RDP等客户端工具实现单点登陆，不改变运维人员操作习惯</w:t>
            </w:r>
            <w:r>
              <w:rPr>
                <w:rFonts w:hint="eastAsia" w:asciiTheme="minorEastAsia" w:hAnsiTheme="minorEastAsia" w:eastAsiaTheme="minorEastAsia" w:cstheme="minorEastAsia"/>
                <w:color w:val="000000"/>
                <w:kern w:val="0"/>
                <w:sz w:val="21"/>
                <w:szCs w:val="21"/>
                <w:lang w:eastAsia="zh-CN" w:bidi="ar"/>
              </w:rPr>
              <w:t>；</w:t>
            </w:r>
          </w:p>
          <w:p>
            <w:pPr>
              <w:numPr>
                <w:ilvl w:val="0"/>
                <w:numId w:val="12"/>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支持配置资源访问时间规则，即使授权范围内的资源，需在指定时间范围内才可发起访问，确保运维在可信时间范围</w:t>
            </w:r>
            <w:r>
              <w:rPr>
                <w:rFonts w:hint="eastAsia" w:asciiTheme="minorEastAsia" w:hAnsiTheme="minorEastAsia" w:eastAsiaTheme="minorEastAsia" w:cstheme="minorEastAsia"/>
                <w:color w:val="000000"/>
                <w:kern w:val="0"/>
                <w:sz w:val="21"/>
                <w:szCs w:val="21"/>
                <w:lang w:eastAsia="zh-CN" w:bidi="ar"/>
              </w:rPr>
              <w:t>；</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val="en-US" w:eastAsia="zh-CN" w:bidi="ar"/>
              </w:rPr>
              <w:t>产品先进性</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13"/>
              </w:numPr>
              <w:jc w:val="left"/>
              <w:textAlignment w:val="center"/>
              <w:rPr>
                <w:rFonts w:hint="eastAsia" w:asciiTheme="minorEastAsia" w:hAnsiTheme="minorEastAsia" w:eastAsiaTheme="minorEastAsia" w:cstheme="minorEastAsia"/>
                <w:color w:val="000000"/>
                <w:kern w:val="0"/>
                <w:sz w:val="21"/>
                <w:szCs w:val="21"/>
                <w:lang w:eastAsia="zh-CN" w:bidi="ar"/>
              </w:rPr>
            </w:pPr>
            <w:r>
              <w:rPr>
                <w:rFonts w:hint="eastAsia" w:asciiTheme="minorEastAsia" w:hAnsiTheme="minorEastAsia" w:eastAsiaTheme="minorEastAsia" w:cstheme="minorEastAsia"/>
                <w:color w:val="000000"/>
                <w:kern w:val="0"/>
                <w:sz w:val="21"/>
                <w:szCs w:val="21"/>
                <w:lang w:bidi="ar"/>
              </w:rPr>
              <w:t>为确保设备安全性，</w:t>
            </w:r>
            <w:r>
              <w:rPr>
                <w:rFonts w:hint="eastAsia" w:asciiTheme="minorEastAsia" w:hAnsiTheme="minorEastAsia" w:eastAsiaTheme="minorEastAsia" w:cstheme="minorEastAsia"/>
                <w:color w:val="000000"/>
                <w:kern w:val="0"/>
                <w:sz w:val="21"/>
                <w:szCs w:val="21"/>
                <w:lang w:val="en-US" w:eastAsia="zh-CN" w:bidi="ar"/>
              </w:rPr>
              <w:t>产品具备</w:t>
            </w:r>
            <w:r>
              <w:rPr>
                <w:rFonts w:hint="eastAsia" w:asciiTheme="minorEastAsia" w:hAnsiTheme="minorEastAsia" w:eastAsiaTheme="minorEastAsia" w:cstheme="minorEastAsia"/>
                <w:color w:val="000000"/>
                <w:kern w:val="0"/>
                <w:sz w:val="21"/>
                <w:szCs w:val="21"/>
                <w:lang w:bidi="ar"/>
              </w:rPr>
              <w:t>中国网络安全审查技术与认证中心《IT产品信息安全认证证书》</w:t>
            </w:r>
            <w:r>
              <w:rPr>
                <w:rFonts w:hint="eastAsia" w:asciiTheme="minorEastAsia" w:hAnsiTheme="minorEastAsia" w:eastAsiaTheme="minorEastAsia" w:cstheme="minorEastAsia"/>
                <w:color w:val="000000"/>
                <w:kern w:val="0"/>
                <w:sz w:val="21"/>
                <w:szCs w:val="21"/>
                <w:lang w:eastAsia="zh-CN" w:bidi="ar"/>
              </w:rPr>
              <w:t>，</w:t>
            </w:r>
            <w:r>
              <w:rPr>
                <w:rFonts w:hint="eastAsia" w:asciiTheme="minorEastAsia" w:hAnsiTheme="minorEastAsia" w:eastAsiaTheme="minorEastAsia" w:cstheme="minorEastAsia"/>
                <w:color w:val="000000"/>
                <w:kern w:val="0"/>
                <w:sz w:val="21"/>
                <w:szCs w:val="21"/>
                <w:lang w:val="en-US" w:eastAsia="zh-CN" w:bidi="ar"/>
              </w:rPr>
              <w:t>提供证书复印件</w:t>
            </w:r>
            <w:r>
              <w:rPr>
                <w:rFonts w:hint="eastAsia" w:asciiTheme="minorEastAsia" w:hAnsiTheme="minorEastAsia" w:eastAsiaTheme="minorEastAsia" w:cstheme="minorEastAsia"/>
                <w:color w:val="000000"/>
                <w:kern w:val="0"/>
                <w:sz w:val="21"/>
                <w:szCs w:val="21"/>
                <w:lang w:eastAsia="zh-CN" w:bidi="ar"/>
              </w:rPr>
              <w:t>；</w:t>
            </w:r>
          </w:p>
          <w:p>
            <w:pPr>
              <w:numPr>
                <w:ilvl w:val="0"/>
                <w:numId w:val="13"/>
              </w:numPr>
              <w:jc w:val="left"/>
              <w:textAlignment w:val="center"/>
              <w:rPr>
                <w:rFonts w:hint="eastAsia" w:asciiTheme="minorEastAsia" w:hAnsiTheme="minorEastAsia" w:eastAsiaTheme="minorEastAsia" w:cstheme="minorEastAsia"/>
                <w:color w:val="000000"/>
                <w:kern w:val="0"/>
                <w:sz w:val="21"/>
                <w:szCs w:val="21"/>
                <w:lang w:eastAsia="zh-CN" w:bidi="ar"/>
              </w:rPr>
            </w:pPr>
            <w:r>
              <w:rPr>
                <w:rFonts w:hint="eastAsia" w:asciiTheme="minorEastAsia" w:hAnsiTheme="minorEastAsia" w:eastAsiaTheme="minorEastAsia" w:cstheme="minorEastAsia"/>
                <w:color w:val="000000"/>
                <w:kern w:val="0"/>
                <w:sz w:val="21"/>
                <w:szCs w:val="21"/>
                <w:lang w:val="en-US" w:eastAsia="zh-CN" w:bidi="ar"/>
              </w:rPr>
              <w:t>产品生产</w:t>
            </w:r>
            <w:r>
              <w:rPr>
                <w:rFonts w:hint="eastAsia" w:asciiTheme="minorEastAsia" w:hAnsiTheme="minorEastAsia" w:eastAsiaTheme="minorEastAsia" w:cstheme="minorEastAsia"/>
                <w:color w:val="000000"/>
                <w:kern w:val="0"/>
                <w:sz w:val="21"/>
                <w:szCs w:val="21"/>
                <w:lang w:eastAsia="zh-CN" w:bidi="ar"/>
              </w:rPr>
              <w:t>厂商具有国家信息安全漏洞库（CNNVD）技术支撑单位等级证书（一级），</w:t>
            </w:r>
            <w:r>
              <w:rPr>
                <w:rFonts w:hint="eastAsia" w:asciiTheme="minorEastAsia" w:hAnsiTheme="minorEastAsia" w:eastAsiaTheme="minorEastAsia" w:cstheme="minorEastAsia"/>
                <w:color w:val="000000"/>
                <w:kern w:val="0"/>
                <w:sz w:val="21"/>
                <w:szCs w:val="21"/>
                <w:lang w:val="en-US" w:eastAsia="zh-CN" w:bidi="ar"/>
              </w:rPr>
              <w:t>提供证书复印件</w:t>
            </w:r>
            <w:r>
              <w:rPr>
                <w:rFonts w:hint="eastAsia" w:asciiTheme="minorEastAsia" w:hAnsiTheme="minorEastAsia" w:eastAsiaTheme="minorEastAsia" w:cstheme="minorEastAsia"/>
                <w:color w:val="000000"/>
                <w:kern w:val="0"/>
                <w:sz w:val="21"/>
                <w:szCs w:val="21"/>
                <w:lang w:eastAsia="zh-CN" w:bidi="ar"/>
              </w:rPr>
              <w:t>；</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bidi="ar"/>
              </w:rPr>
              <w:t>服务</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★含至少3年原厂质保，提供原厂商服务承诺函加盖</w:t>
            </w:r>
            <w:r>
              <w:rPr>
                <w:rFonts w:hint="eastAsia" w:asciiTheme="minorEastAsia" w:hAnsiTheme="minorEastAsia" w:eastAsiaTheme="minorEastAsia" w:cstheme="minorEastAsia"/>
                <w:color w:val="000000"/>
                <w:kern w:val="0"/>
                <w:sz w:val="21"/>
                <w:szCs w:val="21"/>
                <w:lang w:val="en-US" w:eastAsia="zh-CN" w:bidi="ar"/>
              </w:rPr>
              <w:t>制造商和</w:t>
            </w:r>
            <w:r>
              <w:rPr>
                <w:rFonts w:hint="eastAsia" w:asciiTheme="minorEastAsia" w:hAnsiTheme="minorEastAsia" w:eastAsiaTheme="minorEastAsia" w:cstheme="minorEastAsia"/>
                <w:color w:val="000000"/>
                <w:kern w:val="0"/>
                <w:sz w:val="21"/>
                <w:szCs w:val="21"/>
                <w:lang w:bidi="ar"/>
              </w:rPr>
              <w:t>投标人公章</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restart"/>
            <w:tcBorders>
              <w:top w:val="single" w:color="auto" w:sz="4" w:space="0"/>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5</w:t>
            </w:r>
          </w:p>
        </w:tc>
        <w:tc>
          <w:tcPr>
            <w:tcW w:w="559" w:type="pct"/>
            <w:vMerge w:val="restart"/>
            <w:tcBorders>
              <w:top w:val="single" w:color="auto" w:sz="4" w:space="0"/>
              <w:left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日志分析管理系统</w:t>
            </w: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bidi="ar"/>
              </w:rPr>
              <w:t>规格</w:t>
            </w:r>
          </w:p>
        </w:tc>
        <w:tc>
          <w:tcPr>
            <w:tcW w:w="3207"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2</w:t>
            </w:r>
            <w:r>
              <w:rPr>
                <w:rFonts w:hint="eastAsia" w:asciiTheme="minorEastAsia" w:hAnsiTheme="minorEastAsia" w:eastAsiaTheme="minorEastAsia" w:cstheme="minorEastAsia"/>
                <w:color w:val="000000"/>
                <w:kern w:val="0"/>
                <w:sz w:val="21"/>
                <w:szCs w:val="21"/>
                <w:lang w:bidi="ar"/>
              </w:rPr>
              <w:t>U机架式</w:t>
            </w:r>
          </w:p>
        </w:tc>
        <w:tc>
          <w:tcPr>
            <w:tcW w:w="368" w:type="pct"/>
            <w:vMerge w:val="restart"/>
            <w:tcBorders>
              <w:top w:val="single" w:color="auto" w:sz="4" w:space="0"/>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1台</w:t>
            </w: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容量</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配置内存≥16GB，数据盘≥128GB SSD+4TB SATA</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接口</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不少于6个千兆电口，2个万兆光口SFP+</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2"/>
                <w:sz w:val="21"/>
                <w:szCs w:val="21"/>
                <w:lang w:val="en-US" w:eastAsia="zh-CN" w:bidi="ar-SA"/>
              </w:rPr>
              <w:t>性能</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★主机审计许可证书≥50个，平均每秒处理日志数（eps）最大性能≥2500</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val="en-US" w:eastAsia="zh-CN" w:bidi="ar"/>
              </w:rPr>
              <w:t>电源</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配置白金交流电源</w:t>
            </w:r>
          </w:p>
        </w:tc>
        <w:tc>
          <w:tcPr>
            <w:tcW w:w="368" w:type="pct"/>
            <w:vMerge w:val="continue"/>
            <w:tcBorders>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日志管理</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14"/>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产品</w:t>
            </w:r>
            <w:r>
              <w:rPr>
                <w:rFonts w:hint="default" w:asciiTheme="minorEastAsia" w:hAnsiTheme="minorEastAsia" w:eastAsiaTheme="minorEastAsia" w:cstheme="minorEastAsia"/>
                <w:color w:val="000000"/>
                <w:kern w:val="0"/>
                <w:sz w:val="21"/>
                <w:szCs w:val="21"/>
                <w:lang w:val="en-US" w:eastAsia="zh-CN" w:bidi="ar"/>
              </w:rPr>
              <w:t>支持安全设备、网络设备、中间件、服务器、数据库、操作系统、业务系统等不少于800种日志对象的日志数据采集</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4"/>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产品</w:t>
            </w:r>
            <w:r>
              <w:rPr>
                <w:rFonts w:hint="default" w:asciiTheme="minorEastAsia" w:hAnsiTheme="minorEastAsia" w:eastAsiaTheme="minorEastAsia" w:cstheme="minorEastAsia"/>
                <w:color w:val="000000"/>
                <w:kern w:val="0"/>
                <w:sz w:val="21"/>
                <w:szCs w:val="21"/>
                <w:lang w:val="en-US" w:eastAsia="zh-CN" w:bidi="ar"/>
              </w:rPr>
              <w:t>支持主动、被动相结合的数据采集方式，支持通过Agent采集日志数据，支持通过syslog、SNMP Trap、JDBC、WMI、webservice、FTP、SFTP、文件\文件夹读取、Kafk</w:t>
            </w:r>
            <w:r>
              <w:rPr>
                <w:rFonts w:hint="eastAsia" w:asciiTheme="minorEastAsia" w:hAnsiTheme="minorEastAsia" w:eastAsiaTheme="minorEastAsia" w:cstheme="minorEastAsia"/>
                <w:color w:val="000000"/>
                <w:kern w:val="0"/>
                <w:sz w:val="21"/>
                <w:szCs w:val="21"/>
                <w:lang w:val="en-US" w:eastAsia="zh-CN" w:bidi="ar"/>
              </w:rPr>
              <w:t>a</w:t>
            </w:r>
            <w:r>
              <w:rPr>
                <w:rFonts w:hint="default" w:asciiTheme="minorEastAsia" w:hAnsiTheme="minorEastAsia" w:eastAsiaTheme="minorEastAsia" w:cstheme="minorEastAsia"/>
                <w:color w:val="000000"/>
                <w:kern w:val="0"/>
                <w:sz w:val="21"/>
                <w:szCs w:val="21"/>
                <w:lang w:val="en-US" w:eastAsia="zh-CN" w:bidi="ar"/>
              </w:rPr>
              <w:t>等多种方式完成日志收集</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4"/>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w:t>
            </w:r>
            <w:r>
              <w:rPr>
                <w:rFonts w:hint="eastAsia" w:asciiTheme="minorEastAsia" w:hAnsiTheme="minorEastAsia" w:eastAsiaTheme="minorEastAsia" w:cstheme="minorEastAsia"/>
                <w:color w:val="000000"/>
                <w:kern w:val="0"/>
                <w:sz w:val="21"/>
                <w:szCs w:val="21"/>
                <w:lang w:val="en-US" w:eastAsia="zh-CN" w:bidi="ar"/>
              </w:rPr>
              <w:t>产品</w:t>
            </w:r>
            <w:r>
              <w:rPr>
                <w:rFonts w:hint="default" w:asciiTheme="minorEastAsia" w:hAnsiTheme="minorEastAsia" w:eastAsiaTheme="minorEastAsia" w:cstheme="minorEastAsia"/>
                <w:color w:val="000000"/>
                <w:kern w:val="0"/>
                <w:sz w:val="21"/>
                <w:szCs w:val="21"/>
                <w:lang w:val="en-US" w:eastAsia="zh-CN" w:bidi="ar"/>
              </w:rPr>
              <w:t>支持通过正则、分隔符、json、xml的可视方式进行自定义规则解析，支持对解析结果字段的新增、合并、映射，以满足除内置解析规则之外未被覆盖的日志类型的解析</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4"/>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支持对每个日志源设置过滤条件规则，自动过滤无用日志，满足根据实际业务需求减少采集对象发送到核心服务器的安全事件数，减少对网络带宽和数据库存储空间的占用</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4"/>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sz w:val="21"/>
                <w:szCs w:val="21"/>
                <w:lang w:val="en-US" w:eastAsia="zh-CN"/>
              </w:rPr>
              <w:t>★</w:t>
            </w:r>
            <w:r>
              <w:rPr>
                <w:rFonts w:hint="default" w:asciiTheme="minorEastAsia" w:hAnsiTheme="minorEastAsia" w:eastAsiaTheme="minorEastAsia" w:cstheme="minorEastAsia"/>
                <w:color w:val="000000"/>
                <w:kern w:val="0"/>
                <w:sz w:val="21"/>
                <w:szCs w:val="21"/>
                <w:lang w:val="en-US" w:eastAsia="zh-CN" w:bidi="ar"/>
              </w:rPr>
              <w:t>支持TLS加密方式进行日志传输，支持日志传输状态、最近同步时间进行监控，可统计每个日志源的今日传输量和传输总量</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4"/>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支持单条事件进行展开，显示事件详细信息和事件原始信息，支持事件详情中任意字段作为查询条件无限制进行二次检索分析</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4"/>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支持网站攻击、漏洞利用、C&amp;C通信、暴力破解、拒绝服务、主机脆弱性、主机异常、恶意软件、账号异常、权限异常、侦查探测等内置关联分析规则，内置关联分析规则数量达到350条以上，支持自定义关联分析规则</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val="en-US" w:eastAsia="zh-CN" w:bidi="ar"/>
              </w:rPr>
              <w:t>；</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tabs>
                <w:tab w:val="left" w:pos="509"/>
              </w:tabs>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系统管理</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15"/>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sz w:val="21"/>
                <w:szCs w:val="21"/>
                <w:lang w:val="en-US" w:eastAsia="zh-CN"/>
              </w:rPr>
              <w:t>支持可视化展示，包括数据分布、安全事件趋势图、关联规则告警趋势图、接入设备概况等，可提供设备专项分析场景；</w:t>
            </w:r>
          </w:p>
          <w:p>
            <w:pPr>
              <w:numPr>
                <w:ilvl w:val="0"/>
                <w:numId w:val="15"/>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支持等保合规检测，用户可自查设备是否满足等保要求</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5"/>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支持内置日志接入配置指导、典型日志事件介绍、安全经验等，并支持自定义创建增加知识库内容</w:t>
            </w:r>
            <w:r>
              <w:rPr>
                <w:rFonts w:hint="eastAsia" w:asciiTheme="minorEastAsia" w:hAnsiTheme="minorEastAsia" w:eastAsiaTheme="minorEastAsia" w:cstheme="minorEastAsia"/>
                <w:color w:val="000000"/>
                <w:kern w:val="0"/>
                <w:sz w:val="21"/>
                <w:szCs w:val="21"/>
                <w:lang w:eastAsia="zh-CN" w:bidi="ar"/>
              </w:rPr>
              <w:t>；</w:t>
            </w:r>
          </w:p>
          <w:p>
            <w:pPr>
              <w:numPr>
                <w:ilvl w:val="0"/>
                <w:numId w:val="15"/>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支持拓扑管理，能够基于拓扑图的资产相关数据信息快速查看资产评分、安全事件分布、告警分布等，支持通过拓扑下钻查看对应资产的关联事件、审计事件、日志数量</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val="en-US" w:eastAsia="zh-CN" w:bidi="ar"/>
              </w:rPr>
              <w:t>产品先进性</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0"/>
              </w:num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1.产品具有中国网络安全审查技术与认证中心《中国国家信息安全产品认证证书》（增强级），提供证书复印件</w:t>
            </w:r>
            <w:r>
              <w:rPr>
                <w:rFonts w:hint="eastAsia" w:asciiTheme="minorEastAsia" w:hAnsiTheme="minorEastAsia" w:eastAsiaTheme="minorEastAsia" w:cstheme="minorEastAsia"/>
                <w:color w:val="000000"/>
                <w:kern w:val="0"/>
                <w:sz w:val="21"/>
                <w:szCs w:val="21"/>
                <w:lang w:eastAsia="zh-CN" w:bidi="ar"/>
              </w:rPr>
              <w:t>；</w:t>
            </w:r>
          </w:p>
          <w:p>
            <w:pPr>
              <w:numPr>
                <w:ilvl w:val="0"/>
                <w:numId w:val="0"/>
              </w:numPr>
              <w:jc w:val="left"/>
              <w:textAlignment w:val="center"/>
              <w:rPr>
                <w:rFonts w:hint="eastAsia" w:asciiTheme="minorEastAsia" w:hAnsiTheme="minorEastAsia" w:eastAsiaTheme="minorEastAsia" w:cstheme="minorEastAsia"/>
                <w:color w:val="000000"/>
                <w:kern w:val="0"/>
                <w:sz w:val="21"/>
                <w:szCs w:val="21"/>
                <w:lang w:eastAsia="zh-CN" w:bidi="ar"/>
              </w:rPr>
            </w:pPr>
            <w:r>
              <w:rPr>
                <w:rFonts w:hint="eastAsia" w:asciiTheme="minorEastAsia" w:hAnsiTheme="minorEastAsia" w:eastAsiaTheme="minorEastAsia" w:cstheme="minorEastAsia"/>
                <w:color w:val="000000"/>
                <w:kern w:val="0"/>
                <w:sz w:val="21"/>
                <w:szCs w:val="21"/>
                <w:lang w:val="en-US" w:eastAsia="zh-CN" w:bidi="ar"/>
              </w:rPr>
              <w:t>2.产品生产厂商为国家标准《信息安全技术 网络安全审计产品技术规范》主要起草单位，提供证书复印件</w:t>
            </w:r>
            <w:r>
              <w:rPr>
                <w:rFonts w:hint="eastAsia" w:asciiTheme="minorEastAsia" w:hAnsiTheme="minorEastAsia" w:eastAsiaTheme="minorEastAsia" w:cstheme="minorEastAsia"/>
                <w:color w:val="000000"/>
                <w:kern w:val="0"/>
                <w:sz w:val="21"/>
                <w:szCs w:val="21"/>
                <w:lang w:eastAsia="zh-CN" w:bidi="ar"/>
              </w:rPr>
              <w:t>；</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bidi="ar"/>
              </w:rPr>
              <w:t>服务</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★含至少3年原厂质保，提供原厂商服务承诺函加盖</w:t>
            </w:r>
            <w:r>
              <w:rPr>
                <w:rFonts w:hint="eastAsia" w:asciiTheme="minorEastAsia" w:hAnsiTheme="minorEastAsia" w:eastAsiaTheme="minorEastAsia" w:cstheme="minorEastAsia"/>
                <w:color w:val="000000"/>
                <w:kern w:val="0"/>
                <w:sz w:val="21"/>
                <w:szCs w:val="21"/>
                <w:lang w:val="en-US" w:eastAsia="zh-CN" w:bidi="ar"/>
              </w:rPr>
              <w:t>制造商和</w:t>
            </w:r>
            <w:r>
              <w:rPr>
                <w:rFonts w:hint="eastAsia" w:asciiTheme="minorEastAsia" w:hAnsiTheme="minorEastAsia" w:eastAsiaTheme="minorEastAsia" w:cstheme="minorEastAsia"/>
                <w:color w:val="000000"/>
                <w:kern w:val="0"/>
                <w:sz w:val="21"/>
                <w:szCs w:val="21"/>
                <w:lang w:bidi="ar"/>
              </w:rPr>
              <w:t>投标人公章</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799" w:hRule="atLeast"/>
        </w:trPr>
        <w:tc>
          <w:tcPr>
            <w:tcW w:w="354" w:type="pct"/>
            <w:vMerge w:val="restart"/>
            <w:tcBorders>
              <w:top w:val="single" w:color="auto" w:sz="4" w:space="0"/>
              <w:left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6</w:t>
            </w:r>
          </w:p>
        </w:tc>
        <w:tc>
          <w:tcPr>
            <w:tcW w:w="559" w:type="pct"/>
            <w:vMerge w:val="restart"/>
            <w:tcBorders>
              <w:top w:val="single" w:color="auto" w:sz="4" w:space="0"/>
              <w:left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统一端点安全管理系统</w:t>
            </w:r>
          </w:p>
        </w:tc>
        <w:tc>
          <w:tcPr>
            <w:tcW w:w="510" w:type="pct"/>
            <w:tcBorders>
              <w:top w:val="single" w:color="auto" w:sz="4" w:space="0"/>
              <w:left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软件授权</w:t>
            </w:r>
          </w:p>
        </w:tc>
        <w:tc>
          <w:tcPr>
            <w:tcW w:w="3207"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numPr>
                <w:ilvl w:val="0"/>
                <w:numId w:val="0"/>
              </w:numPr>
              <w:tabs>
                <w:tab w:val="left" w:pos="2015"/>
              </w:tabs>
              <w:kinsoku/>
              <w:wordWrap/>
              <w:overflowPunct/>
              <w:topLinePunct w:val="0"/>
              <w:autoSpaceDE/>
              <w:autoSpaceDN/>
              <w:bidi w:val="0"/>
              <w:adjustRightInd/>
              <w:snapToGrid/>
              <w:spacing w:line="240" w:lineRule="auto"/>
              <w:textAlignment w:val="auto"/>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产品可以纯软件交付，包含管理控制中心软件及终端客户端软件，本次配置不少于10套服务器全量版端点安全管理软件；</w:t>
            </w:r>
          </w:p>
        </w:tc>
        <w:tc>
          <w:tcPr>
            <w:tcW w:w="368" w:type="pct"/>
            <w:vMerge w:val="restart"/>
            <w:tcBorders>
              <w:top w:val="single" w:color="auto" w:sz="4" w:space="0"/>
              <w:left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1台</w:t>
            </w: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安全功能</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16"/>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产品</w:t>
            </w:r>
            <w:r>
              <w:rPr>
                <w:rFonts w:hint="default" w:asciiTheme="minorEastAsia" w:hAnsiTheme="minorEastAsia" w:eastAsiaTheme="minorEastAsia" w:cstheme="minorEastAsia"/>
                <w:color w:val="000000"/>
                <w:kern w:val="0"/>
                <w:sz w:val="21"/>
                <w:szCs w:val="21"/>
                <w:lang w:val="en-US" w:eastAsia="zh-CN" w:bidi="ar"/>
              </w:rPr>
              <w:t>支持windows服务器RDP远程登录保护，可开启RDP远程登录二次认证，以防止黑客对服务器的入侵</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6"/>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产品</w:t>
            </w:r>
            <w:r>
              <w:rPr>
                <w:rFonts w:hint="default" w:asciiTheme="minorEastAsia" w:hAnsiTheme="minorEastAsia" w:eastAsiaTheme="minorEastAsia" w:cstheme="minorEastAsia"/>
                <w:color w:val="000000"/>
                <w:kern w:val="0"/>
                <w:sz w:val="21"/>
                <w:szCs w:val="21"/>
                <w:lang w:val="en-US" w:eastAsia="zh-CN" w:bidi="ar"/>
              </w:rPr>
              <w:t>支持Linux服务器SSH远程登录保护，可开启SSH远程登录二次认证，以防止黑客利用弱密码脆弱性对服务器的入侵；支持设置验证码验证或自定义密码验证，支持设置登录认证提示、生效时间段和免二次认证白名单</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6"/>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w:t>
            </w:r>
            <w:r>
              <w:rPr>
                <w:rFonts w:hint="eastAsia" w:asciiTheme="minorEastAsia" w:hAnsiTheme="minorEastAsia" w:eastAsiaTheme="minorEastAsia" w:cstheme="minorEastAsia"/>
                <w:color w:val="000000"/>
                <w:kern w:val="0"/>
                <w:sz w:val="21"/>
                <w:szCs w:val="21"/>
                <w:lang w:val="en-US" w:eastAsia="zh-CN" w:bidi="ar"/>
              </w:rPr>
              <w:t>产品支</w:t>
            </w:r>
            <w:r>
              <w:rPr>
                <w:rFonts w:hint="default" w:asciiTheme="minorEastAsia" w:hAnsiTheme="minorEastAsia" w:eastAsiaTheme="minorEastAsia" w:cstheme="minorEastAsia"/>
                <w:color w:val="000000"/>
                <w:kern w:val="0"/>
                <w:sz w:val="21"/>
                <w:szCs w:val="21"/>
                <w:lang w:val="en-US" w:eastAsia="zh-CN" w:bidi="ar"/>
              </w:rPr>
              <w:t>持勒索可疑行为检测，通过行为AI能力对勒索信、命令行、修改文件等多种躲避式投放勒索病毒的高危高频场景进行精准告警和自动拦截</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6"/>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w:t>
            </w:r>
            <w:r>
              <w:rPr>
                <w:rFonts w:hint="eastAsia" w:asciiTheme="minorEastAsia" w:hAnsiTheme="minorEastAsia" w:eastAsiaTheme="minorEastAsia" w:cstheme="minorEastAsia"/>
                <w:color w:val="000000"/>
                <w:kern w:val="0"/>
                <w:sz w:val="21"/>
                <w:szCs w:val="21"/>
                <w:lang w:val="en-US" w:eastAsia="zh-CN" w:bidi="ar"/>
              </w:rPr>
              <w:t>产品</w:t>
            </w:r>
            <w:r>
              <w:rPr>
                <w:rFonts w:hint="default" w:asciiTheme="minorEastAsia" w:hAnsiTheme="minorEastAsia" w:eastAsiaTheme="minorEastAsia" w:cstheme="minorEastAsia"/>
                <w:color w:val="000000"/>
                <w:kern w:val="0"/>
                <w:sz w:val="21"/>
                <w:szCs w:val="21"/>
                <w:lang w:val="en-US" w:eastAsia="zh-CN" w:bidi="ar"/>
              </w:rPr>
              <w:t>具备自研的基于人工智能的检测引擎，支持无特征检测技术，有效应对恶意代码及其变种</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6"/>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w:t>
            </w:r>
            <w:r>
              <w:rPr>
                <w:rFonts w:hint="eastAsia" w:asciiTheme="minorEastAsia" w:hAnsiTheme="minorEastAsia" w:eastAsiaTheme="minorEastAsia" w:cstheme="minorEastAsia"/>
                <w:color w:val="000000"/>
                <w:kern w:val="0"/>
                <w:sz w:val="21"/>
                <w:szCs w:val="21"/>
                <w:lang w:val="en-US" w:eastAsia="zh-CN" w:bidi="ar"/>
              </w:rPr>
              <w:t>产品</w:t>
            </w:r>
            <w:r>
              <w:rPr>
                <w:rFonts w:hint="default" w:asciiTheme="minorEastAsia" w:hAnsiTheme="minorEastAsia" w:eastAsiaTheme="minorEastAsia" w:cstheme="minorEastAsia"/>
                <w:color w:val="000000"/>
                <w:kern w:val="0"/>
                <w:sz w:val="21"/>
                <w:szCs w:val="21"/>
                <w:lang w:val="en-US" w:eastAsia="zh-CN" w:bidi="ar"/>
              </w:rPr>
              <w:t>支持禁止黑客工具启动，包含：xuetr、ProcessHacker、PCHunter、Mimikatz等工具的自启动，可以防止黑客攻击</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6"/>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可实时监控文件的状态，在文件读、写、执行或者进入主机时主动进行扫描，支持根据用户性能偏好设置高、中、低3种防护级别</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6"/>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支持展示终端检测到的WebShell事件及事件详情，包括：恶意文件名称，威胁等级，受感染的文件，发现时间，检测引擎，文件类型，文件名，文件Hash值，文件大小，文件创建时间；可配置WebShell实时扫描，一旦发现WebShell文件，可自动隔离或仅上报不隔离</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6"/>
              </w:numPr>
              <w:jc w:val="left"/>
              <w:textAlignment w:val="center"/>
              <w:rPr>
                <w:rFonts w:hint="default" w:asciiTheme="minorEastAsia" w:hAnsiTheme="minorEastAsia" w:eastAsiaTheme="minorEastAsia" w:cstheme="minorEastAsia"/>
                <w:color w:val="000000"/>
                <w:kern w:val="0"/>
                <w:sz w:val="21"/>
                <w:szCs w:val="21"/>
                <w:lang w:val="en-US" w:eastAsia="zh-CN" w:bidi="ar"/>
              </w:rPr>
            </w:pPr>
            <w:r>
              <w:rPr>
                <w:rFonts w:hint="default" w:asciiTheme="minorEastAsia" w:hAnsiTheme="minorEastAsia" w:eastAsiaTheme="minorEastAsia" w:cstheme="minorEastAsia"/>
                <w:color w:val="000000"/>
                <w:kern w:val="0"/>
                <w:sz w:val="21"/>
                <w:szCs w:val="21"/>
                <w:lang w:val="en-US" w:eastAsia="zh-CN" w:bidi="ar"/>
              </w:rPr>
              <w:t>支持一键式操作对指定Windows终端/终端组进行通用安全检查基线、等保二级基线、等保三级基线、CIS系统基线、CIS应用基线、以及基于以上基线规则原型的自定义基线的合规性检查，可视化展示终端的基线合规检查结果，并对不合规的检查项提供设置建议</w:t>
            </w:r>
            <w:r>
              <w:rPr>
                <w:rFonts w:hint="eastAsia" w:asciiTheme="minorEastAsia" w:hAnsiTheme="minorEastAsia" w:eastAsiaTheme="minorEastAsia" w:cstheme="minorEastAsia"/>
                <w:color w:val="000000"/>
                <w:kern w:val="0"/>
                <w:sz w:val="21"/>
                <w:szCs w:val="21"/>
                <w:lang w:val="en-US" w:eastAsia="zh-CN" w:bidi="ar"/>
              </w:rPr>
              <w:t>；</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tabs>
                <w:tab w:val="left" w:pos="509"/>
              </w:tabs>
              <w:jc w:val="center"/>
              <w:textAlignment w:val="center"/>
              <w:rPr>
                <w:rFonts w:hint="default"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val="en-US" w:eastAsia="zh-CN" w:bidi="ar"/>
              </w:rPr>
              <w:t>系统管理</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17"/>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支持客户端的错峰升级，可根据实际情况控制客户端同时升级的最大数量，避免大量终端程序同时更新造成网络拥堵或I/O风暴</w:t>
            </w:r>
            <w:r>
              <w:rPr>
                <w:rFonts w:hint="eastAsia" w:asciiTheme="minorEastAsia" w:hAnsiTheme="minorEastAsia" w:eastAsiaTheme="minorEastAsia" w:cstheme="minorEastAsia"/>
                <w:color w:val="000000"/>
                <w:kern w:val="0"/>
                <w:sz w:val="21"/>
                <w:szCs w:val="21"/>
                <w:lang w:eastAsia="zh-CN" w:bidi="ar"/>
              </w:rPr>
              <w:t>；</w:t>
            </w:r>
          </w:p>
          <w:p>
            <w:pPr>
              <w:numPr>
                <w:ilvl w:val="0"/>
                <w:numId w:val="17"/>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提供勒索病毒整体防护体系入口，直观展示最近七天勒索病毒防护效果，包包括已处置的恶意文件数量、已拦截可疑行为次数、已阻止的未知进程操作次数、已阻止的暴力破解攻击次数</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7"/>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支持全网视角的端口和运行进程的清点，在监听端口视角，可以识别风险端口，并支持一键封堵端口和解除封堵</w:t>
            </w:r>
            <w:r>
              <w:rPr>
                <w:rFonts w:hint="eastAsia" w:asciiTheme="minorEastAsia" w:hAnsiTheme="minorEastAsia" w:eastAsiaTheme="minorEastAsia" w:cstheme="minorEastAsia"/>
                <w:color w:val="000000"/>
                <w:kern w:val="0"/>
                <w:sz w:val="21"/>
                <w:szCs w:val="21"/>
                <w:lang w:eastAsia="zh-CN" w:bidi="ar"/>
              </w:rPr>
              <w:t>；</w:t>
            </w:r>
          </w:p>
          <w:p>
            <w:pPr>
              <w:numPr>
                <w:ilvl w:val="0"/>
                <w:numId w:val="17"/>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支持对终端账户信息进行梳理，了解账号权限分布概况以及风险账号分布情况，可按照隐藏账号、弱密码账号、可疑root权限账号、长期未使用账号、夜间登录、多IP登录进行账号分类查看，支持统计最近一年未修改密码的账户</w:t>
            </w:r>
            <w:r>
              <w:rPr>
                <w:rFonts w:hint="eastAsia" w:asciiTheme="minorEastAsia" w:hAnsiTheme="minorEastAsia" w:eastAsiaTheme="minorEastAsia" w:cstheme="minorEastAsia"/>
                <w:sz w:val="21"/>
                <w:szCs w:val="21"/>
                <w:lang w:val="en-US" w:eastAsia="zh-CN"/>
              </w:rPr>
              <w:t>（需提供产品功能截图）</w:t>
            </w:r>
            <w:r>
              <w:rPr>
                <w:rFonts w:hint="eastAsia" w:asciiTheme="minorEastAsia" w:hAnsiTheme="minorEastAsia" w:eastAsiaTheme="minorEastAsia" w:cstheme="minorEastAsia"/>
                <w:color w:val="000000"/>
                <w:kern w:val="0"/>
                <w:sz w:val="21"/>
                <w:szCs w:val="21"/>
                <w:lang w:val="en-US" w:eastAsia="zh-CN" w:bidi="ar"/>
              </w:rPr>
              <w:t>；</w:t>
            </w:r>
          </w:p>
          <w:p>
            <w:pPr>
              <w:numPr>
                <w:ilvl w:val="0"/>
                <w:numId w:val="17"/>
              </w:numPr>
              <w:jc w:val="left"/>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支持暴露面梳理功能，可以快速识别环境中暴露在外网的端口及应用，当检测到有来自于外网的IP地址访问时，判定该资产为外网暴露面资产，帮助用户高效梳理资产脆弱面</w:t>
            </w:r>
            <w:r>
              <w:rPr>
                <w:rFonts w:hint="eastAsia" w:asciiTheme="minorEastAsia" w:hAnsiTheme="minorEastAsia" w:eastAsiaTheme="minorEastAsia" w:cstheme="minorEastAsia"/>
                <w:color w:val="000000"/>
                <w:kern w:val="0"/>
                <w:sz w:val="21"/>
                <w:szCs w:val="21"/>
                <w:lang w:eastAsia="zh-CN" w:bidi="ar"/>
              </w:rPr>
              <w:t>；</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val="en-US" w:eastAsia="zh-CN" w:bidi="ar"/>
              </w:rPr>
              <w:t>产品先进性</w:t>
            </w:r>
          </w:p>
        </w:tc>
        <w:tc>
          <w:tcPr>
            <w:tcW w:w="3207" w:type="pct"/>
            <w:tcBorders>
              <w:top w:val="single" w:color="auto" w:sz="4" w:space="0"/>
              <w:left w:val="single" w:color="auto" w:sz="4" w:space="0"/>
              <w:bottom w:val="single" w:color="auto" w:sz="4" w:space="0"/>
              <w:right w:val="single" w:color="auto" w:sz="4" w:space="0"/>
            </w:tcBorders>
            <w:vAlign w:val="center"/>
          </w:tcPr>
          <w:p>
            <w:pPr>
              <w:numPr>
                <w:ilvl w:val="0"/>
                <w:numId w:val="18"/>
              </w:numPr>
              <w:jc w:val="left"/>
              <w:textAlignment w:val="center"/>
              <w:rPr>
                <w:rFonts w:hint="eastAsia" w:asciiTheme="minorEastAsia" w:hAnsiTheme="minorEastAsia" w:eastAsiaTheme="minorEastAsia" w:cstheme="minorEastAsia"/>
                <w:color w:val="000000"/>
                <w:kern w:val="0"/>
                <w:sz w:val="21"/>
                <w:szCs w:val="21"/>
                <w:lang w:eastAsia="zh-CN" w:bidi="ar"/>
              </w:rPr>
            </w:pPr>
            <w:r>
              <w:rPr>
                <w:rFonts w:hint="eastAsia" w:asciiTheme="minorEastAsia" w:hAnsiTheme="minorEastAsia" w:eastAsiaTheme="minorEastAsia" w:cstheme="minorEastAsia"/>
                <w:color w:val="000000"/>
                <w:kern w:val="0"/>
                <w:sz w:val="21"/>
                <w:szCs w:val="21"/>
                <w:lang w:val="en-US" w:eastAsia="zh-CN" w:bidi="ar"/>
              </w:rPr>
              <w:t>产品具备</w:t>
            </w:r>
            <w:r>
              <w:rPr>
                <w:rFonts w:hint="eastAsia" w:asciiTheme="minorEastAsia" w:hAnsiTheme="minorEastAsia" w:eastAsiaTheme="minorEastAsia" w:cstheme="minorEastAsia"/>
                <w:color w:val="000000"/>
                <w:kern w:val="0"/>
                <w:sz w:val="21"/>
                <w:szCs w:val="21"/>
                <w:lang w:bidi="ar"/>
              </w:rPr>
              <w:t>泰尔实验室产品检验报告，提供有效证书复印件。</w:t>
            </w:r>
          </w:p>
          <w:p>
            <w:pPr>
              <w:numPr>
                <w:ilvl w:val="0"/>
                <w:numId w:val="18"/>
              </w:numPr>
              <w:jc w:val="left"/>
              <w:textAlignment w:val="center"/>
              <w:rPr>
                <w:rFonts w:hint="eastAsia" w:ascii="宋体" w:hAnsi="宋体" w:cs="宋体"/>
                <w:kern w:val="0"/>
                <w:sz w:val="18"/>
                <w:szCs w:val="18"/>
                <w:lang w:eastAsia="zh-CN"/>
              </w:rPr>
            </w:pPr>
            <w:r>
              <w:rPr>
                <w:rFonts w:hint="eastAsia" w:asciiTheme="minorEastAsia" w:hAnsiTheme="minorEastAsia" w:eastAsiaTheme="minorEastAsia" w:cstheme="minorEastAsia"/>
                <w:color w:val="000000"/>
                <w:kern w:val="0"/>
                <w:sz w:val="21"/>
                <w:szCs w:val="21"/>
                <w:lang w:bidi="ar"/>
              </w:rPr>
              <w:t>产品的生产厂商应是国家互联网应急响应中心网络安全应急服务国家级支撑单位，提供有效证书的复印件</w:t>
            </w:r>
            <w:r>
              <w:rPr>
                <w:rFonts w:hint="eastAsia" w:asciiTheme="minorEastAsia" w:hAnsiTheme="minorEastAsia" w:eastAsiaTheme="minorEastAsia" w:cstheme="minorEastAsia"/>
                <w:color w:val="000000"/>
                <w:kern w:val="0"/>
                <w:sz w:val="21"/>
                <w:szCs w:val="21"/>
                <w:lang w:eastAsia="zh-CN" w:bidi="ar"/>
              </w:rPr>
              <w:t>；</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r>
        <w:trPr>
          <w:trHeight w:val="270" w:hRule="atLeast"/>
        </w:trPr>
        <w:tc>
          <w:tcPr>
            <w:tcW w:w="354"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59" w:type="pct"/>
            <w:vMerge w:val="continue"/>
            <w:tcBorders>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c>
          <w:tcPr>
            <w:tcW w:w="510" w:type="pc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Theme="minorEastAsia" w:hAnsiTheme="minorEastAsia" w:eastAsiaTheme="minorEastAsia" w:cstheme="minorEastAsia"/>
                <w:color w:val="000000"/>
                <w:kern w:val="2"/>
                <w:sz w:val="21"/>
                <w:szCs w:val="21"/>
                <w:lang w:val="en-US" w:eastAsia="zh-CN" w:bidi="ar-SA"/>
              </w:rPr>
            </w:pPr>
            <w:r>
              <w:rPr>
                <w:rFonts w:hint="eastAsia" w:asciiTheme="minorEastAsia" w:hAnsiTheme="minorEastAsia" w:eastAsiaTheme="minorEastAsia" w:cstheme="minorEastAsia"/>
                <w:color w:val="000000"/>
                <w:kern w:val="0"/>
                <w:sz w:val="21"/>
                <w:szCs w:val="21"/>
                <w:lang w:bidi="ar"/>
              </w:rPr>
              <w:t>服务</w:t>
            </w:r>
          </w:p>
        </w:tc>
        <w:tc>
          <w:tcPr>
            <w:tcW w:w="3207" w:type="pct"/>
            <w:tcBorders>
              <w:top w:val="single" w:color="auto" w:sz="4" w:space="0"/>
              <w:left w:val="single" w:color="auto" w:sz="4" w:space="0"/>
              <w:bottom w:val="single" w:color="auto" w:sz="4" w:space="0"/>
              <w:right w:val="single" w:color="auto" w:sz="4" w:space="0"/>
            </w:tcBorders>
            <w:vAlign w:val="center"/>
          </w:tcPr>
          <w:p>
            <w:pPr>
              <w:jc w:val="left"/>
              <w:textAlignment w:val="center"/>
              <w:rPr>
                <w:rFonts w:hint="eastAsia" w:asciiTheme="minorEastAsia" w:hAnsiTheme="minorEastAsia" w:eastAsiaTheme="minorEastAsia" w:cstheme="minorEastAsia"/>
                <w:color w:val="000000"/>
                <w:kern w:val="0"/>
                <w:sz w:val="21"/>
                <w:szCs w:val="21"/>
                <w:lang w:val="en-US" w:eastAsia="zh-CN" w:bidi="ar"/>
              </w:rPr>
            </w:pPr>
            <w:r>
              <w:rPr>
                <w:rFonts w:hint="eastAsia" w:asciiTheme="minorEastAsia" w:hAnsiTheme="minorEastAsia" w:eastAsiaTheme="minorEastAsia" w:cstheme="minorEastAsia"/>
                <w:color w:val="000000"/>
                <w:kern w:val="0"/>
                <w:sz w:val="21"/>
                <w:szCs w:val="21"/>
                <w:lang w:bidi="ar"/>
              </w:rPr>
              <w:t>★含至少3年原厂质保，提供原厂商服务承诺函加盖</w:t>
            </w:r>
            <w:r>
              <w:rPr>
                <w:rFonts w:hint="eastAsia" w:asciiTheme="minorEastAsia" w:hAnsiTheme="minorEastAsia" w:eastAsiaTheme="minorEastAsia" w:cstheme="minorEastAsia"/>
                <w:color w:val="000000"/>
                <w:kern w:val="0"/>
                <w:sz w:val="21"/>
                <w:szCs w:val="21"/>
                <w:lang w:val="en-US" w:eastAsia="zh-CN" w:bidi="ar"/>
              </w:rPr>
              <w:t>制造商和</w:t>
            </w:r>
            <w:r>
              <w:rPr>
                <w:rFonts w:hint="eastAsia" w:asciiTheme="minorEastAsia" w:hAnsiTheme="minorEastAsia" w:eastAsiaTheme="minorEastAsia" w:cstheme="minorEastAsia"/>
                <w:color w:val="000000"/>
                <w:kern w:val="0"/>
                <w:sz w:val="21"/>
                <w:szCs w:val="21"/>
                <w:lang w:bidi="ar"/>
              </w:rPr>
              <w:t>投标人公章</w:t>
            </w:r>
          </w:p>
        </w:tc>
        <w:tc>
          <w:tcPr>
            <w:tcW w:w="368" w:type="pct"/>
            <w:vMerge w:val="continue"/>
            <w:tcBorders>
              <w:left w:val="single" w:color="auto" w:sz="4" w:space="0"/>
              <w:bottom w:val="single" w:color="auto" w:sz="4" w:space="0"/>
              <w:right w:val="single" w:color="auto" w:sz="4" w:space="0"/>
            </w:tcBorders>
            <w:noWrap/>
            <w:vAlign w:val="center"/>
          </w:tcPr>
          <w:p>
            <w:pPr>
              <w:jc w:val="center"/>
              <w:textAlignment w:val="center"/>
              <w:rPr>
                <w:rFonts w:hint="eastAsia" w:asciiTheme="minorEastAsia" w:hAnsiTheme="minorEastAsia" w:eastAsiaTheme="minorEastAsia" w:cstheme="minorEastAsia"/>
                <w:color w:val="000000"/>
                <w:kern w:val="0"/>
                <w:sz w:val="21"/>
                <w:szCs w:val="21"/>
                <w:lang w:val="en-US" w:eastAsia="zh-CN" w:bidi="ar"/>
              </w:rPr>
            </w:pPr>
          </w:p>
        </w:tc>
      </w:tr>
    </w:tbl>
    <w:p>
      <w:pPr>
        <w:keepNext w:val="0"/>
        <w:keepLines w:val="0"/>
        <w:widowControl/>
        <w:suppressLineNumbers w:val="0"/>
        <w:jc w:val="left"/>
        <w:rPr>
          <w:rFonts w:ascii="宋体" w:hAnsi="宋体" w:eastAsia="宋体" w:cs="宋体"/>
          <w:b/>
          <w:bCs/>
          <w:color w:val="000000"/>
          <w:kern w:val="0"/>
          <w:sz w:val="21"/>
          <w:szCs w:val="21"/>
          <w:lang w:val="en-US" w:eastAsia="zh-CN" w:bidi="ar"/>
        </w:rPr>
      </w:pPr>
      <w:r>
        <w:rPr>
          <w:rFonts w:hint="eastAsia" w:ascii="宋体" w:hAnsi="宋体" w:cs="宋体"/>
          <w:b/>
          <w:bCs/>
          <w:color w:val="000000"/>
          <w:kern w:val="0"/>
          <w:sz w:val="21"/>
          <w:szCs w:val="21"/>
          <w:lang w:val="en-US" w:eastAsia="zh-CN" w:bidi="ar"/>
        </w:rPr>
        <w:t>注：</w:t>
      </w:r>
      <w:r>
        <w:rPr>
          <w:rFonts w:ascii="宋体" w:hAnsi="宋体" w:eastAsia="宋体" w:cs="宋体"/>
          <w:b/>
          <w:bCs/>
          <w:color w:val="000000"/>
          <w:kern w:val="0"/>
          <w:sz w:val="21"/>
          <w:szCs w:val="21"/>
          <w:lang w:val="en-US" w:eastAsia="zh-CN" w:bidi="ar"/>
        </w:rPr>
        <w:t>带“</w:t>
      </w:r>
      <w:r>
        <w:rPr>
          <w:rFonts w:hint="eastAsia" w:ascii="宋体" w:hAnsi="宋体" w:cs="宋体"/>
          <w:b/>
          <w:bCs/>
          <w:color w:val="000000"/>
          <w:kern w:val="0"/>
          <w:sz w:val="21"/>
          <w:szCs w:val="21"/>
          <w:lang w:val="en-US" w:eastAsia="zh-CN" w:bidi="ar"/>
        </w:rPr>
        <w:t>★</w:t>
      </w:r>
      <w:r>
        <w:rPr>
          <w:rFonts w:ascii="宋体" w:hAnsi="宋体" w:eastAsia="宋体" w:cs="宋体"/>
          <w:b/>
          <w:bCs/>
          <w:color w:val="000000"/>
          <w:kern w:val="0"/>
          <w:sz w:val="21"/>
          <w:szCs w:val="21"/>
          <w:lang w:val="en-US" w:eastAsia="zh-CN" w:bidi="ar"/>
        </w:rPr>
        <w:t>”指标项为重要参数条款，供应商所投产品需逐一提供实质性响应材料</w:t>
      </w:r>
      <w:r>
        <w:rPr>
          <w:rFonts w:hint="eastAsia" w:ascii="宋体" w:hAnsi="宋体" w:cs="宋体"/>
          <w:b/>
          <w:bCs/>
          <w:color w:val="000000"/>
          <w:kern w:val="0"/>
          <w:sz w:val="21"/>
          <w:szCs w:val="21"/>
          <w:lang w:val="en-US" w:eastAsia="zh-CN" w:bidi="ar"/>
        </w:rPr>
        <w:t>并加盖</w:t>
      </w:r>
      <w:r>
        <w:rPr>
          <w:rFonts w:hint="eastAsia" w:asciiTheme="minorEastAsia" w:hAnsiTheme="minorEastAsia" w:eastAsiaTheme="minorEastAsia" w:cstheme="minorEastAsia"/>
          <w:b/>
          <w:bCs/>
          <w:color w:val="000000"/>
          <w:kern w:val="0"/>
          <w:sz w:val="21"/>
          <w:szCs w:val="21"/>
          <w:lang w:val="en-US" w:eastAsia="zh-CN" w:bidi="ar"/>
        </w:rPr>
        <w:t>制造商和</w:t>
      </w:r>
      <w:r>
        <w:rPr>
          <w:rFonts w:hint="eastAsia" w:asciiTheme="minorEastAsia" w:hAnsiTheme="minorEastAsia" w:eastAsiaTheme="minorEastAsia" w:cstheme="minorEastAsia"/>
          <w:b/>
          <w:bCs/>
          <w:color w:val="000000"/>
          <w:kern w:val="0"/>
          <w:sz w:val="21"/>
          <w:szCs w:val="21"/>
          <w:lang w:bidi="ar"/>
        </w:rPr>
        <w:t>投标人公章</w:t>
      </w:r>
      <w:r>
        <w:rPr>
          <w:rFonts w:hint="eastAsia" w:ascii="宋体" w:hAnsi="宋体" w:cs="宋体"/>
          <w:b/>
          <w:bCs/>
          <w:color w:val="000000"/>
          <w:kern w:val="0"/>
          <w:sz w:val="21"/>
          <w:szCs w:val="21"/>
          <w:lang w:val="en-US" w:eastAsia="zh-CN" w:bidi="ar"/>
        </w:rPr>
        <w:t>。</w:t>
      </w:r>
      <w:r>
        <w:rPr>
          <w:rFonts w:ascii="宋体" w:hAnsi="宋体" w:eastAsia="宋体" w:cs="宋体"/>
          <w:b/>
          <w:bCs/>
          <w:color w:val="000000"/>
          <w:kern w:val="0"/>
          <w:sz w:val="21"/>
          <w:szCs w:val="21"/>
          <w:lang w:val="en-US" w:eastAsia="zh-CN" w:bidi="ar"/>
        </w:rPr>
        <w:t>中标后</w:t>
      </w:r>
      <w:r>
        <w:rPr>
          <w:rFonts w:hint="eastAsia" w:ascii="宋体" w:hAnsi="宋体" w:cs="宋体"/>
          <w:b/>
          <w:bCs/>
          <w:color w:val="000000"/>
          <w:kern w:val="0"/>
          <w:sz w:val="21"/>
          <w:szCs w:val="21"/>
          <w:lang w:val="en-US" w:eastAsia="zh-CN" w:bidi="ar"/>
        </w:rPr>
        <w:t>十</w:t>
      </w:r>
      <w:r>
        <w:rPr>
          <w:rFonts w:ascii="宋体" w:hAnsi="宋体" w:eastAsia="宋体" w:cs="宋体"/>
          <w:b/>
          <w:bCs/>
          <w:color w:val="000000"/>
          <w:kern w:val="0"/>
          <w:sz w:val="21"/>
          <w:szCs w:val="21"/>
          <w:lang w:val="en-US" w:eastAsia="zh-CN" w:bidi="ar"/>
        </w:rPr>
        <w:t>个工作日内，采购方有权</w:t>
      </w:r>
      <w:r>
        <w:rPr>
          <w:rFonts w:hint="eastAsia" w:ascii="宋体" w:hAnsi="宋体" w:cs="宋体"/>
          <w:b/>
          <w:bCs/>
          <w:color w:val="000000"/>
          <w:kern w:val="0"/>
          <w:sz w:val="21"/>
          <w:szCs w:val="21"/>
          <w:lang w:val="en-US" w:eastAsia="zh-CN" w:bidi="ar"/>
        </w:rPr>
        <w:t>对投标产品</w:t>
      </w:r>
      <w:r>
        <w:rPr>
          <w:rFonts w:ascii="宋体" w:hAnsi="宋体" w:eastAsia="宋体" w:cs="宋体"/>
          <w:b/>
          <w:bCs/>
          <w:color w:val="000000"/>
          <w:kern w:val="0"/>
          <w:sz w:val="21"/>
          <w:szCs w:val="21"/>
          <w:lang w:val="en-US" w:eastAsia="zh-CN" w:bidi="ar"/>
        </w:rPr>
        <w:t>进行功能性验证测试，对于不配合在要求时间内进行验证测试者和虚假应标者做废标处理，并追究其相应法律责任。</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EF" w:usb1="C0007841" w:usb2="00000009" w:usb3="00000000" w:csb0="400001FF" w:csb1="FFFF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704020202020204"/>
    <w:charset w:val="01"/>
    <w:family w:val="swiss"/>
    <w:pitch w:val="default"/>
    <w:sig w:usb0="E0002AFF" w:usb1="C0007843" w:usb2="00000009" w:usb3="00000000" w:csb0="400001FF" w:csb1="FFFF0000"/>
  </w:font>
  <w:font w:name="黑体">
    <w:altName w:val="汉仪中黑KW"/>
    <w:panose1 w:val="02010609060101010101"/>
    <w:charset w:val="86"/>
    <w:family w:val="auto"/>
    <w:pitch w:val="default"/>
    <w:sig w:usb0="800002BF" w:usb1="38CF7CFA" w:usb2="00000016" w:usb3="00000000" w:csb0="00040001" w:csb1="00000000"/>
  </w:font>
  <w:font w:name="Courier New">
    <w:panose1 w:val="020706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楷体_GB2312">
    <w:altName w:val="汉仪楷体简"/>
    <w:panose1 w:val="00000000000000000000"/>
    <w:charset w:val="86"/>
    <w:family w:val="modern"/>
    <w:pitch w:val="default"/>
    <w:sig w:usb0="00000000" w:usb1="00000000" w:usb2="00000000" w:usb3="00000000" w:csb0="00040000" w:csb1="00000000"/>
  </w:font>
  <w:font w:name="DengXian">
    <w:altName w:val="汉仪中等线KW"/>
    <w:panose1 w:val="02010600030101010101"/>
    <w:charset w:val="00"/>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微软雅黑">
    <w:altName w:val="汉仪旗黑"/>
    <w:panose1 w:val="020B0503020204020204"/>
    <w:charset w:val="86"/>
    <w:family w:val="swiss"/>
    <w:pitch w:val="default"/>
    <w:sig w:usb0="00000000" w:usb1="00000000" w:usb2="00000016" w:usb3="00000000" w:csb0="0004001F" w:csb1="00000000"/>
  </w:font>
  <w:font w:name="汉仪书宋二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汉仪旗黑">
    <w:panose1 w:val="00020600040101010101"/>
    <w:charset w:val="86"/>
    <w:family w:val="auto"/>
    <w:pitch w:val="default"/>
    <w:sig w:usb0="A00002BF" w:usb1="1ACF7CFA" w:usb2="00000016" w:usb3="00000000" w:csb0="0004009F" w:csb1="DFD70000"/>
  </w:font>
  <w:font w:name="汉仪中黑KW">
    <w:panose1 w:val="00020600040101010101"/>
    <w:charset w:val="86"/>
    <w:family w:val="auto"/>
    <w:pitch w:val="default"/>
    <w:sig w:usb0="A00002BF" w:usb1="18EF7CFA" w:usb2="00000016" w:usb3="00000000" w:csb0="00040000" w:csb1="00000000"/>
  </w:font>
  <w:font w:name="PingFang SC">
    <w:panose1 w:val="020B0400000000000000"/>
    <w:charset w:val="86"/>
    <w:family w:val="auto"/>
    <w:pitch w:val="default"/>
    <w:sig w:usb0="A00002FF" w:usb1="7ACFFDFB" w:usb2="00000017" w:usb3="00000000" w:csb0="00040001" w:csb1="00000000"/>
  </w:font>
  <w:font w:name="Tahoma">
    <w:panose1 w:val="020B0804030504040204"/>
    <w:charset w:val="00"/>
    <w:family w:val="auto"/>
    <w:pitch w:val="default"/>
    <w:sig w:usb0="E1002AFF" w:usb1="C000605B" w:usb2="00000029" w:usb3="00000000" w:csb0="200101FF" w:csb1="20280000"/>
  </w:font>
  <w:font w:name="Kingsoft Sign">
    <w:panose1 w:val="05050102010706020507"/>
    <w:charset w:val="00"/>
    <w:family w:val="auto"/>
    <w:pitch w:val="default"/>
    <w:sig w:usb0="00000000" w:usb1="10000000" w:usb2="00000000" w:usb3="00000000" w:csb0="00000001" w:csb1="00000000"/>
  </w:font>
  <w:font w:name="汉仪楷体简">
    <w:panose1 w:val="02010600000101010101"/>
    <w:charset w:val="86"/>
    <w:family w:val="auto"/>
    <w:pitch w:val="default"/>
    <w:sig w:usb0="00000001" w:usb1="080E0800" w:usb2="00000002" w:usb3="00000000" w:csb0="00040000" w:csb1="00000000"/>
  </w:font>
  <w:font w:name="汉仪中等线KW">
    <w:panose1 w:val="01010104010101010101"/>
    <w:charset w:val="86"/>
    <w:family w:val="auto"/>
    <w:pitch w:val="default"/>
    <w:sig w:usb0="800002BF" w:usb1="004F7CFA" w:usb2="00000000" w:usb3="00000000" w:csb0="00040001" w:csb1="00000000"/>
  </w:font>
  <w:font w:name="方正仿宋_GBK">
    <w:panose1 w:val="02000000000000000000"/>
    <w:charset w:val="86"/>
    <w:family w:val="auto"/>
    <w:pitch w:val="default"/>
    <w:sig w:usb0="A00002BF" w:usb1="38CF7CFA" w:usb2="00082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696158"/>
    <w:multiLevelType w:val="singleLevel"/>
    <w:tmpl w:val="8F696158"/>
    <w:lvl w:ilvl="0" w:tentative="0">
      <w:start w:val="1"/>
      <w:numFmt w:val="decimal"/>
      <w:lvlText w:val="%1."/>
      <w:lvlJc w:val="left"/>
      <w:pPr>
        <w:tabs>
          <w:tab w:val="left" w:pos="312"/>
        </w:tabs>
      </w:pPr>
    </w:lvl>
  </w:abstractNum>
  <w:abstractNum w:abstractNumId="1">
    <w:nsid w:val="A474EB42"/>
    <w:multiLevelType w:val="singleLevel"/>
    <w:tmpl w:val="A474EB42"/>
    <w:lvl w:ilvl="0" w:tentative="0">
      <w:start w:val="1"/>
      <w:numFmt w:val="decimal"/>
      <w:lvlText w:val="%1."/>
      <w:lvlJc w:val="left"/>
      <w:pPr>
        <w:tabs>
          <w:tab w:val="left" w:pos="312"/>
        </w:tabs>
      </w:pPr>
    </w:lvl>
  </w:abstractNum>
  <w:abstractNum w:abstractNumId="2">
    <w:nsid w:val="AAEEC915"/>
    <w:multiLevelType w:val="singleLevel"/>
    <w:tmpl w:val="AAEEC915"/>
    <w:lvl w:ilvl="0" w:tentative="0">
      <w:start w:val="1"/>
      <w:numFmt w:val="decimal"/>
      <w:lvlText w:val="%1."/>
      <w:lvlJc w:val="left"/>
      <w:pPr>
        <w:tabs>
          <w:tab w:val="left" w:pos="312"/>
        </w:tabs>
      </w:pPr>
    </w:lvl>
  </w:abstractNum>
  <w:abstractNum w:abstractNumId="3">
    <w:nsid w:val="B3760DBA"/>
    <w:multiLevelType w:val="singleLevel"/>
    <w:tmpl w:val="B3760DBA"/>
    <w:lvl w:ilvl="0" w:tentative="0">
      <w:start w:val="1"/>
      <w:numFmt w:val="decimal"/>
      <w:lvlText w:val="%1."/>
      <w:lvlJc w:val="left"/>
      <w:pPr>
        <w:tabs>
          <w:tab w:val="left" w:pos="312"/>
        </w:tabs>
      </w:pPr>
    </w:lvl>
  </w:abstractNum>
  <w:abstractNum w:abstractNumId="4">
    <w:nsid w:val="BFFD265F"/>
    <w:multiLevelType w:val="singleLevel"/>
    <w:tmpl w:val="BFFD265F"/>
    <w:lvl w:ilvl="0" w:tentative="0">
      <w:start w:val="1"/>
      <w:numFmt w:val="decimal"/>
      <w:lvlText w:val="%1."/>
      <w:lvlJc w:val="left"/>
      <w:pPr>
        <w:tabs>
          <w:tab w:val="left" w:pos="312"/>
        </w:tabs>
      </w:pPr>
    </w:lvl>
  </w:abstractNum>
  <w:abstractNum w:abstractNumId="5">
    <w:nsid w:val="DC7F486A"/>
    <w:multiLevelType w:val="singleLevel"/>
    <w:tmpl w:val="DC7F486A"/>
    <w:lvl w:ilvl="0" w:tentative="0">
      <w:start w:val="1"/>
      <w:numFmt w:val="decimal"/>
      <w:lvlText w:val="%1."/>
      <w:lvlJc w:val="left"/>
      <w:pPr>
        <w:tabs>
          <w:tab w:val="left" w:pos="312"/>
        </w:tabs>
      </w:pPr>
    </w:lvl>
  </w:abstractNum>
  <w:abstractNum w:abstractNumId="6">
    <w:nsid w:val="DE7F8507"/>
    <w:multiLevelType w:val="singleLevel"/>
    <w:tmpl w:val="DE7F8507"/>
    <w:lvl w:ilvl="0" w:tentative="0">
      <w:start w:val="1"/>
      <w:numFmt w:val="decimal"/>
      <w:lvlText w:val="%1."/>
      <w:lvlJc w:val="left"/>
      <w:pPr>
        <w:tabs>
          <w:tab w:val="left" w:pos="312"/>
        </w:tabs>
      </w:pPr>
    </w:lvl>
  </w:abstractNum>
  <w:abstractNum w:abstractNumId="7">
    <w:nsid w:val="DEFB1C64"/>
    <w:multiLevelType w:val="singleLevel"/>
    <w:tmpl w:val="DEFB1C64"/>
    <w:lvl w:ilvl="0" w:tentative="0">
      <w:start w:val="1"/>
      <w:numFmt w:val="decimal"/>
      <w:lvlText w:val="%1."/>
      <w:lvlJc w:val="left"/>
      <w:pPr>
        <w:tabs>
          <w:tab w:val="left" w:pos="312"/>
        </w:tabs>
      </w:pPr>
    </w:lvl>
  </w:abstractNum>
  <w:abstractNum w:abstractNumId="8">
    <w:nsid w:val="E1E8B914"/>
    <w:multiLevelType w:val="singleLevel"/>
    <w:tmpl w:val="E1E8B914"/>
    <w:lvl w:ilvl="0" w:tentative="0">
      <w:start w:val="1"/>
      <w:numFmt w:val="decimal"/>
      <w:lvlText w:val="%1."/>
      <w:lvlJc w:val="left"/>
      <w:pPr>
        <w:tabs>
          <w:tab w:val="left" w:pos="312"/>
        </w:tabs>
      </w:pPr>
    </w:lvl>
  </w:abstractNum>
  <w:abstractNum w:abstractNumId="9">
    <w:nsid w:val="F7AE2ED0"/>
    <w:multiLevelType w:val="singleLevel"/>
    <w:tmpl w:val="F7AE2ED0"/>
    <w:lvl w:ilvl="0" w:tentative="0">
      <w:start w:val="1"/>
      <w:numFmt w:val="decimal"/>
      <w:lvlText w:val="%1."/>
      <w:lvlJc w:val="left"/>
      <w:pPr>
        <w:tabs>
          <w:tab w:val="left" w:pos="312"/>
        </w:tabs>
      </w:pPr>
    </w:lvl>
  </w:abstractNum>
  <w:abstractNum w:abstractNumId="10">
    <w:nsid w:val="FBFB297A"/>
    <w:multiLevelType w:val="singleLevel"/>
    <w:tmpl w:val="FBFB297A"/>
    <w:lvl w:ilvl="0" w:tentative="0">
      <w:start w:val="1"/>
      <w:numFmt w:val="decimal"/>
      <w:lvlText w:val="%1."/>
      <w:lvlJc w:val="left"/>
      <w:pPr>
        <w:tabs>
          <w:tab w:val="left" w:pos="312"/>
        </w:tabs>
      </w:pPr>
    </w:lvl>
  </w:abstractNum>
  <w:abstractNum w:abstractNumId="11">
    <w:nsid w:val="FD9E6007"/>
    <w:multiLevelType w:val="singleLevel"/>
    <w:tmpl w:val="FD9E6007"/>
    <w:lvl w:ilvl="0" w:tentative="0">
      <w:start w:val="1"/>
      <w:numFmt w:val="decimal"/>
      <w:lvlText w:val="%1."/>
      <w:lvlJc w:val="left"/>
      <w:pPr>
        <w:tabs>
          <w:tab w:val="left" w:pos="312"/>
        </w:tabs>
      </w:pPr>
    </w:lvl>
  </w:abstractNum>
  <w:abstractNum w:abstractNumId="12">
    <w:nsid w:val="FEFA0F29"/>
    <w:multiLevelType w:val="singleLevel"/>
    <w:tmpl w:val="FEFA0F29"/>
    <w:lvl w:ilvl="0" w:tentative="0">
      <w:start w:val="1"/>
      <w:numFmt w:val="decimal"/>
      <w:lvlText w:val="%1."/>
      <w:lvlJc w:val="left"/>
      <w:pPr>
        <w:tabs>
          <w:tab w:val="left" w:pos="312"/>
        </w:tabs>
      </w:pPr>
    </w:lvl>
  </w:abstractNum>
  <w:abstractNum w:abstractNumId="13">
    <w:nsid w:val="FFDD148A"/>
    <w:multiLevelType w:val="singleLevel"/>
    <w:tmpl w:val="FFDD148A"/>
    <w:lvl w:ilvl="0" w:tentative="0">
      <w:start w:val="1"/>
      <w:numFmt w:val="decimal"/>
      <w:lvlText w:val="%1."/>
      <w:lvlJc w:val="left"/>
      <w:pPr>
        <w:tabs>
          <w:tab w:val="left" w:pos="312"/>
        </w:tabs>
      </w:pPr>
    </w:lvl>
  </w:abstractNum>
  <w:abstractNum w:abstractNumId="14">
    <w:nsid w:val="517301D2"/>
    <w:multiLevelType w:val="singleLevel"/>
    <w:tmpl w:val="517301D2"/>
    <w:lvl w:ilvl="0" w:tentative="0">
      <w:start w:val="1"/>
      <w:numFmt w:val="decimal"/>
      <w:lvlText w:val="%1."/>
      <w:lvlJc w:val="left"/>
      <w:pPr>
        <w:tabs>
          <w:tab w:val="left" w:pos="312"/>
        </w:tabs>
      </w:pPr>
    </w:lvl>
  </w:abstractNum>
  <w:abstractNum w:abstractNumId="15">
    <w:nsid w:val="76FF6CAE"/>
    <w:multiLevelType w:val="singleLevel"/>
    <w:tmpl w:val="76FF6CAE"/>
    <w:lvl w:ilvl="0" w:tentative="0">
      <w:start w:val="1"/>
      <w:numFmt w:val="decimal"/>
      <w:lvlText w:val="%1."/>
      <w:lvlJc w:val="left"/>
      <w:pPr>
        <w:tabs>
          <w:tab w:val="left" w:pos="312"/>
        </w:tabs>
      </w:pPr>
    </w:lvl>
  </w:abstractNum>
  <w:abstractNum w:abstractNumId="16">
    <w:nsid w:val="7AF0E6CD"/>
    <w:multiLevelType w:val="singleLevel"/>
    <w:tmpl w:val="7AF0E6CD"/>
    <w:lvl w:ilvl="0" w:tentative="0">
      <w:start w:val="1"/>
      <w:numFmt w:val="decimal"/>
      <w:lvlText w:val="%1."/>
      <w:lvlJc w:val="left"/>
      <w:pPr>
        <w:tabs>
          <w:tab w:val="left" w:pos="312"/>
        </w:tabs>
      </w:pPr>
    </w:lvl>
  </w:abstractNum>
  <w:abstractNum w:abstractNumId="17">
    <w:nsid w:val="7DFFC763"/>
    <w:multiLevelType w:val="singleLevel"/>
    <w:tmpl w:val="7DFFC763"/>
    <w:lvl w:ilvl="0" w:tentative="0">
      <w:start w:val="1"/>
      <w:numFmt w:val="decimal"/>
      <w:lvlText w:val="%1."/>
      <w:lvlJc w:val="left"/>
      <w:pPr>
        <w:tabs>
          <w:tab w:val="left" w:pos="312"/>
        </w:tabs>
      </w:pPr>
    </w:lvl>
  </w:abstractNum>
  <w:num w:numId="1">
    <w:abstractNumId w:val="8"/>
  </w:num>
  <w:num w:numId="2">
    <w:abstractNumId w:val="7"/>
  </w:num>
  <w:num w:numId="3">
    <w:abstractNumId w:val="10"/>
  </w:num>
  <w:num w:numId="4">
    <w:abstractNumId w:val="17"/>
  </w:num>
  <w:num w:numId="5">
    <w:abstractNumId w:val="15"/>
  </w:num>
  <w:num w:numId="6">
    <w:abstractNumId w:val="14"/>
  </w:num>
  <w:num w:numId="7">
    <w:abstractNumId w:val="3"/>
  </w:num>
  <w:num w:numId="8">
    <w:abstractNumId w:val="5"/>
  </w:num>
  <w:num w:numId="9">
    <w:abstractNumId w:val="11"/>
  </w:num>
  <w:num w:numId="10">
    <w:abstractNumId w:val="1"/>
  </w:num>
  <w:num w:numId="11">
    <w:abstractNumId w:val="16"/>
  </w:num>
  <w:num w:numId="12">
    <w:abstractNumId w:val="0"/>
  </w:num>
  <w:num w:numId="13">
    <w:abstractNumId w:val="12"/>
  </w:num>
  <w:num w:numId="14">
    <w:abstractNumId w:val="6"/>
  </w:num>
  <w:num w:numId="15">
    <w:abstractNumId w:val="2"/>
  </w:num>
  <w:num w:numId="16">
    <w:abstractNumId w:val="9"/>
  </w:num>
  <w:num w:numId="17">
    <w:abstractNumId w:val="4"/>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FDF86C8"/>
    <w:rsid w:val="04FF082E"/>
    <w:rsid w:val="4EFBF7FE"/>
    <w:rsid w:val="5CD4D857"/>
    <w:rsid w:val="5FFDB473"/>
    <w:rsid w:val="AFFFDDFB"/>
    <w:rsid w:val="D2FBFF81"/>
    <w:rsid w:val="EF9FF08C"/>
    <w:rsid w:val="F47E2D15"/>
    <w:rsid w:val="FFDF86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annotation text"/>
    <w:basedOn w:val="1"/>
    <w:qFormat/>
    <w:uiPriority w:val="99"/>
    <w:pPr>
      <w:jc w:val="left"/>
    </w:pPr>
    <w:rPr>
      <w:rFonts w:ascii="Times New Roman" w:hAnsi="Times New Roman" w:eastAsia="楷体_GB2312"/>
      <w:szCs w:val="20"/>
    </w:rPr>
  </w:style>
  <w:style w:type="paragraph" w:styleId="3">
    <w:name w:val="Normal (Web)"/>
    <w:basedOn w:val="1"/>
    <w:unhideWhenUsed/>
    <w:qFormat/>
    <w:uiPriority w:val="99"/>
    <w:pPr>
      <w:spacing w:before="100" w:beforeAutospacing="1" w:after="100" w:afterAutospacing="1"/>
    </w:pPr>
    <w:rPr>
      <w:rFonts w:ascii="DengXian" w:hAnsi="DengXian" w:eastAsia="DengXian" w:cs="Times New Roman"/>
      <w:szCs w:val="22"/>
    </w:rPr>
  </w:style>
  <w:style w:type="character" w:styleId="6">
    <w:name w:val="annotation reference"/>
    <w:unhideWhenUsed/>
    <w:qFormat/>
    <w:uiPriority w:val="99"/>
    <w:rPr>
      <w:sz w:val="21"/>
      <w:szCs w:val="21"/>
    </w:rPr>
  </w:style>
  <w:style w:type="paragraph" w:customStyle="1" w:styleId="7">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styleId="8">
    <w:name w:val="List Paragraph"/>
    <w:basedOn w:val="1"/>
    <w:qFormat/>
    <w:uiPriority w:val="34"/>
    <w:pPr>
      <w:ind w:firstLine="420" w:firstLineChars="200"/>
    </w:pPr>
    <w:rPr>
      <w:rFonts w:ascii="DengXian" w:hAnsi="DengXian" w:eastAsia="DengXian" w:cs="Times New Roman"/>
      <w:szCs w:val="22"/>
    </w:rPr>
  </w:style>
  <w:style w:type="paragraph" w:customStyle="1" w:styleId="9">
    <w:name w:val="正文（深信服科技）"/>
    <w:link w:val="10"/>
    <w:qFormat/>
    <w:uiPriority w:val="0"/>
    <w:pPr>
      <w:adjustRightInd w:val="0"/>
      <w:snapToGrid w:val="0"/>
      <w:spacing w:line="360" w:lineRule="auto"/>
      <w:ind w:firstLine="480" w:firstLineChars="200"/>
      <w:jc w:val="both"/>
    </w:pPr>
    <w:rPr>
      <w:rFonts w:ascii="Times New Roman" w:hAnsi="Times New Roman" w:eastAsia="宋体" w:cs="Times New Roman"/>
      <w:kern w:val="0"/>
      <w:sz w:val="24"/>
      <w:szCs w:val="21"/>
      <w:lang w:val="en-US" w:eastAsia="zh-CN" w:bidi="ar-SA"/>
    </w:rPr>
  </w:style>
  <w:style w:type="character" w:customStyle="1" w:styleId="10">
    <w:name w:val="正文（深信服科技） 字符"/>
    <w:link w:val="9"/>
    <w:qFormat/>
    <w:uiPriority w:val="0"/>
    <w:rPr>
      <w:rFonts w:ascii="Times New Roman" w:hAnsi="Times New Roman" w:eastAsia="宋体" w:cs="Times New Roman"/>
      <w:kern w:val="0"/>
      <w:sz w:val="24"/>
      <w:szCs w:val="21"/>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47</TotalTime>
  <ScaleCrop>false</ScaleCrop>
  <LinksUpToDate>false</LinksUpToDate>
  <CharactersWithSpaces>0</CharactersWithSpaces>
  <Application>WPS Office_6.4.0.8550_F1E327BC-269C-435d-A152-05C5408002CA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2024-07-07T20:33:00Z</dcterms:created>
  <dc:creator>zhao</dc:creator>
  <cp:lastModifiedBy>zhao</cp:lastModifiedBy>
  <dcterms:modified xsi:type="dcterms:W3CDTF">2025-04-08T14:44:12Z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2052-6.4.0.8550</vt:lpwstr>
  </property>
  <property fmtid="{D5CDD505-2E9C-101B-9397-08002B2CF9AE}" pid="3" name="ICV">
    <vt:lpwstr>5485EBC10D14C20FBCC5F46741735EAF_43</vt:lpwstr>
  </property>
</Properties>
</file>