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4C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阜康市第二中学新建艺体楼、消防水池及配套附属设施设备建设项目—放线、竣工验收等测绘服务竞价公告</w:t>
      </w:r>
    </w:p>
    <w:p w14:paraId="65E280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default"/>
          <w:lang w:val="en-US" w:eastAsia="zh-CN"/>
        </w:rPr>
      </w:pPr>
    </w:p>
    <w:p w14:paraId="19B086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买家留言:</w:t>
      </w:r>
    </w:p>
    <w:p w14:paraId="1C7615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项目：“阜康市第二中学新建艺体楼、消防水池及配套附属设施设备建设项目”放线、竣工验收等测绘服务。</w:t>
      </w:r>
    </w:p>
    <w:p w14:paraId="674458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服务地点：阜康市第二中学院内。</w:t>
      </w:r>
    </w:p>
    <w:p w14:paraId="490C850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服务内容：放线（验线、复线、校线、±0等），竣工验收测绘所有项目，房产测量测绘所有项目，落宗测绘所有项目，以及以上项目的相关报告文本；</w:t>
      </w:r>
    </w:p>
    <w:p w14:paraId="036355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为了避免低价低质恶性竞争，请各报价单位实事求是进行报价，如有违反市场价格规律超低价恶意中标后，又不能按招标人要求提供合格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服务，一律按无效标处理，并上报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45D6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测绘相关工作产生的所有费用，不得再以任何理由追加服务费。</w:t>
      </w:r>
    </w:p>
    <w:p w14:paraId="0B6BAF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由于本项目工期紧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任务重，为保证项目质量，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参标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单位需对项目提前勘察，充分了解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情况，中标后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开展工作时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提出异议。</w:t>
      </w:r>
    </w:p>
    <w:p w14:paraId="403FC61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响应附件要求:</w:t>
      </w:r>
    </w:p>
    <w:p w14:paraId="5461DA4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经营范围里包含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）。</w:t>
      </w:r>
    </w:p>
    <w:p w14:paraId="438ECC16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须同时具有并提供有效的土地规划乙级及以上和测绘乙级(类别:测绘航空摄影、工程测量、界线与不动产测绘、地理信息系统工程)及以上资质证书。</w:t>
      </w:r>
    </w:p>
    <w:p w14:paraId="02530E92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须具有民航部门颁发的通用航空企业经营许可证。</w:t>
      </w:r>
    </w:p>
    <w:p w14:paraId="7AA1214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项目负责人具备能与本项目相匹配的测绘专业高级及以上技术职称，具有近连续三个月在职单位个人社保证明（退休人员提供退休证及聘用证书）。</w:t>
      </w:r>
    </w:p>
    <w:p w14:paraId="2FC11C62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符合《中华人民共和国政府采购法》第二十二条的规定承诺书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E9B528F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“信用中国”网站未被列入失信名单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“中国政府采购网”网站未被列入政府采购严重违法失信行为记录名单的查询截图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33D676D9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上传报价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明细清单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5A85CFE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本项目不接受联合体投标。</w:t>
      </w:r>
    </w:p>
    <w:p w14:paraId="75948C91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并上传。</w:t>
      </w:r>
    </w:p>
    <w:p w14:paraId="29615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商务要求：</w:t>
      </w:r>
    </w:p>
    <w:p w14:paraId="3192CF5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中标方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必须对放线、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竣工验收测绘，房产测量，落宗测绘等项目提供相关报告文本。</w:t>
      </w:r>
    </w:p>
    <w:p w14:paraId="744630A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提供的测绘成果应符合国家及地方现行的相关测绘规范和标准。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自合同签订之日起，7天内完成放线工作，并提交放线成果报告。</w:t>
      </w:r>
    </w:p>
    <w:p w14:paraId="6F677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3.在项目竣工验收阶段，接到采购人通知后7天内完成测绘工作，并出具竣工验收测绘报告，以确保项目能够按时完成竣工验收流程。</w:t>
      </w:r>
    </w:p>
    <w:p w14:paraId="7B523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的成果文件包括测绘报告、图纸（如放线图、竣工图等），且图纸应清晰准确，标注完整，采用规范的图例和符号。成果文件的格式应满足采购人及相关部门存档和使用的要求。</w:t>
      </w:r>
    </w:p>
    <w:p w14:paraId="738AD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5.中标方必需全力配合甲方完成竣工验收相关等工作，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竣工验收相关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工作中急需处理相关事务时，中标方必需在当天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并给出解决方案。</w:t>
      </w:r>
    </w:p>
    <w:p w14:paraId="18D8AD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资质要求：</w:t>
      </w:r>
    </w:p>
    <w:p w14:paraId="287A5E3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有正规的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经营范围里包含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），有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依法注册的独立法人。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4A9F8"/>
    <w:multiLevelType w:val="multilevel"/>
    <w:tmpl w:val="DE94A9F8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sz w:val="32"/>
        <w:szCs w:val="32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E1FCEDB9"/>
    <w:multiLevelType w:val="singleLevel"/>
    <w:tmpl w:val="E1FCEDB9"/>
    <w:lvl w:ilvl="0" w:tentative="0">
      <w:start w:val="1"/>
      <w:numFmt w:val="decimal"/>
      <w:suff w:val="nothing"/>
      <w:lvlText w:val="%1."/>
      <w:lvlJc w:val="left"/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F8EFB498"/>
    <w:multiLevelType w:val="singleLevel"/>
    <w:tmpl w:val="F8EFB4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05CBA0C"/>
    <w:multiLevelType w:val="singleLevel"/>
    <w:tmpl w:val="205CBA0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8E1EE23"/>
    <w:multiLevelType w:val="singleLevel"/>
    <w:tmpl w:val="28E1EE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jA0ODExNDk4NDQ3NzRiZTM2ODI3MGEzNWQwYzkifQ=="/>
  </w:docVars>
  <w:rsids>
    <w:rsidRoot w:val="43521AF3"/>
    <w:rsid w:val="009A7F43"/>
    <w:rsid w:val="037339FA"/>
    <w:rsid w:val="06293905"/>
    <w:rsid w:val="085F7E23"/>
    <w:rsid w:val="08FA23F7"/>
    <w:rsid w:val="0983332C"/>
    <w:rsid w:val="0D243547"/>
    <w:rsid w:val="0ED50374"/>
    <w:rsid w:val="101021EB"/>
    <w:rsid w:val="13E175CD"/>
    <w:rsid w:val="169E2067"/>
    <w:rsid w:val="1AE87493"/>
    <w:rsid w:val="1C297D63"/>
    <w:rsid w:val="1D1F0EF4"/>
    <w:rsid w:val="1D940A75"/>
    <w:rsid w:val="1E6908EA"/>
    <w:rsid w:val="1E984D2C"/>
    <w:rsid w:val="1F775289"/>
    <w:rsid w:val="21142C75"/>
    <w:rsid w:val="21E309B4"/>
    <w:rsid w:val="22BA5474"/>
    <w:rsid w:val="24710ED7"/>
    <w:rsid w:val="24A3442A"/>
    <w:rsid w:val="25537BFE"/>
    <w:rsid w:val="27E64D5A"/>
    <w:rsid w:val="28015A2B"/>
    <w:rsid w:val="2B1D1810"/>
    <w:rsid w:val="2B861A47"/>
    <w:rsid w:val="2F5567DC"/>
    <w:rsid w:val="342226C8"/>
    <w:rsid w:val="34722917"/>
    <w:rsid w:val="35923B0A"/>
    <w:rsid w:val="35A1628C"/>
    <w:rsid w:val="373B6744"/>
    <w:rsid w:val="38926838"/>
    <w:rsid w:val="38A071A7"/>
    <w:rsid w:val="3A015A23"/>
    <w:rsid w:val="3B422BF2"/>
    <w:rsid w:val="3C5F2ED5"/>
    <w:rsid w:val="3CE65AD8"/>
    <w:rsid w:val="3D0F4168"/>
    <w:rsid w:val="414523E0"/>
    <w:rsid w:val="423A6A2E"/>
    <w:rsid w:val="430621A2"/>
    <w:rsid w:val="43521AF3"/>
    <w:rsid w:val="44BE2421"/>
    <w:rsid w:val="47A212C3"/>
    <w:rsid w:val="4B3F169B"/>
    <w:rsid w:val="4FF419BE"/>
    <w:rsid w:val="52621606"/>
    <w:rsid w:val="52A336C4"/>
    <w:rsid w:val="53C038D9"/>
    <w:rsid w:val="53D61877"/>
    <w:rsid w:val="54207EFD"/>
    <w:rsid w:val="55F12998"/>
    <w:rsid w:val="56DB1AD7"/>
    <w:rsid w:val="583F3E8F"/>
    <w:rsid w:val="5AD34A27"/>
    <w:rsid w:val="5C82259C"/>
    <w:rsid w:val="5E2B438A"/>
    <w:rsid w:val="6162299C"/>
    <w:rsid w:val="64460353"/>
    <w:rsid w:val="65671E10"/>
    <w:rsid w:val="6DD83DB7"/>
    <w:rsid w:val="6F0203A3"/>
    <w:rsid w:val="6F800BBD"/>
    <w:rsid w:val="7238577F"/>
    <w:rsid w:val="72F759AB"/>
    <w:rsid w:val="745A5E80"/>
    <w:rsid w:val="77443A66"/>
    <w:rsid w:val="779A47E6"/>
    <w:rsid w:val="77CC3469"/>
    <w:rsid w:val="782D7408"/>
    <w:rsid w:val="79152263"/>
    <w:rsid w:val="79982243"/>
    <w:rsid w:val="7A5944E4"/>
    <w:rsid w:val="7BBD1186"/>
    <w:rsid w:val="7EC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24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customStyle="1" w:styleId="6">
    <w:name w:val="Char"/>
    <w:basedOn w:val="1"/>
    <w:unhideWhenUsed/>
    <w:qFormat/>
    <w:uiPriority w:val="0"/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1014</Characters>
  <Lines>0</Lines>
  <Paragraphs>0</Paragraphs>
  <TotalTime>5</TotalTime>
  <ScaleCrop>false</ScaleCrop>
  <LinksUpToDate>false</LinksUpToDate>
  <CharactersWithSpaces>1014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2024-04-17T01:53:00Z</dcterms:created>
  <dc:creator>WPS_1635161926</dc:creator>
  <cp:lastModifiedBy>阜康</cp:lastModifiedBy>
  <dcterms:modified xsi:type="dcterms:W3CDTF">2025-05-26T11:47:05Z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1911448D02FC4F47B3E327A82495A9FF_13</vt:lpwstr>
  </property>
  <property fmtid="{D5CDD505-2E9C-101B-9397-08002B2CF9AE}" pid="4" name="KSOTemplateDocerSaveRecord">
    <vt:lpwstr>eyJoZGlkIjoiOTc0NjA0ODExNDk4NDQ3NzRiZTM2ODI3MGEzNWQwYzkiLCJ1c2VySWQiOiI0NTgxMjYxMjUifQ==</vt:lpwstr>
  </property>
</Properties>
</file>