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  <w:tab w:val="left" w:pos="993"/>
          <w:tab w:val="left" w:pos="1134"/>
        </w:tabs>
        <w:spacing w:line="560" w:lineRule="exact"/>
        <w:ind w:firstLine="600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44"/>
          <w:szCs w:val="44"/>
        </w:rPr>
        <w:t>采购需求</w:t>
      </w:r>
    </w:p>
    <w:p>
      <w:pPr>
        <w:pStyle w:val="4"/>
        <w:tabs>
          <w:tab w:val="left" w:pos="0"/>
          <w:tab w:val="left" w:pos="993"/>
          <w:tab w:val="left" w:pos="1134"/>
        </w:tabs>
        <w:spacing w:line="560" w:lineRule="exact"/>
        <w:ind w:firstLine="600"/>
        <w:jc w:val="center"/>
        <w:rPr>
          <w:rFonts w:hint="eastAsia" w:ascii="仿宋" w:hAnsi="仿宋" w:eastAsia="仿宋"/>
          <w:bCs/>
          <w:color w:val="000000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993"/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（1）固定资产清查审计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 xml:space="preserve"> （固定资产卡片条数7628条）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993"/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①对本单位的固定资产进行全面现场清理和核查；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993"/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②对清理出来的固定资产损溢出具经济鉴证证明；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993"/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③出具固定资产清查审计报告，完善制度及指导账务处理；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993"/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④协助本单位在财政国资部门办理资产核销事宜；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67"/>
          <w:tab w:val="left" w:pos="993"/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firstLine="0" w:firstLineChars="0"/>
        <w:textAlignment w:val="auto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⑤完成固定资产贴码工作；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67"/>
          <w:tab w:val="left" w:pos="993"/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（2）财务收支审计（2023年度保障经费支出144.36万元）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993"/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 w:firstLineChars="189"/>
        <w:textAlignment w:val="auto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对本校2023年度保障经费支出的合规性进行审计，同时对内部管理提出合理化建议，出具审计报告后指导和帮助需要整改事项。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07AA9"/>
    <w:rsid w:val="25307AA9"/>
    <w:rsid w:val="3A44325B"/>
    <w:rsid w:val="5751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2024-05-10T10:20:00Z</dcterms:created>
  <dc:creator>qzuser</dc:creator>
  <cp:lastModifiedBy>qzuser</cp:lastModifiedBy>
  <dcterms:modified xsi:type="dcterms:W3CDTF">2024-05-10T10:23:37Z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