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新疆医科大学第一附属昌吉分院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化粪池污泥清淤服务项目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招标采购要求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一、招标单位：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新疆医科大学第一附属医院昌吉分院（昌吉市第二人民医院、昌吉市中医医院）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二、招标项目名称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新疆医科大学第一附属医院昌吉分院化粪池污泥清淤服务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三、项目招标预算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控制在人民币20万元以内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、资质要求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1.投标人应符合政府采购第二十二条规定；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2.具有独立承担民事责任的能力；（提供营业执照复印件）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须提供污泥处置单位接收医疗污泥的协议（协议须提供复印件加盖投标人公章、原件备查）；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4.投标人应具有污水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处理工证书，人员需持证上岗，提供证书原件；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5.具有良好的商业信誉和健全的财务会计制度；（提供承诺函及会计师事务所出具的2023年度财务审计报告）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6.具有履行合同所必需的设备和专业技术能力；（提供承诺函）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7.有依法缴纳税收和社会保障资金的良好记录；（提供承诺函）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8.到投标截止时间止前，未被列入“信用中国”（www.creditchina.gov.cn）的“失信被执行名单”、“企业经营异常名录”、“重大税收违法案件当事人名单”、“政府采购严重违法失信名单”其中之一；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9.符合国家有关法律法规的规定；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10.本项目不接受联合体投标；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11.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12.上传统一采购报价单（见附件）;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13.认真解读文件，一次性提交相关投标文件，不支持二次提交。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注：资质要求需提供的内容必须加盖公章“扫描”并以PDF格式打包上传，确保上传材料清晰（承诺函格式自拟）。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本次招标范围为新疆医科大学第一附属医院昌吉分院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化粪池污泥清淤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。为保证医院污水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排放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正常运行，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具体服务内容如下：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561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严格按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医院污泥清理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规程及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处置要求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进行操；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医院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5座化粪池进行污泥清理、化粪池冲洗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并承担由此引起的材料费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转运费、水质检测费等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相关费用。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56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污水池内污泥的清理处置：为确保污水站正常运行，水质达标排放，需每年定期对污水站污泥进行清理并交给有资质的单位处置。污水站运行过程中产生的污泥属于危险废物（废物类别HW01，废物代码841-001-01），受医院委托进行《新疆维吾尔自治区固体废物动态信息管理平台》危险废物管理计划的申报和清淤相关的环保施工手续的办理，清理出的污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进行无害化处置。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56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3.周边环境保护：确保清淤时的环境无异味。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服务要求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1" w:firstLineChars="1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人员要求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项目管理人员必须熟知污泥泄漏风险事故隐患及应急处置措施，配备的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操作人员需经过污泥清淤处置专业培训，持证上岗。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配备的人员年龄应在45岁以下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健康状况须满足本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要求。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00" w:firstLineChars="31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安全与防护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措施要求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必须遵守甲方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院感部门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制定的安全与防护相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的规章制度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及管理措施。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2.化粪池污泥清淤时需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配备完整的防护用品（包括防护消耗品）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及用具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，做好个人安全防护措施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1" w:firstLineChars="1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事故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应急预案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/应急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演练管理要求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制定有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泄露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事故发生的紧急和应急预案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制定有人员紧急救护措施、流程预案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制定有设备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故障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抢修预案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新疆医科大学第一附属医院昌吉分院院内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after="0" w:line="560" w:lineRule="exact"/>
        <w:ind w:left="0" w:leftChars="0" w:right="0" w:rightChars="0"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八、服务期限：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自合同签订起三年内有效；甲方通知开始服务起2个月内完成化粪池清淤，服务期限结束终止。</w:t>
      </w:r>
    </w:p>
    <w:p>
      <w:pPr>
        <w:keepNext w:val="0"/>
        <w:keepLines w:val="0"/>
        <w:pageBreakBefore w:val="0"/>
        <w:widowControl w:val="0"/>
        <w:tabs>
          <w:tab w:val="left" w:pos="26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九、其他要求：</w:t>
      </w:r>
    </w:p>
    <w:p>
      <w:pPr>
        <w:keepNext w:val="0"/>
        <w:keepLines w:val="0"/>
        <w:pageBreakBefore w:val="0"/>
        <w:widowControl w:val="0"/>
        <w:tabs>
          <w:tab w:val="left" w:pos="26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要求乙方在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合同期内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如因乙方未按合同条款履约或不服从、不配合甲方管理</w:t>
      </w:r>
      <w:r>
        <w:rPr>
          <w:rFonts w:hint="eastAsia" w:ascii="仿宋" w:hAnsi="仿宋" w:eastAsia="仿宋" w:cs="仿宋"/>
          <w:sz w:val="32"/>
          <w:szCs w:val="32"/>
        </w:rPr>
        <w:t>，甲方有权拒绝支付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合同</w:t>
      </w:r>
      <w:r>
        <w:rPr>
          <w:rFonts w:hint="eastAsia" w:ascii="仿宋" w:hAnsi="仿宋" w:eastAsia="仿宋" w:cs="仿宋"/>
          <w:sz w:val="32"/>
          <w:szCs w:val="32"/>
        </w:rPr>
        <w:t>款，并有权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终止合同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eastAsia="仿宋" w:cs="Times New Roman"/>
          <w:sz w:val="32"/>
          <w:szCs w:val="32"/>
          <w:lang w:eastAsia="zh-CN"/>
        </w:rPr>
        <w:t>化粪池污泥清淤</w:t>
      </w:r>
      <w:r>
        <w:rPr>
          <w:rFonts w:hint="default" w:ascii="Times New Roman" w:hAnsi="Times New Roman" w:eastAsia="仿宋" w:cs="Times New Roman"/>
          <w:sz w:val="32"/>
          <w:szCs w:val="32"/>
        </w:rPr>
        <w:t>期间如因</w:t>
      </w:r>
      <w:r>
        <w:rPr>
          <w:rFonts w:hint="eastAsia" w:eastAsia="仿宋" w:cs="Times New Roman"/>
          <w:sz w:val="32"/>
          <w:szCs w:val="32"/>
          <w:lang w:eastAsia="zh-CN"/>
        </w:rPr>
        <w:t>中标</w:t>
      </w:r>
      <w:r>
        <w:rPr>
          <w:rFonts w:hint="default" w:ascii="Times New Roman" w:hAnsi="Times New Roman" w:eastAsia="仿宋" w:cs="Times New Roman"/>
          <w:sz w:val="32"/>
          <w:szCs w:val="32"/>
        </w:rPr>
        <w:t>单位管理不善导致排放水质不符合排放标准，污泥处置措施不符合规定，造成监管部门处罚由</w:t>
      </w:r>
      <w:r>
        <w:rPr>
          <w:rFonts w:hint="eastAsia" w:eastAsia="仿宋" w:cs="Times New Roman"/>
          <w:sz w:val="32"/>
          <w:szCs w:val="32"/>
          <w:lang w:eastAsia="zh-CN"/>
        </w:rPr>
        <w:t>中标</w:t>
      </w:r>
      <w:r>
        <w:rPr>
          <w:rFonts w:hint="default" w:ascii="Times New Roman" w:hAnsi="Times New Roman" w:eastAsia="仿宋" w:cs="Times New Roman"/>
          <w:sz w:val="32"/>
          <w:szCs w:val="32"/>
        </w:rPr>
        <w:t>单位承担全部处罚费用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、付款方式</w:t>
      </w:r>
    </w:p>
    <w:p>
      <w:pPr>
        <w:keepNext w:val="0"/>
        <w:keepLines w:val="0"/>
        <w:pageBreakBefore w:val="0"/>
        <w:widowControl w:val="0"/>
        <w:tabs>
          <w:tab w:val="left" w:pos="26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合同付款方式：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自合同签订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化粪池清淤结束后，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经甲方验收合格后，且收到乙方提供的正规完税发票后付全部合同</w:t>
      </w:r>
      <w:r>
        <w:rPr>
          <w:rFonts w:hint="eastAsia" w:ascii="仿宋" w:hAnsi="仿宋" w:eastAsia="仿宋" w:cs="仿宋"/>
          <w:bCs/>
          <w:sz w:val="32"/>
          <w:szCs w:val="32"/>
        </w:rPr>
        <w:t>款。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采购报价单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附件：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采购报价单</w:t>
      </w:r>
    </w:p>
    <w:p>
      <w:pPr>
        <w:pStyle w:val="4"/>
        <w:pageBreakBefore w:val="0"/>
        <w:kinsoku/>
        <w:wordWrap/>
        <w:overflowPunct/>
        <w:topLinePunct w:val="0"/>
        <w:bidi w:val="0"/>
        <w:ind w:left="0" w:leftChars="0" w:right="0" w:rightChars="0"/>
        <w:rPr>
          <w:rFonts w:hint="eastAsia" w:ascii="Arial" w:hAnsi="Arial" w:cs="Arial"/>
          <w:b/>
          <w:bCs/>
          <w:sz w:val="24"/>
          <w:highlight w:val="none"/>
          <w:lang w:eastAsia="zh-CN"/>
        </w:rPr>
      </w:pPr>
    </w:p>
    <w:p>
      <w:pPr>
        <w:pStyle w:val="4"/>
        <w:pageBreakBefore w:val="0"/>
        <w:kinsoku/>
        <w:wordWrap/>
        <w:overflowPunct/>
        <w:topLinePunct w:val="0"/>
        <w:bidi w:val="0"/>
        <w:ind w:left="0" w:leftChars="0" w:right="0" w:rightChars="0"/>
        <w:rPr>
          <w:rFonts w:hint="eastAsia" w:ascii="Arial" w:hAnsi="Arial" w:eastAsia="宋体" w:cs="Arial"/>
          <w:b/>
          <w:bCs/>
          <w:i w:val="0"/>
          <w:iCs w:val="0"/>
          <w:color w:val="000000"/>
          <w:sz w:val="21"/>
          <w:szCs w:val="21"/>
          <w:u w:val="none"/>
          <w:lang w:eastAsia="zh-CN"/>
        </w:rPr>
      </w:pPr>
      <w:r>
        <w:rPr>
          <w:rFonts w:hint="eastAsia" w:ascii="Arial" w:hAnsi="Arial" w:cs="Arial"/>
          <w:b/>
          <w:bCs/>
          <w:sz w:val="24"/>
          <w:highlight w:val="none"/>
          <w:lang w:eastAsia="zh-CN"/>
        </w:rPr>
        <w:t>供应商</w:t>
      </w:r>
      <w:r>
        <w:rPr>
          <w:rFonts w:ascii="Arial" w:hAnsi="Arial" w:cs="Arial"/>
          <w:b/>
          <w:bCs/>
          <w:sz w:val="24"/>
          <w:highlight w:val="none"/>
        </w:rPr>
        <w:t>名称(公章)：</w:t>
      </w:r>
      <w:r>
        <w:rPr>
          <w:rFonts w:ascii="Arial" w:hAnsi="Arial" w:cs="Arial"/>
          <w:b/>
          <w:bCs/>
          <w:sz w:val="24"/>
          <w:highlight w:val="none"/>
          <w:u w:val="single"/>
        </w:rPr>
        <w:t>　　           　　　　　　</w:t>
      </w:r>
      <w:r>
        <w:rPr>
          <w:rFonts w:hint="eastAsia" w:ascii="Arial" w:hAnsi="Arial" w:cs="Arial"/>
          <w:b/>
          <w:bCs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Arial" w:hAnsi="Arial" w:cs="Arial"/>
          <w:b/>
          <w:bCs/>
          <w:sz w:val="24"/>
          <w:highlight w:val="none"/>
          <w:u w:val="none"/>
          <w:lang w:val="en-US" w:eastAsia="zh-CN"/>
        </w:rPr>
        <w:t xml:space="preserve">          </w:t>
      </w:r>
      <w:r>
        <w:rPr>
          <w:rFonts w:hint="eastAsia" w:ascii="Arial" w:hAnsi="Arial" w:cs="Arial"/>
          <w:b/>
          <w:bCs/>
          <w:sz w:val="24"/>
          <w:highlight w:val="none"/>
          <w:u w:val="none"/>
        </w:rPr>
        <w:t>法人或被授权人签字：</w:t>
      </w:r>
      <w:r>
        <w:rPr>
          <w:rFonts w:hint="eastAsia" w:ascii="Arial" w:hAnsi="Arial" w:cs="Arial"/>
          <w:b/>
          <w:bCs/>
          <w:sz w:val="24"/>
          <w:highlight w:val="none"/>
          <w:u w:val="single"/>
        </w:rPr>
        <w:t>　　　</w:t>
      </w:r>
      <w:r>
        <w:rPr>
          <w:rFonts w:hint="eastAsia" w:ascii="Arial" w:hAnsi="Arial" w:cs="Arial"/>
          <w:b/>
          <w:bCs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Arial" w:hAnsi="Arial" w:cs="Arial"/>
          <w:b/>
          <w:bCs/>
          <w:sz w:val="24"/>
          <w:highlight w:val="none"/>
          <w:u w:val="single"/>
        </w:rPr>
        <w:t>　　</w:t>
      </w:r>
      <w:r>
        <w:rPr>
          <w:rFonts w:hint="eastAsia" w:ascii="Arial" w:hAnsi="Arial" w:cs="Arial"/>
          <w:b/>
          <w:bCs/>
          <w:sz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="Arial" w:hAnsi="Arial" w:eastAsia="宋体" w:cs="Arial"/>
          <w:b/>
          <w:bCs/>
          <w:i w:val="0"/>
          <w:iCs w:val="0"/>
          <w:color w:val="000000"/>
          <w:sz w:val="21"/>
          <w:szCs w:val="21"/>
          <w:u w:val="none"/>
          <w:lang w:val="en-US" w:eastAsia="zh-CN"/>
        </w:rPr>
        <w:t>单位：</w:t>
      </w:r>
      <w:r>
        <w:rPr>
          <w:rFonts w:hint="eastAsia" w:ascii="Arial" w:hAnsi="Arial" w:eastAsia="宋体" w:cs="Arial"/>
          <w:b/>
          <w:bCs/>
          <w:i w:val="0"/>
          <w:iCs w:val="0"/>
          <w:color w:val="000000"/>
          <w:sz w:val="21"/>
          <w:szCs w:val="21"/>
          <w:u w:val="none"/>
          <w:lang w:eastAsia="zh-CN"/>
        </w:rPr>
        <w:t>元</w:t>
      </w:r>
    </w:p>
    <w:tbl>
      <w:tblPr>
        <w:tblStyle w:val="14"/>
        <w:tblW w:w="1411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450"/>
        <w:gridCol w:w="2099"/>
        <w:gridCol w:w="3204"/>
        <w:gridCol w:w="3938"/>
        <w:gridCol w:w="1351"/>
        <w:gridCol w:w="1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投标金额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响应/偏离招标要求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新疆医科大学第一附属昌吉分院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化粪池污泥清淤服务项目</w:t>
            </w:r>
          </w:p>
        </w:tc>
        <w:tc>
          <w:tcPr>
            <w:tcW w:w="20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小写：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大写：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严格按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医院污泥清理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规程及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处置要求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进行操；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5座化粪池进行污泥清理、化粪池冲洗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并承担由此引起的材料费及相关费用。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9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污水池内污泥的清理处置：为确保污水站正常运行，水质达标排放，需每年定期对污水站污泥进行清理并交给有资质的单位处置。污水站运行过程中产生的污泥属于危险废物（废物类别HW01，废物代码841-001-01），受医院委托进行《新疆维吾尔自治区固体废物动态信息管理平台》危险废物管理计划的申报和清淤相关的环保施工手续的办理，清理出的污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进行无害化处置。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3.周边环境保护：确保清淤时的环境无异味。 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ageBreakBefore w:val="0"/>
        <w:tabs>
          <w:tab w:val="left" w:pos="9135"/>
        </w:tabs>
        <w:kinsoku/>
        <w:wordWrap/>
        <w:overflowPunct/>
        <w:topLinePunct w:val="0"/>
        <w:bidi w:val="0"/>
        <w:spacing w:line="400" w:lineRule="atLeast"/>
        <w:ind w:left="0" w:leftChars="0" w:right="0" w:rightChars="0" w:firstLine="0" w:firstLineChars="0"/>
        <w:rPr>
          <w:rFonts w:hint="eastAsia"/>
          <w:lang w:val="en-US" w:eastAsia="zh-CN"/>
        </w:rPr>
      </w:pPr>
      <w:r>
        <w:rPr>
          <w:rFonts w:ascii="Arial" w:hAnsi="Arial" w:cs="Arial"/>
          <w:sz w:val="24"/>
          <w:highlight w:val="none"/>
        </w:rPr>
        <w:t>注：</w:t>
      </w:r>
      <w:r>
        <w:rPr>
          <w:rFonts w:ascii="Arial" w:hAnsi="Arial" w:eastAsia="宋体" w:cs="Arial"/>
          <w:sz w:val="24"/>
          <w:highlight w:val="none"/>
        </w:rPr>
        <w:t>1、</w:t>
      </w:r>
      <w:r>
        <w:rPr>
          <w:rFonts w:hint="eastAsia" w:ascii="Arial" w:hAnsi="Arial" w:eastAsia="宋体" w:cs="Arial"/>
          <w:sz w:val="24"/>
          <w:highlight w:val="none"/>
        </w:rPr>
        <w:t>如果按单价计算的结果与总价不一致，以单价为准修正总价</w:t>
      </w:r>
      <w:r>
        <w:rPr>
          <w:rFonts w:hint="eastAsia" w:ascii="仿宋" w:hAnsi="仿宋" w:eastAsia="仿宋"/>
          <w:color w:val="auto"/>
          <w:sz w:val="28"/>
          <w:highlight w:val="none"/>
        </w:rPr>
        <w:t>。</w:t>
      </w:r>
      <w:r>
        <w:rPr>
          <w:rFonts w:hint="eastAsia" w:ascii="Arial" w:hAnsi="Arial" w:eastAsia="宋体" w:cs="Arial"/>
          <w:sz w:val="24"/>
          <w:highlight w:val="none"/>
        </w:rPr>
        <w:t>2、投标配置：供应商必须提供实际配置参数，不可提供范围</w:t>
      </w:r>
      <w:r>
        <w:rPr>
          <w:rFonts w:hint="eastAsia" w:ascii="Arial" w:hAnsi="Arial" w:cs="Arial"/>
          <w:sz w:val="24"/>
          <w:highlight w:val="none"/>
          <w:lang w:eastAsia="zh-CN"/>
        </w:rPr>
        <w:t>，不可虚假投标</w:t>
      </w:r>
      <w:r>
        <w:rPr>
          <w:rFonts w:hint="eastAsia" w:ascii="Arial" w:hAnsi="Arial" w:eastAsia="宋体" w:cs="Arial"/>
          <w:sz w:val="24"/>
          <w:highlight w:val="none"/>
        </w:rPr>
        <w:t>。</w:t>
      </w:r>
      <w:r>
        <w:rPr>
          <w:rFonts w:hint="eastAsia" w:ascii="Arial" w:hAnsi="Arial" w:eastAsia="宋体" w:cs="Arial"/>
          <w:b/>
          <w:bCs/>
          <w:color w:val="FF0000"/>
          <w:sz w:val="24"/>
          <w:highlight w:val="none"/>
          <w:lang w:val="en-US" w:eastAsia="zh-CN"/>
        </w:rPr>
        <w:t>3.投标配置需满足所有招标参数配置要求，若有任意一项不满足，务必将不满足项在偏离招标要求中写出。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3C23EEE-A3F9-4E77-BC40-4E3300DF905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E90CECC-00E9-4247-8354-6BCBF50EAF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3176656-78FA-4401-987C-EE251462BBC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78CB497-F481-4F76-A293-B39C4C40C0D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F963D42F-DE25-4491-8651-9541FE49A26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3DF238FC-5118-422E-AE67-EA2650FE1B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0C15E566-5546-45E6-9943-E464CCC379D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A96A8"/>
    <w:multiLevelType w:val="singleLevel"/>
    <w:tmpl w:val="58AA96A8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YzJmZmM4YjgyY2Q0Y2NiOTBhMTcyN2U4NThkYzAifQ=="/>
  </w:docVars>
  <w:rsids>
    <w:rsidRoot w:val="00000000"/>
    <w:rsid w:val="0118690F"/>
    <w:rsid w:val="03F63664"/>
    <w:rsid w:val="040D4EEE"/>
    <w:rsid w:val="051C4A8C"/>
    <w:rsid w:val="06787E06"/>
    <w:rsid w:val="08926EB8"/>
    <w:rsid w:val="0BF77528"/>
    <w:rsid w:val="0D0D2F2C"/>
    <w:rsid w:val="0E8B163D"/>
    <w:rsid w:val="121F5BBC"/>
    <w:rsid w:val="152B73DA"/>
    <w:rsid w:val="153F13EA"/>
    <w:rsid w:val="18511C97"/>
    <w:rsid w:val="1A4C59BC"/>
    <w:rsid w:val="1B9C337D"/>
    <w:rsid w:val="21CD1190"/>
    <w:rsid w:val="26BE19EF"/>
    <w:rsid w:val="28272A9A"/>
    <w:rsid w:val="29EE6979"/>
    <w:rsid w:val="2CE72BBB"/>
    <w:rsid w:val="2E5A6F24"/>
    <w:rsid w:val="31B521A1"/>
    <w:rsid w:val="31FF3C8C"/>
    <w:rsid w:val="34215BDC"/>
    <w:rsid w:val="34EF74E1"/>
    <w:rsid w:val="35ED2318"/>
    <w:rsid w:val="368051FD"/>
    <w:rsid w:val="380B51A6"/>
    <w:rsid w:val="391061DD"/>
    <w:rsid w:val="3AA55484"/>
    <w:rsid w:val="3F6B0E3C"/>
    <w:rsid w:val="41191F17"/>
    <w:rsid w:val="41AF6B58"/>
    <w:rsid w:val="43AF3088"/>
    <w:rsid w:val="44B73E16"/>
    <w:rsid w:val="4557052A"/>
    <w:rsid w:val="45F15DDF"/>
    <w:rsid w:val="474F593B"/>
    <w:rsid w:val="484177D3"/>
    <w:rsid w:val="48750206"/>
    <w:rsid w:val="4929560D"/>
    <w:rsid w:val="4B1053A5"/>
    <w:rsid w:val="4BCC26C2"/>
    <w:rsid w:val="4D3A4E44"/>
    <w:rsid w:val="51D014E5"/>
    <w:rsid w:val="527E300A"/>
    <w:rsid w:val="539C7E18"/>
    <w:rsid w:val="53D62787"/>
    <w:rsid w:val="54F72943"/>
    <w:rsid w:val="56BB4D76"/>
    <w:rsid w:val="5825760C"/>
    <w:rsid w:val="5AFB34E0"/>
    <w:rsid w:val="5F7A1712"/>
    <w:rsid w:val="60AB24D6"/>
    <w:rsid w:val="6122094F"/>
    <w:rsid w:val="617150E9"/>
    <w:rsid w:val="61E53B7E"/>
    <w:rsid w:val="640A32BE"/>
    <w:rsid w:val="6B562C43"/>
    <w:rsid w:val="6BB26611"/>
    <w:rsid w:val="6BEF0C80"/>
    <w:rsid w:val="6E7B2AEA"/>
    <w:rsid w:val="70765B1C"/>
    <w:rsid w:val="71922E29"/>
    <w:rsid w:val="723D5D04"/>
    <w:rsid w:val="72B35A1A"/>
    <w:rsid w:val="74B254D4"/>
    <w:rsid w:val="7993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autoRedefine/>
    <w:qFormat/>
    <w:uiPriority w:val="0"/>
    <w:pPr>
      <w:keepNext/>
      <w:keepLines/>
      <w:spacing w:before="260" w:after="260" w:line="360" w:lineRule="auto"/>
      <w:jc w:val="center"/>
      <w:outlineLvl w:val="1"/>
    </w:pPr>
    <w:rPr>
      <w:rFonts w:ascii="Arial" w:hAnsi="Arial" w:eastAsia="宋体"/>
      <w:b/>
      <w:sz w:val="28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260" w:after="260" w:line="240" w:lineRule="auto"/>
      <w:ind w:left="0" w:firstLine="0" w:firstLineChars="0"/>
      <w:jc w:val="left"/>
      <w:outlineLvl w:val="2"/>
    </w:pPr>
    <w:rPr>
      <w:b/>
      <w:bCs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  <w:rPr>
      <w:szCs w:val="24"/>
    </w:rPr>
  </w:style>
  <w:style w:type="paragraph" w:styleId="5">
    <w:name w:val="Body Text"/>
    <w:basedOn w:val="1"/>
    <w:autoRedefine/>
    <w:qFormat/>
    <w:uiPriority w:val="0"/>
    <w:rPr>
      <w:rFonts w:ascii="Arial" w:hAnsi="Arial"/>
      <w:sz w:val="24"/>
    </w:rPr>
  </w:style>
  <w:style w:type="paragraph" w:styleId="6">
    <w:name w:val="Body Text Indent"/>
    <w:basedOn w:val="1"/>
    <w:next w:val="7"/>
    <w:autoRedefine/>
    <w:unhideWhenUsed/>
    <w:qFormat/>
    <w:uiPriority w:val="0"/>
    <w:pPr>
      <w:spacing w:after="120"/>
      <w:ind w:left="420" w:leftChars="200"/>
    </w:pPr>
  </w:style>
  <w:style w:type="paragraph" w:customStyle="1" w:styleId="7">
    <w:name w:val="Default"/>
    <w:next w:val="8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8">
    <w:name w:val="大标题"/>
    <w:basedOn w:val="1"/>
    <w:next w:val="9"/>
    <w:autoRedefine/>
    <w:qFormat/>
    <w:uiPriority w:val="0"/>
    <w:pPr>
      <w:jc w:val="center"/>
    </w:pPr>
    <w:rPr>
      <w:rFonts w:ascii="Arial" w:hAnsi="Arial" w:eastAsia="宋体"/>
      <w:b/>
      <w:sz w:val="28"/>
    </w:rPr>
  </w:style>
  <w:style w:type="paragraph" w:styleId="9">
    <w:name w:val="Body Text First Indent 2"/>
    <w:basedOn w:val="6"/>
    <w:next w:val="1"/>
    <w:autoRedefine/>
    <w:qFormat/>
    <w:uiPriority w:val="0"/>
    <w:pPr>
      <w:ind w:firstLine="420" w:firstLineChars="200"/>
    </w:pPr>
    <w:rPr>
      <w:rFonts w:ascii="宋体" w:hAnsi="宋体" w:eastAsia="宋体"/>
      <w:sz w:val="28"/>
      <w:szCs w:val="28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5"/>
    <w:autoRedefine/>
    <w:qFormat/>
    <w:uiPriority w:val="99"/>
    <w:pPr>
      <w:spacing w:after="120"/>
      <w:ind w:firstLine="420" w:firstLineChars="100"/>
    </w:pPr>
  </w:style>
  <w:style w:type="character" w:styleId="16">
    <w:name w:val="Emphasis"/>
    <w:basedOn w:val="15"/>
    <w:autoRedefine/>
    <w:qFormat/>
    <w:uiPriority w:val="0"/>
    <w:rPr>
      <w:i/>
    </w:rPr>
  </w:style>
  <w:style w:type="paragraph" w:customStyle="1" w:styleId="17">
    <w:name w:val="正文格式"/>
    <w:basedOn w:val="1"/>
    <w:autoRedefine/>
    <w:qFormat/>
    <w:uiPriority w:val="0"/>
    <w:pPr>
      <w:widowControl/>
      <w:adjustRightInd w:val="0"/>
      <w:snapToGrid w:val="0"/>
      <w:spacing w:line="360" w:lineRule="auto"/>
      <w:jc w:val="center"/>
      <w:textAlignment w:val="baseline"/>
    </w:pPr>
    <w:rPr>
      <w:rFonts w:ascii="Times New Roman" w:hAnsi="Times New Roman" w:eastAsia="宋体" w:cs="Times New Roman"/>
      <w:kern w:val="24"/>
      <w:sz w:val="24"/>
      <w:szCs w:val="21"/>
    </w:rPr>
  </w:style>
  <w:style w:type="character" w:customStyle="1" w:styleId="18">
    <w:name w:val="font11"/>
    <w:basedOn w:val="1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21"/>
    <w:basedOn w:val="15"/>
    <w:autoRedefine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20">
    <w:name w:val="font31"/>
    <w:basedOn w:val="1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1">
    <w:name w:val="font81"/>
    <w:basedOn w:val="1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1964</Words>
  <Characters>2049</Characters>
  <Lines>0</Lines>
  <Paragraphs>0</Paragraphs>
  <TotalTime>32</TotalTime>
  <ScaleCrop>false</ScaleCrop>
  <LinksUpToDate>false</LinksUpToDate>
  <CharactersWithSpaces>2101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2023-08-23T11:05:00Z</dcterms:created>
  <dc:creator>Administrator</dc:creator>
  <cp:lastModifiedBy>李雪</cp:lastModifiedBy>
  <cp:lastPrinted>2024-05-08T04:14:00Z</cp:lastPrinted>
  <dcterms:modified xsi:type="dcterms:W3CDTF">2024-06-11T13:30:36Z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A0E2E767FBE140B6B80FD0E529F8C6C9_13</vt:lpwstr>
  </property>
</Properties>
</file>