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新疆医科大学第一附属昌吉分院</w:t>
      </w:r>
    </w:p>
    <w:p>
      <w:pPr>
        <w:spacing w:line="560" w:lineRule="exact"/>
        <w:jc w:val="center"/>
        <w:rPr>
          <w:rFonts w:hint="eastAsia" w:ascii="微软雅黑" w:hAnsi="微软雅黑" w:eastAsia="微软雅黑" w:cs="微软雅黑"/>
          <w:b w:val="0"/>
          <w:bCs w:val="0"/>
          <w:color w:val="auto"/>
          <w:sz w:val="44"/>
          <w:szCs w:val="44"/>
          <w:lang w:val="en-US" w:eastAsia="zh-CN"/>
        </w:rPr>
      </w:pPr>
      <w:bookmarkStart w:id="0" w:name="_GoBack"/>
      <w:r>
        <w:rPr>
          <w:rFonts w:hint="eastAsia" w:ascii="方正小标宋简体" w:hAnsi="方正小标宋简体" w:eastAsia="方正小标宋简体" w:cs="方正小标宋简体"/>
          <w:b w:val="0"/>
          <w:bCs w:val="0"/>
          <w:color w:val="auto"/>
          <w:sz w:val="44"/>
          <w:szCs w:val="44"/>
        </w:rPr>
        <w:t>电动</w:t>
      </w:r>
      <w:r>
        <w:rPr>
          <w:rFonts w:hint="eastAsia" w:ascii="方正小标宋简体" w:hAnsi="方正小标宋简体" w:eastAsia="方正小标宋简体" w:cs="方正小标宋简体"/>
          <w:b w:val="0"/>
          <w:bCs w:val="0"/>
          <w:color w:val="auto"/>
          <w:sz w:val="44"/>
          <w:szCs w:val="44"/>
          <w:lang w:val="en-US" w:eastAsia="zh-CN"/>
        </w:rPr>
        <w:t>直</w:t>
      </w:r>
      <w:r>
        <w:rPr>
          <w:rFonts w:hint="eastAsia" w:ascii="方正小标宋简体" w:hAnsi="方正小标宋简体" w:eastAsia="方正小标宋简体" w:cs="方正小标宋简体"/>
          <w:b w:val="0"/>
          <w:bCs w:val="0"/>
          <w:color w:val="auto"/>
          <w:sz w:val="44"/>
          <w:szCs w:val="44"/>
        </w:rPr>
        <w:t>立床招标采购要求</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方正仿宋简体" w:eastAsia="方正仿宋简体" w:cs="方正仿宋简体"/>
          <w:color w:val="auto"/>
          <w:sz w:val="32"/>
          <w:szCs w:val="32"/>
          <w:lang w:eastAsia="zh-CN"/>
        </w:rPr>
      </w:pPr>
      <w:r>
        <w:rPr>
          <w:rFonts w:hint="eastAsia" w:ascii="黑体" w:hAnsi="黑体" w:eastAsia="黑体" w:cs="黑体"/>
          <w:b/>
          <w:bCs/>
          <w:color w:val="auto"/>
          <w:sz w:val="32"/>
          <w:szCs w:val="32"/>
        </w:rPr>
        <w:t>一、招标单位：</w:t>
      </w:r>
      <w:r>
        <w:rPr>
          <w:rFonts w:hint="eastAsia" w:ascii="方正仿宋简体" w:hAnsi="方正仿宋简体" w:eastAsia="方正仿宋简体" w:cs="方正仿宋简体"/>
          <w:color w:val="auto"/>
          <w:kern w:val="2"/>
          <w:sz w:val="32"/>
          <w:szCs w:val="32"/>
          <w:lang w:val="en-US" w:eastAsia="zh-CN" w:bidi="ar-SA"/>
        </w:rPr>
        <w:t>新疆医科大学第一附属医院昌吉分院（昌吉市第二人民医院、昌吉市中医医院）</w:t>
      </w:r>
    </w:p>
    <w:p>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黑体" w:hAnsi="黑体" w:eastAsia="黑体" w:cs="黑体"/>
          <w:b/>
          <w:bCs/>
          <w:color w:val="auto"/>
          <w:sz w:val="32"/>
          <w:szCs w:val="32"/>
        </w:rPr>
        <w:t>二、招标项目名称</w:t>
      </w:r>
      <w:r>
        <w:rPr>
          <w:rFonts w:hint="eastAsia" w:ascii="黑体" w:hAnsi="黑体" w:eastAsia="黑体" w:cs="黑体"/>
          <w:b/>
          <w:bCs/>
          <w:color w:val="auto"/>
          <w:sz w:val="32"/>
          <w:szCs w:val="32"/>
          <w:lang w:eastAsia="zh-CN"/>
        </w:rPr>
        <w:t>：</w:t>
      </w:r>
      <w:r>
        <w:rPr>
          <w:rFonts w:hint="eastAsia" w:ascii="方正仿宋简体" w:hAnsi="方正仿宋简体" w:eastAsia="方正仿宋简体" w:cs="方正仿宋简体"/>
          <w:color w:val="auto"/>
          <w:kern w:val="2"/>
          <w:sz w:val="32"/>
          <w:szCs w:val="32"/>
          <w:lang w:val="en-US" w:eastAsia="zh-CN" w:bidi="ar-SA"/>
        </w:rPr>
        <w:t>新疆医科大学第一附属医院昌吉分院购置电动直立床项目；</w:t>
      </w:r>
    </w:p>
    <w:p>
      <w:pPr>
        <w:keepNext w:val="0"/>
        <w:keepLines w:val="0"/>
        <w:pageBreakBefore w:val="0"/>
        <w:kinsoku/>
        <w:wordWrap/>
        <w:overflowPunct/>
        <w:topLinePunct w:val="0"/>
        <w:bidi w:val="0"/>
        <w:snapToGrid/>
        <w:spacing w:line="560" w:lineRule="exact"/>
        <w:ind w:firstLine="643" w:firstLineChars="200"/>
        <w:jc w:val="left"/>
        <w:textAlignment w:val="auto"/>
        <w:rPr>
          <w:rFonts w:hint="eastAsia"/>
          <w:color w:val="auto"/>
          <w:lang w:val="en-US" w:eastAsia="zh-CN"/>
        </w:rPr>
      </w:pPr>
      <w:r>
        <w:rPr>
          <w:rFonts w:hint="eastAsia" w:ascii="黑体" w:hAnsi="黑体" w:eastAsia="黑体" w:cs="黑体"/>
          <w:b/>
          <w:bCs/>
          <w:color w:val="auto"/>
          <w:sz w:val="32"/>
          <w:szCs w:val="32"/>
        </w:rPr>
        <w:t>三、项目招标预算</w:t>
      </w:r>
      <w:r>
        <w:rPr>
          <w:rFonts w:hint="eastAsia" w:ascii="黑体" w:hAnsi="黑体" w:eastAsia="黑体" w:cs="黑体"/>
          <w:b/>
          <w:bCs/>
          <w:color w:val="auto"/>
          <w:sz w:val="32"/>
          <w:szCs w:val="32"/>
          <w:lang w:val="en-US" w:eastAsia="zh-CN"/>
        </w:rPr>
        <w:t>：</w:t>
      </w:r>
      <w:r>
        <w:rPr>
          <w:rFonts w:hint="eastAsia" w:ascii="方正仿宋简体" w:hAnsi="方正仿宋简体" w:eastAsia="方正仿宋简体" w:cs="方正仿宋简体"/>
          <w:color w:val="auto"/>
          <w:kern w:val="2"/>
          <w:sz w:val="32"/>
          <w:szCs w:val="32"/>
          <w:lang w:val="en-US" w:eastAsia="zh-CN" w:bidi="ar-SA"/>
        </w:rPr>
        <w:t>控制在人民币8万元以内；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四、采购内容及参数要求</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default"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（一）采购内容：电动直立床</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（二）采购数量：2台</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（三）货物技术要求：</w:t>
      </w:r>
    </w:p>
    <w:p>
      <w:pPr>
        <w:numPr>
          <w:ilvl w:val="0"/>
          <w:numId w:val="0"/>
        </w:numPr>
        <w:ind w:firstLine="640" w:firstLineChars="20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1.品牌电机和气弹簧双重保护，更加安全稳定，让患者更舒适；</w:t>
      </w:r>
    </w:p>
    <w:p>
      <w:pPr>
        <w:numPr>
          <w:ilvl w:val="0"/>
          <w:numId w:val="0"/>
        </w:numPr>
        <w:ind w:firstLine="640" w:firstLineChars="20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2.宽大的固定绑带极为舒适，适用于胸、腰和膝等部位的固定，胸部、腰部、腿部绑带，宽度：不小于13.5cm，脚部绑带宽度：不小于8.5cm，固定带为魔术贴材质，安全载荷不应小于500N；</w:t>
      </w:r>
    </w:p>
    <w:p>
      <w:pPr>
        <w:numPr>
          <w:ilvl w:val="0"/>
          <w:numId w:val="0"/>
        </w:numPr>
        <w:ind w:firstLine="640" w:firstLineChars="20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3.续可调的扶手和桌板，方便不同高度的病人，扶手垂直安全工作载荷不应小于750N；</w:t>
      </w:r>
    </w:p>
    <w:p>
      <w:pPr>
        <w:numPr>
          <w:ilvl w:val="0"/>
          <w:numId w:val="0"/>
        </w:numPr>
        <w:ind w:firstLine="640" w:firstLineChars="20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4.面尺寸：不小于650*1850mm；</w:t>
      </w:r>
    </w:p>
    <w:p>
      <w:pPr>
        <w:numPr>
          <w:ilvl w:val="0"/>
          <w:numId w:val="0"/>
        </w:numPr>
        <w:ind w:firstLine="640" w:firstLineChars="200"/>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5.起立角度：0°～80°(±5°)，符合《可调式康复训练床GBT 26340-2010》的站立角度要求；</w:t>
      </w:r>
    </w:p>
    <w:p>
      <w:pPr>
        <w:numPr>
          <w:ilvl w:val="0"/>
          <w:numId w:val="0"/>
        </w:numPr>
        <w:ind w:firstLine="640" w:firstLineChars="20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6.脚踏板活动角度：不小于35°，不小于35°，趾屈不小于15°，背屈不小于20°，</w:t>
      </w:r>
      <w:r>
        <w:rPr>
          <w:rFonts w:hint="eastAsia" w:ascii="仿宋" w:hAnsi="仿宋" w:eastAsia="仿宋" w:cs="仿宋"/>
          <w:color w:val="auto"/>
          <w:sz w:val="32"/>
          <w:szCs w:val="32"/>
          <w:vertAlign w:val="baseline"/>
          <w:lang w:val="en-US" w:eastAsia="zh-CN"/>
        </w:rPr>
        <w:t>脚托板安全工作荷载不应小于1500N，满足不同体重患者训练的需求；</w:t>
      </w:r>
    </w:p>
    <w:p>
      <w:pPr>
        <w:numPr>
          <w:ilvl w:val="0"/>
          <w:numId w:val="0"/>
        </w:numPr>
        <w:ind w:firstLine="640" w:firstLineChars="20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7.具备遥控器并配备紧急停止开关，保证训练时的安全。</w:t>
      </w:r>
    </w:p>
    <w:p>
      <w:pPr>
        <w:numPr>
          <w:ilvl w:val="0"/>
          <w:numId w:val="0"/>
        </w:numPr>
        <w:ind w:firstLine="640" w:firstLineChars="20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8.防进液程度：不少于IPX4；</w:t>
      </w:r>
    </w:p>
    <w:p>
      <w:pPr>
        <w:numPr>
          <w:ilvl w:val="0"/>
          <w:numId w:val="0"/>
        </w:numPr>
        <w:ind w:firstLine="640" w:firstLineChars="200"/>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9.床板的安全工作荷载不应小于1700N，升降架安全工作荷载不少于2200N；</w:t>
      </w:r>
    </w:p>
    <w:p>
      <w:pPr>
        <w:pStyle w:val="17"/>
        <w:ind w:firstLine="640"/>
        <w:jc w:val="both"/>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10.电源要求：电压：220V（±10%），50Hz；功率：不小于150VA。</w:t>
      </w:r>
    </w:p>
    <w:p>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微软雅黑" w:hAnsi="微软雅黑" w:eastAsia="微软雅黑" w:cs="微软雅黑"/>
          <w:b w:val="0"/>
          <w:bCs w:val="0"/>
          <w:color w:val="auto"/>
          <w:sz w:val="32"/>
          <w:szCs w:val="32"/>
          <w:highlight w:val="red"/>
          <w:lang w:val="en-US" w:eastAsia="zh-CN"/>
        </w:rPr>
      </w:pPr>
      <w:r>
        <w:rPr>
          <w:rFonts w:hint="eastAsia" w:ascii="黑体" w:hAnsi="黑体" w:eastAsia="黑体" w:cs="黑体"/>
          <w:b/>
          <w:bCs/>
          <w:color w:val="auto"/>
          <w:sz w:val="32"/>
          <w:szCs w:val="32"/>
          <w:lang w:eastAsia="zh-CN"/>
        </w:rPr>
        <w:t>五、资质要求</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1.具有独立承担民事责任的能力；（提供营业执照复印件）</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2.具有良好的商业信誉和健全的财务会计制度；（提供承诺函及财务会计制度） </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3.具有履行合同所必需的设备和专业技术能力；（提供</w:t>
      </w:r>
      <w:r>
        <w:rPr>
          <w:rFonts w:hint="eastAsia" w:ascii="方正仿宋简体" w:hAnsi="方正仿宋简体" w:eastAsia="方正仿宋简体" w:cs="方正仿宋简体"/>
          <w:color w:val="auto"/>
          <w:kern w:val="2"/>
          <w:sz w:val="32"/>
          <w:szCs w:val="32"/>
          <w:lang w:val="en-US" w:eastAsia="zh-CN" w:bidi="ar-SA"/>
        </w:rPr>
        <w:t xml:space="preserve">承诺函） </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 xml:space="preserve">4.有依法缴纳税收和社会保障资金的良好记录；（提供承诺函） </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5.参加采购活动前三年内，在经营活动中没有重大违法记录(受行政主管部门的处罚不能参加投标)，在“信用中国”网站（www.creditchina.gov.cn）及“中国政府采购网”网站（www.ccgp.gov.cn）上未被列入失信被执行人、重大税收违法案件当事人名单以及政府采购严重违法失信行为记录名单的的供应商；</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6.符合国家有关法律法规的规定；</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7.提供医疗器械经营许可证、医疗器械经营备案凭证、所投产品的医疗器械注册证；</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所投产品属于第二类医疗器械的，需提供有效的行政主管部门颁发的医疗器械经营备案凭证（医疗器械生产许可证或医疗器械经营许可证或其他医疗器械生产经营许可证明文件）；</w:t>
      </w:r>
      <w:r>
        <w:rPr>
          <w:rFonts w:hint="eastAsia" w:ascii="方正仿宋简体" w:hAnsi="方正仿宋简体" w:eastAsia="方正仿宋简体" w:cs="方正仿宋简体"/>
          <w:color w:val="auto"/>
          <w:kern w:val="2"/>
          <w:sz w:val="32"/>
          <w:szCs w:val="32"/>
          <w:lang w:val="en-US" w:eastAsia="zh-CN" w:bidi="ar-SA"/>
        </w:rPr>
        <w:t>所投产品属于第三类医疗器械的，需提供有效的行政主管部门颁发的医疗器械生产许可证（医疗器械经营许可证或其他医疗器械生产经营许可证明文件）；</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8.本项目不接受联合体投标；</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10.上传统一采购报价单（见附件）;</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11.认真解读文件，一次性提交相关投标文件，不支持二次提交。</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注：资质要求需提供的内容必须加盖公章“扫描”并以PDF格式打包上传，确保上传材料清晰（承诺函格式自拟）。</w:t>
      </w:r>
    </w:p>
    <w:p>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六、交货地点</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新疆医科大学第一附属医院昌吉分院指定地点。</w:t>
      </w:r>
    </w:p>
    <w:p>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七、供货要求</w:t>
      </w:r>
    </w:p>
    <w:p>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黑体" w:hAnsi="黑体" w:eastAsia="黑体" w:cs="黑体"/>
          <w:b/>
          <w:bCs/>
          <w:color w:val="auto"/>
          <w:sz w:val="32"/>
          <w:szCs w:val="32"/>
          <w:lang w:eastAsia="zh-CN"/>
        </w:rPr>
      </w:pPr>
      <w:r>
        <w:rPr>
          <w:rFonts w:hint="eastAsia" w:ascii="方正仿宋简体" w:hAnsi="方正仿宋简体" w:eastAsia="方正仿宋简体" w:cs="方正仿宋简体"/>
          <w:color w:val="auto"/>
          <w:kern w:val="2"/>
          <w:sz w:val="32"/>
          <w:szCs w:val="32"/>
          <w:lang w:val="en-US" w:eastAsia="zh-CN" w:bidi="ar-SA"/>
        </w:rPr>
        <w:t>自合同签订后15日。</w:t>
      </w:r>
    </w:p>
    <w:p>
      <w:pPr>
        <w:keepNext w:val="0"/>
        <w:keepLines w:val="0"/>
        <w:pageBreakBefore w:val="0"/>
        <w:numPr>
          <w:ilvl w:val="0"/>
          <w:numId w:val="2"/>
        </w:numPr>
        <w:kinsoku/>
        <w:wordWrap/>
        <w:overflowPunct/>
        <w:topLinePunct w:val="0"/>
        <w:bidi w:val="0"/>
        <w:snapToGrid/>
        <w:spacing w:line="560" w:lineRule="exact"/>
        <w:ind w:firstLine="643" w:firstLineChars="200"/>
        <w:jc w:val="left"/>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付款方式</w:t>
      </w:r>
    </w:p>
    <w:p>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color w:val="auto"/>
          <w:lang w:eastAsia="zh-CN"/>
        </w:rPr>
      </w:pPr>
      <w:r>
        <w:rPr>
          <w:rFonts w:hint="eastAsia" w:ascii="方正仿宋简体" w:hAnsi="方正仿宋简体" w:eastAsia="方正仿宋简体" w:cs="方正仿宋简体"/>
          <w:color w:val="auto"/>
          <w:kern w:val="2"/>
          <w:sz w:val="32"/>
          <w:szCs w:val="32"/>
          <w:lang w:val="en-US" w:eastAsia="zh-CN" w:bidi="ar-SA"/>
        </w:rPr>
        <w:t>货物抵达交货地点安装、调试、验收合格，正常运行贰个月期满支付合同总金额的30%，满壹年后支付合同总金额的30%，满贰年后支付合同总金额的30%，在正常运行叁年期满，完全满足使用要求，如无任何问题支付合同总金额的10%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val="en-US" w:eastAsia="zh-CN"/>
        </w:rPr>
        <w:t>九、</w:t>
      </w:r>
      <w:r>
        <w:rPr>
          <w:rFonts w:hint="eastAsia" w:ascii="黑体" w:hAnsi="黑体" w:eastAsia="黑体" w:cs="黑体"/>
          <w:b/>
          <w:bCs/>
          <w:color w:val="auto"/>
          <w:kern w:val="2"/>
          <w:sz w:val="32"/>
          <w:szCs w:val="32"/>
          <w:lang w:val="en-US" w:eastAsia="zh-CN" w:bidi="ar-SA"/>
        </w:rPr>
        <w:t>质保期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按照国家标准</w:t>
      </w:r>
      <w:r>
        <w:rPr>
          <w:rFonts w:hint="eastAsia" w:ascii="方正仿宋简体" w:hAnsi="方正仿宋简体" w:eastAsia="方正仿宋简体" w:cs="方正仿宋简体"/>
          <w:color w:val="auto"/>
          <w:kern w:val="2"/>
          <w:sz w:val="32"/>
          <w:szCs w:val="32"/>
          <w:lang w:val="en-US" w:eastAsia="zh-CN" w:bidi="ar-SA"/>
        </w:rPr>
        <w:t>，质保叁年；</w:t>
      </w:r>
      <w:r>
        <w:rPr>
          <w:rFonts w:hint="eastAsia" w:ascii="方正仿宋简体" w:hAnsi="方正仿宋简体" w:eastAsia="方正仿宋简体" w:cs="方正仿宋简体"/>
          <w:color w:val="auto"/>
          <w:kern w:val="2"/>
          <w:sz w:val="32"/>
          <w:szCs w:val="32"/>
          <w:lang w:val="en-US" w:eastAsia="zh-CN" w:bidi="ar-SA"/>
        </w:rPr>
        <w:t>质保期及维修按国家相关规定执行；质保期内，若出现质量问题，供应商应无偿更换和维修。</w:t>
      </w:r>
    </w:p>
    <w:p>
      <w:pPr>
        <w:pStyle w:val="3"/>
        <w:keepNext w:val="0"/>
        <w:keepLines w:val="0"/>
        <w:pageBreakBefore w:val="0"/>
        <w:kinsoku/>
        <w:wordWrap/>
        <w:overflowPunct/>
        <w:topLinePunct w:val="0"/>
        <w:bidi w:val="0"/>
        <w:snapToGrid/>
        <w:spacing w:line="560" w:lineRule="exact"/>
        <w:textAlignment w:val="auto"/>
        <w:rPr>
          <w:rFonts w:hint="eastAsia" w:ascii="方正仿宋简体" w:hAnsi="方正仿宋简体" w:eastAsia="方正仿宋简体" w:cs="方正仿宋简体"/>
          <w:i w:val="0"/>
          <w:caps w:val="0"/>
          <w:color w:val="auto"/>
          <w:spacing w:val="0"/>
          <w:sz w:val="32"/>
          <w:szCs w:val="32"/>
          <w:shd w:val="clear" w:color="auto" w:fill="FFFFFF"/>
        </w:rPr>
      </w:pPr>
    </w:p>
    <w:p>
      <w:pPr>
        <w:pStyle w:val="8"/>
        <w:keepNext w:val="0"/>
        <w:keepLines w:val="0"/>
        <w:pageBreakBefore w:val="0"/>
        <w:kinsoku/>
        <w:wordWrap/>
        <w:overflowPunct/>
        <w:topLinePunct w:val="0"/>
        <w:bidi w:val="0"/>
        <w:snapToGrid/>
        <w:spacing w:line="560" w:lineRule="exac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val="0"/>
          <w:color w:val="auto"/>
          <w:sz w:val="32"/>
          <w:szCs w:val="32"/>
          <w:lang w:val="en-US" w:eastAsia="zh-CN"/>
        </w:rPr>
        <w:t>附件：</w:t>
      </w:r>
      <w:r>
        <w:rPr>
          <w:rFonts w:hint="eastAsia" w:ascii="仿宋_GB2312" w:hAnsi="仿宋_GB2312" w:eastAsia="仿宋_GB2312" w:cs="仿宋_GB2312"/>
          <w:color w:val="auto"/>
          <w:kern w:val="2"/>
          <w:sz w:val="32"/>
          <w:szCs w:val="32"/>
          <w:lang w:val="en-US" w:eastAsia="zh-CN" w:bidi="ar-SA"/>
        </w:rPr>
        <w:t>采购报价单</w:t>
      </w:r>
    </w:p>
    <w:p>
      <w:pPr>
        <w:pStyle w:val="2"/>
        <w:rPr>
          <w:rFonts w:hint="default" w:ascii="仿宋" w:hAnsi="仿宋" w:eastAsia="仿宋" w:cs="仿宋"/>
          <w:b/>
          <w:bCs/>
          <w:color w:val="auto"/>
          <w:sz w:val="32"/>
          <w:szCs w:val="32"/>
          <w:lang w:val="en-US" w:eastAsia="zh-CN"/>
        </w:rPr>
      </w:pPr>
    </w:p>
    <w:p>
      <w:pPr>
        <w:pStyle w:val="7"/>
        <w:bidi w:val="0"/>
        <w:jc w:val="center"/>
        <w:rPr>
          <w:rFonts w:hint="eastAsia" w:ascii="方正小标宋简体" w:hAnsi="方正小标宋简体" w:eastAsia="方正小标宋简体" w:cs="方正小标宋简体"/>
          <w:color w:val="auto"/>
          <w:sz w:val="44"/>
          <w:szCs w:val="44"/>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7"/>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方正小标宋简体" w:hAnsi="方正小标宋简体" w:eastAsia="方正小标宋简体" w:cs="方正小标宋简体"/>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附件：</w:t>
      </w:r>
    </w:p>
    <w:p>
      <w:pPr>
        <w:pStyle w:val="7"/>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color w:val="auto"/>
          <w:sz w:val="32"/>
          <w:szCs w:val="32"/>
          <w:lang w:val="en-US" w:eastAsia="zh-CN"/>
        </w:rPr>
      </w:pPr>
      <w:r>
        <w:rPr>
          <w:rFonts w:hint="eastAsia" w:ascii="方正小标宋简体" w:hAnsi="方正小标宋简体" w:eastAsia="方正小标宋简体" w:cs="方正小标宋简体"/>
          <w:b w:val="0"/>
          <w:bCs/>
          <w:color w:val="auto"/>
          <w:sz w:val="32"/>
          <w:szCs w:val="32"/>
          <w:lang w:val="en-US" w:eastAsia="zh-CN"/>
        </w:rPr>
        <w:t>采购报价单</w:t>
      </w:r>
    </w:p>
    <w:p>
      <w:pPr>
        <w:pStyle w:val="8"/>
        <w:rPr>
          <w:rFonts w:hint="eastAsia" w:ascii="Arial" w:hAnsi="Arial" w:cs="Arial"/>
          <w:b/>
          <w:bCs/>
          <w:color w:val="auto"/>
          <w:sz w:val="24"/>
          <w:highlight w:val="none"/>
          <w:lang w:eastAsia="zh-CN"/>
        </w:rPr>
      </w:pPr>
    </w:p>
    <w:p>
      <w:pPr>
        <w:pStyle w:val="8"/>
        <w:rPr>
          <w:rFonts w:hint="eastAsia" w:ascii="Arial" w:hAnsi="Arial" w:eastAsia="宋体" w:cs="Arial"/>
          <w:b/>
          <w:bCs/>
          <w:i w:val="0"/>
          <w:iCs w:val="0"/>
          <w:color w:val="auto"/>
          <w:sz w:val="21"/>
          <w:szCs w:val="21"/>
          <w:u w:val="none"/>
          <w:lang w:eastAsia="zh-CN"/>
        </w:rPr>
      </w:pPr>
      <w:r>
        <w:rPr>
          <w:rFonts w:hint="eastAsia" w:ascii="Arial" w:hAnsi="Arial" w:cs="Arial"/>
          <w:b/>
          <w:bCs/>
          <w:color w:val="auto"/>
          <w:sz w:val="24"/>
          <w:highlight w:val="none"/>
          <w:lang w:eastAsia="zh-CN"/>
        </w:rPr>
        <w:t>供应商</w:t>
      </w:r>
      <w:r>
        <w:rPr>
          <w:rFonts w:ascii="Arial" w:hAnsi="Arial" w:cs="Arial"/>
          <w:b/>
          <w:bCs/>
          <w:color w:val="auto"/>
          <w:sz w:val="24"/>
          <w:highlight w:val="none"/>
        </w:rPr>
        <w:t>名称(公章)：</w:t>
      </w:r>
      <w:r>
        <w:rPr>
          <w:rFonts w:ascii="Arial" w:hAnsi="Arial" w:cs="Arial"/>
          <w:b/>
          <w:bCs/>
          <w:color w:val="auto"/>
          <w:sz w:val="24"/>
          <w:highlight w:val="none"/>
          <w:u w:val="single"/>
        </w:rPr>
        <w:t>　　           　　　　　　</w:t>
      </w:r>
      <w:r>
        <w:rPr>
          <w:rFonts w:hint="eastAsia" w:ascii="Arial" w:hAnsi="Arial" w:cs="Arial"/>
          <w:b/>
          <w:bCs/>
          <w:color w:val="auto"/>
          <w:sz w:val="24"/>
          <w:highlight w:val="none"/>
          <w:u w:val="single"/>
          <w:lang w:val="en-US" w:eastAsia="zh-CN"/>
        </w:rPr>
        <w:t xml:space="preserve">      </w:t>
      </w:r>
      <w:r>
        <w:rPr>
          <w:rFonts w:hint="eastAsia" w:ascii="Arial" w:hAnsi="Arial" w:cs="Arial"/>
          <w:b/>
          <w:bCs/>
          <w:color w:val="auto"/>
          <w:sz w:val="24"/>
          <w:highlight w:val="none"/>
          <w:u w:val="none"/>
          <w:lang w:val="en-US" w:eastAsia="zh-CN"/>
        </w:rPr>
        <w:t xml:space="preserve">          </w:t>
      </w:r>
      <w:r>
        <w:rPr>
          <w:rFonts w:hint="eastAsia" w:ascii="Arial" w:hAnsi="Arial" w:cs="Arial"/>
          <w:b/>
          <w:bCs/>
          <w:color w:val="auto"/>
          <w:sz w:val="24"/>
          <w:highlight w:val="none"/>
          <w:u w:val="none"/>
        </w:rPr>
        <w:t>法人或被授权人签字：</w:t>
      </w:r>
      <w:r>
        <w:rPr>
          <w:rFonts w:hint="eastAsia" w:ascii="Arial" w:hAnsi="Arial" w:cs="Arial"/>
          <w:b/>
          <w:bCs/>
          <w:color w:val="auto"/>
          <w:sz w:val="24"/>
          <w:highlight w:val="none"/>
          <w:u w:val="single"/>
        </w:rPr>
        <w:t>　　　</w:t>
      </w:r>
      <w:r>
        <w:rPr>
          <w:rFonts w:hint="eastAsia" w:ascii="Arial" w:hAnsi="Arial" w:cs="Arial"/>
          <w:b/>
          <w:bCs/>
          <w:color w:val="auto"/>
          <w:sz w:val="24"/>
          <w:highlight w:val="none"/>
          <w:u w:val="single"/>
          <w:lang w:val="en-US" w:eastAsia="zh-CN"/>
        </w:rPr>
        <w:t xml:space="preserve">     </w:t>
      </w:r>
      <w:r>
        <w:rPr>
          <w:rFonts w:hint="eastAsia" w:ascii="Arial" w:hAnsi="Arial" w:cs="Arial"/>
          <w:b/>
          <w:bCs/>
          <w:color w:val="auto"/>
          <w:sz w:val="24"/>
          <w:highlight w:val="none"/>
          <w:u w:val="single"/>
        </w:rPr>
        <w:t>　　</w:t>
      </w:r>
      <w:r>
        <w:rPr>
          <w:rFonts w:hint="eastAsia" w:ascii="Arial" w:hAnsi="Arial" w:cs="Arial"/>
          <w:b/>
          <w:bCs/>
          <w:color w:val="auto"/>
          <w:sz w:val="24"/>
          <w:highlight w:val="none"/>
          <w:u w:val="none"/>
          <w:lang w:val="en-US" w:eastAsia="zh-CN"/>
        </w:rPr>
        <w:t xml:space="preserve">  </w:t>
      </w:r>
      <w:r>
        <w:rPr>
          <w:rFonts w:hint="eastAsia" w:ascii="Arial" w:hAnsi="Arial" w:eastAsia="宋体" w:cs="Arial"/>
          <w:b/>
          <w:bCs/>
          <w:i w:val="0"/>
          <w:iCs w:val="0"/>
          <w:color w:val="auto"/>
          <w:sz w:val="21"/>
          <w:szCs w:val="21"/>
          <w:u w:val="none"/>
          <w:lang w:val="en-US" w:eastAsia="zh-CN"/>
        </w:rPr>
        <w:t>单位：</w:t>
      </w:r>
      <w:r>
        <w:rPr>
          <w:rFonts w:hint="eastAsia" w:ascii="Arial" w:hAnsi="Arial" w:eastAsia="宋体" w:cs="Arial"/>
          <w:b/>
          <w:bCs/>
          <w:i w:val="0"/>
          <w:iCs w:val="0"/>
          <w:color w:val="auto"/>
          <w:sz w:val="21"/>
          <w:szCs w:val="21"/>
          <w:u w:val="none"/>
          <w:lang w:eastAsia="zh-CN"/>
        </w:rPr>
        <w:t>元</w:t>
      </w:r>
    </w:p>
    <w:tbl>
      <w:tblPr>
        <w:tblStyle w:val="14"/>
        <w:tblW w:w="144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964"/>
        <w:gridCol w:w="672"/>
        <w:gridCol w:w="878"/>
        <w:gridCol w:w="1102"/>
        <w:gridCol w:w="949"/>
        <w:gridCol w:w="810"/>
        <w:gridCol w:w="724"/>
        <w:gridCol w:w="3778"/>
        <w:gridCol w:w="1931"/>
        <w:gridCol w:w="1215"/>
        <w:gridCol w:w="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5"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品牌规格型号</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生产厂商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投标单价</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投标金额</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招标参数配置要求</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投标参数配置</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响应/偏离招标要求</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u w:val="none"/>
              </w:rPr>
            </w:pP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lang w:val="en-US" w:eastAsia="zh-CN"/>
              </w:rPr>
            </w:pPr>
            <w:r>
              <w:rPr>
                <w:rFonts w:hint="eastAsia" w:ascii="宋体" w:hAnsi="宋体" w:cs="宋体"/>
                <w:b/>
                <w:bCs/>
                <w:i w:val="0"/>
                <w:iCs w:val="0"/>
                <w:color w:val="auto"/>
                <w:sz w:val="21"/>
                <w:szCs w:val="21"/>
                <w:u w:val="none"/>
                <w:lang w:val="en-US" w:eastAsia="zh-CN"/>
              </w:rPr>
              <w:t>合    计：</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2"/>
                <w:szCs w:val="22"/>
                <w:u w:val="none"/>
              </w:rPr>
            </w:pPr>
          </w:p>
        </w:tc>
      </w:tr>
    </w:tbl>
    <w:p>
      <w:pPr>
        <w:tabs>
          <w:tab w:val="left" w:pos="9135"/>
        </w:tabs>
        <w:spacing w:line="400" w:lineRule="atLeast"/>
        <w:ind w:firstLine="0" w:firstLineChars="0"/>
        <w:rPr>
          <w:rFonts w:hint="eastAsia"/>
          <w:color w:val="auto"/>
          <w:lang w:val="en-US" w:eastAsia="zh-CN"/>
        </w:rPr>
      </w:pPr>
      <w:r>
        <w:rPr>
          <w:rFonts w:ascii="Arial" w:hAnsi="Arial" w:cs="Arial"/>
          <w:color w:val="auto"/>
          <w:sz w:val="24"/>
          <w:highlight w:val="none"/>
        </w:rPr>
        <w:t>注：</w:t>
      </w:r>
      <w:r>
        <w:rPr>
          <w:rFonts w:ascii="Arial" w:hAnsi="Arial" w:eastAsia="宋体" w:cs="Arial"/>
          <w:color w:val="auto"/>
          <w:sz w:val="24"/>
          <w:highlight w:val="none"/>
        </w:rPr>
        <w:t>1、</w:t>
      </w:r>
      <w:r>
        <w:rPr>
          <w:rFonts w:hint="eastAsia" w:ascii="Arial" w:hAnsi="Arial" w:eastAsia="宋体" w:cs="Arial"/>
          <w:color w:val="auto"/>
          <w:sz w:val="24"/>
          <w:highlight w:val="none"/>
        </w:rPr>
        <w:t>如果按单价计算的结果与总价不一致，以单价为准修正总价</w:t>
      </w:r>
      <w:r>
        <w:rPr>
          <w:rFonts w:hint="eastAsia" w:ascii="仿宋" w:hAnsi="仿宋" w:eastAsia="仿宋"/>
          <w:color w:val="auto"/>
          <w:sz w:val="28"/>
          <w:highlight w:val="none"/>
        </w:rPr>
        <w:t>。</w:t>
      </w:r>
      <w:r>
        <w:rPr>
          <w:rFonts w:hint="eastAsia" w:ascii="Arial" w:hAnsi="Arial" w:eastAsia="宋体" w:cs="Arial"/>
          <w:color w:val="auto"/>
          <w:sz w:val="24"/>
          <w:highlight w:val="none"/>
        </w:rPr>
        <w:t>2、投标配置：供应商必须提供实际配置参数，不可提供范围</w:t>
      </w:r>
      <w:r>
        <w:rPr>
          <w:rFonts w:hint="eastAsia" w:ascii="Arial" w:hAnsi="Arial" w:cs="Arial"/>
          <w:color w:val="auto"/>
          <w:sz w:val="24"/>
          <w:highlight w:val="none"/>
          <w:lang w:eastAsia="zh-CN"/>
        </w:rPr>
        <w:t>，不可虚假投标</w:t>
      </w:r>
      <w:r>
        <w:rPr>
          <w:rFonts w:hint="eastAsia" w:ascii="Arial" w:hAnsi="Arial" w:eastAsia="宋体" w:cs="Arial"/>
          <w:color w:val="auto"/>
          <w:sz w:val="24"/>
          <w:highlight w:val="none"/>
        </w:rPr>
        <w:t>。</w:t>
      </w:r>
      <w:r>
        <w:rPr>
          <w:rFonts w:hint="eastAsia" w:ascii="Arial" w:hAnsi="Arial" w:eastAsia="宋体" w:cs="Arial"/>
          <w:b/>
          <w:bCs/>
          <w:color w:val="auto"/>
          <w:sz w:val="24"/>
          <w:highlight w:val="none"/>
          <w:lang w:val="en-US" w:eastAsia="zh-CN"/>
        </w:rPr>
        <w:t>3.投标配置需满足所有招标参数配置要求，若有任意一项不满足，务必将不满足项在偏离招标要求中写出。</w:t>
      </w: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D187404-3F65-41E1-B24C-6D0A90C4B172}"/>
  </w:font>
  <w:font w:name="黑体">
    <w:panose1 w:val="02010609060101010101"/>
    <w:charset w:val="86"/>
    <w:family w:val="auto"/>
    <w:pitch w:val="default"/>
    <w:sig w:usb0="800002BF" w:usb1="38CF7CFA" w:usb2="00000016" w:usb3="00000000" w:csb0="00040001" w:csb1="00000000"/>
    <w:embedRegular r:id="rId2" w:fontKey="{057BEFED-9842-4D2E-853A-9A6476BFB3C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8DE782EB-6C4D-4641-B732-001EBDE0A7D5}"/>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4" w:fontKey="{720149B9-F97C-4840-A992-D4B1C9B92372}"/>
  </w:font>
  <w:font w:name="方正仿宋简体">
    <w:panose1 w:val="02000000000000000000"/>
    <w:charset w:val="86"/>
    <w:family w:val="auto"/>
    <w:pitch w:val="default"/>
    <w:sig w:usb0="A00002BF" w:usb1="184F6CFA" w:usb2="00000012" w:usb3="00000000" w:csb0="00040001" w:csb1="00000000"/>
    <w:embedRegular r:id="rId5" w:fontKey="{07B84A59-258B-4321-B0FF-AA52F6BA8FC0}"/>
  </w:font>
  <w:font w:name="仿宋">
    <w:panose1 w:val="02010609060101010101"/>
    <w:charset w:val="86"/>
    <w:family w:val="auto"/>
    <w:pitch w:val="default"/>
    <w:sig w:usb0="800002BF" w:usb1="38CF7CFA" w:usb2="00000016" w:usb3="00000000" w:csb0="00040001" w:csb1="00000000"/>
    <w:embedRegular r:id="rId6" w:fontKey="{DCBB9820-F46A-42A7-B221-F14E0E89E1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D8534"/>
    <w:multiLevelType w:val="singleLevel"/>
    <w:tmpl w:val="BB6D8534"/>
    <w:lvl w:ilvl="0" w:tentative="0">
      <w:start w:val="8"/>
      <w:numFmt w:val="chineseCounting"/>
      <w:suff w:val="nothing"/>
      <w:lvlText w:val="%1、"/>
      <w:lvlJc w:val="left"/>
      <w:rPr>
        <w:rFonts w:hint="eastAsia"/>
      </w:rPr>
    </w:lvl>
  </w:abstractNum>
  <w:abstractNum w:abstractNumId="1">
    <w:nsid w:val="58AA96A8"/>
    <w:multiLevelType w:val="singleLevel"/>
    <w:tmpl w:val="58AA96A8"/>
    <w:lvl w:ilvl="0" w:tentative="0">
      <w:start w:val="1"/>
      <w:numFmt w:val="decimal"/>
      <w:pStyle w:val="9"/>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BhNzc4MTI3MDJkNjAwY2JiZjllOGVmNzBmNzgifQ=="/>
  </w:docVars>
  <w:rsids>
    <w:rsidRoot w:val="00000000"/>
    <w:rsid w:val="0118690F"/>
    <w:rsid w:val="03C34DBD"/>
    <w:rsid w:val="040D4EEE"/>
    <w:rsid w:val="051C4A8C"/>
    <w:rsid w:val="06787E06"/>
    <w:rsid w:val="08926EB8"/>
    <w:rsid w:val="0BF77528"/>
    <w:rsid w:val="0D0D2F2C"/>
    <w:rsid w:val="0E8B163D"/>
    <w:rsid w:val="121F5BBC"/>
    <w:rsid w:val="134E7FDA"/>
    <w:rsid w:val="152B73DA"/>
    <w:rsid w:val="153F13EA"/>
    <w:rsid w:val="17515D87"/>
    <w:rsid w:val="18511C97"/>
    <w:rsid w:val="185A6D8C"/>
    <w:rsid w:val="1A4C59BC"/>
    <w:rsid w:val="1B9C337D"/>
    <w:rsid w:val="21CD1190"/>
    <w:rsid w:val="26BE19EF"/>
    <w:rsid w:val="28272A9A"/>
    <w:rsid w:val="29EE6979"/>
    <w:rsid w:val="2CE72BBB"/>
    <w:rsid w:val="2E5A6F24"/>
    <w:rsid w:val="31FF3C8C"/>
    <w:rsid w:val="34215BDC"/>
    <w:rsid w:val="34EF74E1"/>
    <w:rsid w:val="354C73C1"/>
    <w:rsid w:val="35606E06"/>
    <w:rsid w:val="35ED2318"/>
    <w:rsid w:val="368051FD"/>
    <w:rsid w:val="391061DD"/>
    <w:rsid w:val="3BAC20DD"/>
    <w:rsid w:val="3F6B0E3C"/>
    <w:rsid w:val="405B35B8"/>
    <w:rsid w:val="41191F17"/>
    <w:rsid w:val="41AF6B58"/>
    <w:rsid w:val="43AF3088"/>
    <w:rsid w:val="44B73E16"/>
    <w:rsid w:val="4557052A"/>
    <w:rsid w:val="45F15DDF"/>
    <w:rsid w:val="474F593B"/>
    <w:rsid w:val="484177D3"/>
    <w:rsid w:val="48750206"/>
    <w:rsid w:val="4929560D"/>
    <w:rsid w:val="4B1053A5"/>
    <w:rsid w:val="4BCC26C2"/>
    <w:rsid w:val="4D3A4E44"/>
    <w:rsid w:val="4E16410E"/>
    <w:rsid w:val="51D014E5"/>
    <w:rsid w:val="527E300A"/>
    <w:rsid w:val="539C7E18"/>
    <w:rsid w:val="53D62787"/>
    <w:rsid w:val="54F72943"/>
    <w:rsid w:val="56BB4D76"/>
    <w:rsid w:val="58DC445F"/>
    <w:rsid w:val="5AFB34E0"/>
    <w:rsid w:val="5C0C0A54"/>
    <w:rsid w:val="5D09471D"/>
    <w:rsid w:val="5DA35B5B"/>
    <w:rsid w:val="5F7A1712"/>
    <w:rsid w:val="60AB24D6"/>
    <w:rsid w:val="6122094F"/>
    <w:rsid w:val="617150E9"/>
    <w:rsid w:val="61E53B7E"/>
    <w:rsid w:val="62CC4AB9"/>
    <w:rsid w:val="640A32BE"/>
    <w:rsid w:val="67082CAF"/>
    <w:rsid w:val="69303650"/>
    <w:rsid w:val="6A5D4527"/>
    <w:rsid w:val="6B562C43"/>
    <w:rsid w:val="6BB26611"/>
    <w:rsid w:val="6BB959DA"/>
    <w:rsid w:val="6BEF0C80"/>
    <w:rsid w:val="6E7B2AEA"/>
    <w:rsid w:val="70765B1C"/>
    <w:rsid w:val="72B35A1A"/>
    <w:rsid w:val="74B254D4"/>
    <w:rsid w:val="7993773F"/>
    <w:rsid w:val="7FE33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2"/>
    <w:basedOn w:val="1"/>
    <w:next w:val="8"/>
    <w:qFormat/>
    <w:uiPriority w:val="0"/>
    <w:pPr>
      <w:keepNext/>
      <w:keepLines/>
      <w:spacing w:before="260" w:after="260" w:line="360" w:lineRule="auto"/>
      <w:jc w:val="center"/>
      <w:outlineLvl w:val="1"/>
    </w:pPr>
    <w:rPr>
      <w:rFonts w:ascii="Arial" w:hAnsi="Arial" w:eastAsia="宋体"/>
      <w:b/>
      <w:sz w:val="28"/>
    </w:rPr>
  </w:style>
  <w:style w:type="paragraph" w:styleId="9">
    <w:name w:val="heading 3"/>
    <w:basedOn w:val="1"/>
    <w:next w:val="1"/>
    <w:qFormat/>
    <w:uiPriority w:val="0"/>
    <w:pPr>
      <w:keepNext/>
      <w:keepLines/>
      <w:numPr>
        <w:ilvl w:val="0"/>
        <w:numId w:val="1"/>
      </w:numPr>
      <w:spacing w:before="260" w:after="260" w:line="240" w:lineRule="auto"/>
      <w:ind w:left="0" w:firstLine="0" w:firstLineChars="0"/>
      <w:jc w:val="left"/>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Arial" w:hAnsi="Arial"/>
      <w:sz w:val="24"/>
    </w:rPr>
  </w:style>
  <w:style w:type="paragraph" w:customStyle="1" w:styleId="3">
    <w:name w:val="Default"/>
    <w:next w:val="4"/>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
    <w:name w:val="大标题"/>
    <w:basedOn w:val="1"/>
    <w:next w:val="5"/>
    <w:qFormat/>
    <w:uiPriority w:val="0"/>
    <w:pPr>
      <w:jc w:val="center"/>
    </w:pPr>
    <w:rPr>
      <w:rFonts w:ascii="Arial" w:hAnsi="Arial" w:eastAsia="宋体"/>
      <w:b/>
      <w:sz w:val="28"/>
    </w:rPr>
  </w:style>
  <w:style w:type="paragraph" w:styleId="5">
    <w:name w:val="Body Text First Indent 2"/>
    <w:basedOn w:val="6"/>
    <w:next w:val="1"/>
    <w:qFormat/>
    <w:uiPriority w:val="0"/>
    <w:pPr>
      <w:ind w:firstLine="420" w:firstLineChars="200"/>
    </w:pPr>
    <w:rPr>
      <w:rFonts w:ascii="宋体" w:hAnsi="宋体" w:eastAsia="宋体"/>
      <w:sz w:val="28"/>
      <w:szCs w:val="28"/>
    </w:rPr>
  </w:style>
  <w:style w:type="paragraph" w:styleId="6">
    <w:name w:val="Body Text Indent"/>
    <w:basedOn w:val="1"/>
    <w:next w:val="3"/>
    <w:unhideWhenUsed/>
    <w:qFormat/>
    <w:uiPriority w:val="0"/>
    <w:pPr>
      <w:spacing w:after="120"/>
      <w:ind w:left="420" w:leftChars="200"/>
    </w:pPr>
  </w:style>
  <w:style w:type="paragraph" w:styleId="8">
    <w:name w:val="Normal Indent"/>
    <w:basedOn w:val="1"/>
    <w:qFormat/>
    <w:uiPriority w:val="0"/>
    <w:pPr>
      <w:ind w:firstLine="420" w:firstLineChars="200"/>
    </w:pPr>
    <w:rPr>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2"/>
    <w:qFormat/>
    <w:uiPriority w:val="99"/>
    <w:pPr>
      <w:spacing w:after="120"/>
      <w:ind w:firstLine="420" w:firstLineChars="100"/>
    </w:pPr>
  </w:style>
  <w:style w:type="character" w:styleId="16">
    <w:name w:val="Emphasis"/>
    <w:basedOn w:val="15"/>
    <w:qFormat/>
    <w:uiPriority w:val="0"/>
    <w:rPr>
      <w:i/>
    </w:rPr>
  </w:style>
  <w:style w:type="paragraph" w:customStyle="1" w:styleId="17">
    <w:name w:val="正文格式"/>
    <w:basedOn w:val="1"/>
    <w:qFormat/>
    <w:uiPriority w:val="0"/>
    <w:pPr>
      <w:widowControl/>
      <w:adjustRightInd w:val="0"/>
      <w:snapToGrid w:val="0"/>
      <w:spacing w:line="360" w:lineRule="auto"/>
      <w:jc w:val="center"/>
      <w:textAlignment w:val="baseline"/>
    </w:pPr>
    <w:rPr>
      <w:rFonts w:ascii="Times New Roman" w:hAnsi="Times New Roman" w:eastAsia="宋体" w:cs="Times New Roman"/>
      <w:kern w:val="24"/>
      <w:sz w:val="24"/>
      <w:szCs w:val="21"/>
    </w:rPr>
  </w:style>
  <w:style w:type="character" w:customStyle="1" w:styleId="18">
    <w:name w:val="font11"/>
    <w:basedOn w:val="15"/>
    <w:qFormat/>
    <w:uiPriority w:val="0"/>
    <w:rPr>
      <w:rFonts w:hint="eastAsia" w:ascii="宋体" w:hAnsi="宋体" w:eastAsia="宋体" w:cs="宋体"/>
      <w:color w:val="000000"/>
      <w:sz w:val="21"/>
      <w:szCs w:val="21"/>
      <w:u w:val="none"/>
    </w:rPr>
  </w:style>
  <w:style w:type="character" w:customStyle="1" w:styleId="19">
    <w:name w:val="font21"/>
    <w:basedOn w:val="15"/>
    <w:qFormat/>
    <w:uiPriority w:val="0"/>
    <w:rPr>
      <w:rFonts w:hint="default" w:ascii="Arial" w:hAnsi="Arial" w:cs="Arial"/>
      <w:color w:val="000000"/>
      <w:sz w:val="21"/>
      <w:szCs w:val="21"/>
      <w:u w:val="none"/>
    </w:rPr>
  </w:style>
  <w:style w:type="character" w:customStyle="1" w:styleId="20">
    <w:name w:val="font31"/>
    <w:basedOn w:val="15"/>
    <w:qFormat/>
    <w:uiPriority w:val="0"/>
    <w:rPr>
      <w:rFonts w:hint="eastAsia" w:ascii="宋体" w:hAnsi="宋体" w:eastAsia="宋体" w:cs="宋体"/>
      <w:color w:val="000000"/>
      <w:sz w:val="20"/>
      <w:szCs w:val="20"/>
      <w:u w:val="none"/>
      <w:vertAlign w:val="subscript"/>
    </w:rPr>
  </w:style>
  <w:style w:type="character" w:customStyle="1" w:styleId="21">
    <w:name w:val="font81"/>
    <w:basedOn w:val="15"/>
    <w:qFormat/>
    <w:uiPriority w:val="0"/>
    <w:rPr>
      <w:rFonts w:hint="eastAsia" w:ascii="宋体" w:hAnsi="宋体" w:eastAsia="宋体" w:cs="宋体"/>
      <w:color w:val="000000"/>
      <w:sz w:val="20"/>
      <w:szCs w:val="20"/>
      <w:u w:val="none"/>
      <w:vertAlign w:val="subscript"/>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1594</Words>
  <Characters>1732</Characters>
  <Lines>0</Lines>
  <Paragraphs>0</Paragraphs>
  <TotalTime>3</TotalTime>
  <ScaleCrop>false</ScaleCrop>
  <LinksUpToDate>false</LinksUpToDate>
  <CharactersWithSpaces>1788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2023-08-23T11:05:00Z</dcterms:created>
  <dc:creator>Administrator</dc:creator>
  <cp:lastModifiedBy>李雪</cp:lastModifiedBy>
  <cp:lastPrinted>2024-05-08T04:14:00Z</cp:lastPrinted>
  <dcterms:modified xsi:type="dcterms:W3CDTF">2024-07-25T09:59:51Z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077837DCA9794F5BBB9C10A8F24BB33F_13</vt:lpwstr>
  </property>
</Properties>
</file>