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1F13">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采</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购</w:t>
      </w:r>
      <w:r>
        <w:rPr>
          <w:rFonts w:hint="eastAsia" w:asciiTheme="minorEastAsia" w:hAnsiTheme="minorEastAsia" w:eastAsiaTheme="minorEastAsia"/>
          <w:b/>
          <w:sz w:val="32"/>
          <w:szCs w:val="32"/>
          <w:lang w:val="en-US" w:eastAsia="zh-CN"/>
        </w:rPr>
        <w:t xml:space="preserve"> </w:t>
      </w:r>
      <w:r>
        <w:rPr>
          <w:rFonts w:asciiTheme="minorEastAsia" w:hAnsiTheme="minorEastAsia" w:eastAsiaTheme="minorEastAsia"/>
          <w:b/>
          <w:sz w:val="32"/>
          <w:szCs w:val="32"/>
        </w:rPr>
        <w:t>需</w:t>
      </w:r>
      <w:r>
        <w:rPr>
          <w:rFonts w:hint="eastAsia" w:asciiTheme="minorEastAsia" w:hAnsiTheme="minorEastAsia" w:eastAsiaTheme="minorEastAsia"/>
          <w:b/>
          <w:sz w:val="32"/>
          <w:szCs w:val="32"/>
          <w:lang w:val="en-US" w:eastAsia="zh-CN"/>
        </w:rPr>
        <w:t xml:space="preserve"> </w:t>
      </w:r>
      <w:r>
        <w:rPr>
          <w:rFonts w:asciiTheme="minorEastAsia" w:hAnsiTheme="minorEastAsia" w:eastAsiaTheme="minorEastAsia"/>
          <w:b/>
          <w:sz w:val="32"/>
          <w:szCs w:val="32"/>
        </w:rPr>
        <w:t>求</w:t>
      </w:r>
    </w:p>
    <w:tbl>
      <w:tblPr>
        <w:tblStyle w:val="8"/>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83"/>
        <w:gridCol w:w="6511"/>
        <w:gridCol w:w="536"/>
        <w:gridCol w:w="590"/>
        <w:gridCol w:w="619"/>
        <w:gridCol w:w="679"/>
      </w:tblGrid>
      <w:tr w14:paraId="73B0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2" w:type="dxa"/>
            <w:shd w:val="clear" w:color="auto" w:fill="auto"/>
            <w:vAlign w:val="center"/>
          </w:tcPr>
          <w:p w14:paraId="1C5DFD63">
            <w:pPr>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683" w:type="dxa"/>
            <w:shd w:val="clear" w:color="auto" w:fill="auto"/>
            <w:vAlign w:val="center"/>
          </w:tcPr>
          <w:p w14:paraId="5CCE7E81">
            <w:pPr>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产品名称</w:t>
            </w:r>
          </w:p>
        </w:tc>
        <w:tc>
          <w:tcPr>
            <w:tcW w:w="6511" w:type="dxa"/>
            <w:shd w:val="clear" w:color="auto" w:fill="auto"/>
            <w:vAlign w:val="center"/>
          </w:tcPr>
          <w:p w14:paraId="78D7F5E6">
            <w:pPr>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tc>
        <w:tc>
          <w:tcPr>
            <w:tcW w:w="536" w:type="dxa"/>
            <w:shd w:val="clear" w:color="auto" w:fill="auto"/>
            <w:vAlign w:val="center"/>
          </w:tcPr>
          <w:p w14:paraId="21BF309B">
            <w:pPr>
              <w:jc w:val="center"/>
              <w:rPr>
                <w:rFonts w:hint="eastAsia" w:asciiTheme="minorEastAsia" w:hAnsiTheme="minorEastAsia" w:eastAsiaTheme="minorEastAsia"/>
                <w:b/>
                <w:kern w:val="0"/>
                <w:szCs w:val="21"/>
                <w:lang w:eastAsia="zh-CN"/>
              </w:rPr>
            </w:pPr>
            <w:r>
              <w:rPr>
                <w:rFonts w:hint="eastAsia" w:asciiTheme="minorEastAsia" w:hAnsiTheme="minorEastAsia" w:eastAsiaTheme="minorEastAsia"/>
                <w:b/>
                <w:kern w:val="0"/>
                <w:szCs w:val="21"/>
                <w:lang w:val="en-US" w:eastAsia="zh-CN"/>
              </w:rPr>
              <w:t>单位</w:t>
            </w:r>
          </w:p>
        </w:tc>
        <w:tc>
          <w:tcPr>
            <w:tcW w:w="590" w:type="dxa"/>
            <w:shd w:val="clear" w:color="auto" w:fill="auto"/>
            <w:vAlign w:val="center"/>
          </w:tcPr>
          <w:p w14:paraId="05B4A86E">
            <w:pPr>
              <w:jc w:val="center"/>
              <w:rPr>
                <w:rFonts w:hint="eastAsia" w:asciiTheme="minorEastAsia" w:hAnsiTheme="minorEastAsia" w:eastAsiaTheme="minorEastAsia"/>
                <w:b/>
                <w:kern w:val="0"/>
                <w:szCs w:val="21"/>
                <w:lang w:val="en-US" w:eastAsia="zh-CN"/>
              </w:rPr>
            </w:pPr>
            <w:r>
              <w:rPr>
                <w:rFonts w:hint="eastAsia" w:asciiTheme="minorEastAsia" w:hAnsiTheme="minorEastAsia" w:eastAsiaTheme="minorEastAsia"/>
                <w:b/>
                <w:kern w:val="0"/>
                <w:szCs w:val="21"/>
                <w:lang w:val="en-US" w:eastAsia="zh-CN"/>
              </w:rPr>
              <w:t>数量</w:t>
            </w:r>
          </w:p>
        </w:tc>
        <w:tc>
          <w:tcPr>
            <w:tcW w:w="619" w:type="dxa"/>
            <w:shd w:val="clear" w:color="auto" w:fill="auto"/>
            <w:vAlign w:val="center"/>
          </w:tcPr>
          <w:p w14:paraId="0DCB4CBA">
            <w:pPr>
              <w:jc w:val="center"/>
              <w:rPr>
                <w:rFonts w:hint="eastAsia" w:asciiTheme="minorEastAsia" w:hAnsiTheme="minorEastAsia" w:eastAsiaTheme="minorEastAsia"/>
                <w:b/>
                <w:kern w:val="0"/>
                <w:szCs w:val="21"/>
                <w:lang w:val="en-US" w:eastAsia="zh-CN"/>
              </w:rPr>
            </w:pPr>
            <w:r>
              <w:rPr>
                <w:rFonts w:hint="eastAsia" w:asciiTheme="minorEastAsia" w:hAnsiTheme="minorEastAsia" w:eastAsiaTheme="minorEastAsia"/>
                <w:b/>
                <w:kern w:val="0"/>
                <w:szCs w:val="21"/>
                <w:lang w:val="en-US" w:eastAsia="zh-CN"/>
              </w:rPr>
              <w:t>单价</w:t>
            </w:r>
          </w:p>
        </w:tc>
        <w:tc>
          <w:tcPr>
            <w:tcW w:w="679" w:type="dxa"/>
            <w:shd w:val="clear" w:color="auto" w:fill="auto"/>
            <w:vAlign w:val="center"/>
          </w:tcPr>
          <w:p w14:paraId="2F068278">
            <w:pPr>
              <w:jc w:val="center"/>
              <w:rPr>
                <w:rFonts w:hint="eastAsia" w:asciiTheme="minorEastAsia" w:hAnsiTheme="minorEastAsia" w:eastAsiaTheme="minorEastAsia"/>
                <w:b/>
                <w:kern w:val="0"/>
                <w:szCs w:val="21"/>
                <w:lang w:val="en-US" w:eastAsia="zh-CN"/>
              </w:rPr>
            </w:pPr>
            <w:r>
              <w:rPr>
                <w:rFonts w:hint="eastAsia" w:asciiTheme="minorEastAsia" w:hAnsiTheme="minorEastAsia" w:eastAsiaTheme="minorEastAsia"/>
                <w:b/>
                <w:kern w:val="0"/>
                <w:szCs w:val="21"/>
                <w:lang w:val="en-US" w:eastAsia="zh-CN"/>
              </w:rPr>
              <w:t>金额</w:t>
            </w:r>
          </w:p>
        </w:tc>
      </w:tr>
      <w:tr w14:paraId="1123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vAlign w:val="center"/>
          </w:tcPr>
          <w:p w14:paraId="4331CB56">
            <w:pPr>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1</w:t>
            </w:r>
          </w:p>
        </w:tc>
        <w:tc>
          <w:tcPr>
            <w:tcW w:w="683" w:type="dxa"/>
            <w:vAlign w:val="center"/>
          </w:tcPr>
          <w:p w14:paraId="68527E8D">
            <w:pPr>
              <w:jc w:val="center"/>
              <w:rPr>
                <w:rFonts w:hint="eastAsia" w:eastAsia="宋体" w:asciiTheme="minorEastAsia" w:hAnsiTheme="minorEastAsia"/>
                <w:szCs w:val="21"/>
                <w:lang w:val="en-US" w:eastAsia="zh-CN"/>
              </w:rPr>
            </w:pPr>
            <w:r>
              <w:rPr>
                <w:rFonts w:hint="eastAsia" w:cs="Arial" w:asciiTheme="minorEastAsia" w:hAnsiTheme="minorEastAsia"/>
                <w:szCs w:val="21"/>
              </w:rPr>
              <w:t>LED教室灯</w:t>
            </w:r>
            <w:r>
              <w:rPr>
                <w:rFonts w:hint="eastAsia" w:cs="Arial" w:asciiTheme="minorEastAsia" w:hAnsiTheme="minorEastAsia"/>
                <w:szCs w:val="21"/>
                <w:lang w:val="en-US" w:eastAsia="zh-CN"/>
              </w:rPr>
              <w:t>1</w:t>
            </w:r>
          </w:p>
        </w:tc>
        <w:tc>
          <w:tcPr>
            <w:tcW w:w="6511" w:type="dxa"/>
            <w:vAlign w:val="center"/>
          </w:tcPr>
          <w:p w14:paraId="16BF4759">
            <w:pPr>
              <w:jc w:val="left"/>
              <w:rPr>
                <w:rFonts w:hint="eastAsia"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、LED教室灯</w:t>
            </w:r>
            <w:r>
              <w:rPr>
                <w:rFonts w:cs="Arial" w:asciiTheme="minorEastAsia" w:hAnsiTheme="minorEastAsia"/>
                <w:szCs w:val="21"/>
              </w:rPr>
              <w:t>尺寸≥1220mm</w:t>
            </w:r>
            <w:r>
              <w:rPr>
                <w:rFonts w:hint="eastAsia" w:cs="Arial" w:asciiTheme="minorEastAsia" w:hAnsiTheme="minorEastAsia"/>
                <w:szCs w:val="21"/>
              </w:rPr>
              <w:t>；为一体式电镀铝六边形格栅防眩灯具，格栅高度不低于1</w:t>
            </w:r>
            <w:r>
              <w:rPr>
                <w:rFonts w:cs="Arial" w:asciiTheme="minorEastAsia" w:hAnsiTheme="minorEastAsia"/>
                <w:szCs w:val="21"/>
              </w:rPr>
              <w:t>2mm。</w:t>
            </w:r>
            <w:r>
              <w:rPr>
                <w:rFonts w:hint="eastAsia" w:cs="Arial" w:asciiTheme="minorEastAsia" w:hAnsiTheme="minorEastAsia"/>
                <w:szCs w:val="21"/>
              </w:rPr>
              <w:t>背罩采用高分子复合材料，抗UV、耐黄变，材料边缘厚度不低于1.0</w:t>
            </w:r>
            <w:r>
              <w:rPr>
                <w:rFonts w:cs="Arial" w:asciiTheme="minorEastAsia" w:hAnsiTheme="minorEastAsia"/>
                <w:szCs w:val="21"/>
              </w:rPr>
              <w:t>mm</w:t>
            </w:r>
            <w:r>
              <w:rPr>
                <w:rFonts w:hint="eastAsia" w:cs="Arial" w:asciiTheme="minorEastAsia" w:hAnsiTheme="minorEastAsia"/>
                <w:szCs w:val="21"/>
              </w:rPr>
              <w:t xml:space="preserve">；背均匀出光，背部可视发光面积占总背罩面积不低于50%，以确保教室天花板照度均匀，无吊杆阴影，降低教室整体眩光；采用一体式航空铝型材边框，边框为一体化工艺，不使用拼接工艺，四边角为圆弧，可减少尖锐磕碰风险，保证灯体安全牢靠。 </w:t>
            </w:r>
          </w:p>
          <w:p w14:paraId="4CA4F101">
            <w:pPr>
              <w:rPr>
                <w:rFonts w:hint="eastAsia" w:cs="Arial" w:asciiTheme="minorEastAsia" w:hAnsiTheme="minorEastAsia"/>
                <w:szCs w:val="21"/>
              </w:rPr>
            </w:pPr>
            <w:r>
              <w:rPr>
                <w:rFonts w:cs="Arial" w:asciiTheme="minorEastAsia" w:hAnsiTheme="minorEastAsia"/>
                <w:szCs w:val="21"/>
              </w:rPr>
              <w:t>2、</w:t>
            </w:r>
            <w:r>
              <w:rPr>
                <w:rFonts w:hint="eastAsia" w:cs="Arial" w:asciiTheme="minorEastAsia" w:hAnsiTheme="minorEastAsia"/>
                <w:szCs w:val="21"/>
              </w:rPr>
              <w:t>LED教室灯额定功率≤</w:t>
            </w:r>
            <w:r>
              <w:rPr>
                <w:rFonts w:cs="Arial" w:asciiTheme="minorEastAsia" w:hAnsiTheme="minorEastAsia"/>
                <w:szCs w:val="21"/>
              </w:rPr>
              <w:t>40</w:t>
            </w:r>
            <w:r>
              <w:rPr>
                <w:rFonts w:hint="eastAsia" w:cs="Arial" w:asciiTheme="minorEastAsia" w:hAnsiTheme="minorEastAsia"/>
                <w:szCs w:val="21"/>
              </w:rPr>
              <w:t>W，</w:t>
            </w:r>
            <w:r>
              <w:rPr>
                <w:rFonts w:hint="eastAsia" w:asciiTheme="minorEastAsia" w:hAnsiTheme="minorEastAsia"/>
                <w:szCs w:val="21"/>
              </w:rPr>
              <w:t>单颗光源功率≥1W，光源额定总功率是灯具额定功率的</w:t>
            </w:r>
            <w:r>
              <w:rPr>
                <w:rFonts w:asciiTheme="minorEastAsia" w:hAnsiTheme="minorEastAsia"/>
                <w:szCs w:val="21"/>
              </w:rPr>
              <w:t>5.5</w:t>
            </w:r>
            <w:r>
              <w:rPr>
                <w:rFonts w:hint="eastAsia" w:asciiTheme="minorEastAsia" w:hAnsiTheme="minorEastAsia"/>
                <w:szCs w:val="21"/>
              </w:rPr>
              <w:t>倍或以上，且t</w:t>
            </w:r>
            <w:r>
              <w:rPr>
                <w:rFonts w:asciiTheme="minorEastAsia" w:hAnsiTheme="minorEastAsia"/>
                <w:szCs w:val="21"/>
              </w:rPr>
              <w:t>a≥50℃</w:t>
            </w:r>
            <w:r>
              <w:rPr>
                <w:rFonts w:hint="eastAsia" w:cs="Arial" w:asciiTheme="minorEastAsia" w:hAnsiTheme="minorEastAsia"/>
                <w:szCs w:val="21"/>
              </w:rPr>
              <w:t>。</w:t>
            </w:r>
          </w:p>
          <w:p w14:paraId="161CEE4D">
            <w:pPr>
              <w:jc w:val="left"/>
              <w:rPr>
                <w:rFonts w:hint="eastAsia" w:cs="Arial" w:asciiTheme="minorEastAsia" w:hAnsiTheme="minorEastAsia"/>
                <w:szCs w:val="21"/>
              </w:rPr>
            </w:pPr>
            <w:r>
              <w:rPr>
                <w:rFonts w:cs="Arial" w:asciiTheme="minorEastAsia" w:hAnsiTheme="minorEastAsia"/>
                <w:szCs w:val="21"/>
              </w:rPr>
              <w:t>3</w:t>
            </w:r>
            <w:r>
              <w:rPr>
                <w:rFonts w:hint="eastAsia" w:cs="Arial" w:asciiTheme="minorEastAsia" w:hAnsiTheme="minorEastAsia"/>
                <w:szCs w:val="21"/>
              </w:rPr>
              <w:t>、LED教室灯色温（或相关色温）</w:t>
            </w:r>
            <w:r>
              <w:rPr>
                <w:rFonts w:cs="Arial" w:asciiTheme="minorEastAsia" w:hAnsiTheme="minorEastAsia"/>
                <w:szCs w:val="21"/>
              </w:rPr>
              <w:t>4</w:t>
            </w:r>
            <w:r>
              <w:rPr>
                <w:rFonts w:hint="eastAsia" w:cs="Arial" w:asciiTheme="minorEastAsia" w:hAnsiTheme="minorEastAsia"/>
                <w:szCs w:val="21"/>
              </w:rPr>
              <w:t>300-5300K，显色指数Ra≥9</w:t>
            </w:r>
            <w:r>
              <w:rPr>
                <w:rFonts w:cs="Arial" w:asciiTheme="minorEastAsia" w:hAnsiTheme="minorEastAsia"/>
                <w:szCs w:val="21"/>
              </w:rPr>
              <w:t>5</w:t>
            </w:r>
            <w:r>
              <w:rPr>
                <w:rFonts w:hint="eastAsia" w:cs="Arial" w:asciiTheme="minorEastAsia" w:hAnsiTheme="minorEastAsia"/>
                <w:szCs w:val="21"/>
              </w:rPr>
              <w:t>、R9≥</w:t>
            </w:r>
            <w:r>
              <w:rPr>
                <w:rFonts w:cs="Arial" w:asciiTheme="minorEastAsia" w:hAnsiTheme="minorEastAsia"/>
                <w:szCs w:val="21"/>
              </w:rPr>
              <w:t>9</w:t>
            </w:r>
            <w:r>
              <w:rPr>
                <w:rFonts w:hint="eastAsia" w:cs="Arial" w:asciiTheme="minorEastAsia" w:hAnsiTheme="minorEastAsia"/>
                <w:szCs w:val="21"/>
              </w:rPr>
              <w:t>0，色容差≤5 SDCM。</w:t>
            </w:r>
          </w:p>
          <w:p w14:paraId="6EEEBAA4">
            <w:pPr>
              <w:wordWrap w:val="0"/>
              <w:jc w:val="left"/>
              <w:rPr>
                <w:rFonts w:hint="eastAsia" w:cs="Arial" w:asciiTheme="minorEastAsia" w:hAnsiTheme="minorEastAsia"/>
                <w:szCs w:val="21"/>
              </w:rPr>
            </w:pPr>
            <w:r>
              <w:rPr>
                <w:rFonts w:cs="Arial" w:asciiTheme="minorEastAsia" w:hAnsiTheme="minorEastAsia"/>
                <w:szCs w:val="21"/>
              </w:rPr>
              <w:t>4</w:t>
            </w:r>
            <w:r>
              <w:rPr>
                <w:rFonts w:hint="eastAsia" w:cs="Arial" w:asciiTheme="minorEastAsia" w:hAnsiTheme="minorEastAsia"/>
                <w:szCs w:val="21"/>
              </w:rPr>
              <w:t>、LED教室灯通过人体电磁辐射测试。</w:t>
            </w:r>
          </w:p>
          <w:p w14:paraId="577B0808">
            <w:pPr>
              <w:wordWrap w:val="0"/>
              <w:jc w:val="left"/>
              <w:rPr>
                <w:rFonts w:hint="eastAsia" w:cs="Arial" w:asciiTheme="minorEastAsia" w:hAnsiTheme="minorEastAsia"/>
                <w:szCs w:val="21"/>
              </w:rPr>
            </w:pPr>
            <w:r>
              <w:rPr>
                <w:rFonts w:cs="Arial" w:asciiTheme="minorEastAsia" w:hAnsiTheme="minorEastAsia"/>
                <w:szCs w:val="21"/>
              </w:rPr>
              <w:t>5</w:t>
            </w:r>
            <w:r>
              <w:rPr>
                <w:rFonts w:hint="eastAsia" w:cs="Arial" w:asciiTheme="minorEastAsia" w:hAnsiTheme="minorEastAsia"/>
                <w:szCs w:val="21"/>
              </w:rPr>
              <w:t>、 LED教室灯采用大尺寸外置</w:t>
            </w:r>
            <w:r>
              <w:rPr>
                <w:rFonts w:cs="Arial" w:asciiTheme="minorEastAsia" w:hAnsiTheme="minorEastAsia"/>
                <w:szCs w:val="21"/>
              </w:rPr>
              <w:t>驱动</w:t>
            </w:r>
            <w:r>
              <w:rPr>
                <w:rFonts w:hint="eastAsia" w:cs="Arial" w:asciiTheme="minorEastAsia" w:hAnsiTheme="minorEastAsia"/>
                <w:szCs w:val="21"/>
              </w:rPr>
              <w:t>电源，器件散热性能好；驱动不可徒手拆卸，保证安全；驱动电源置于灯体上居中对称，保证吊装安全稳固；不使用支架直接固定在灯体上，防止掉落风险；背罩具有金属吊挂配件与金属边框连接固定。</w:t>
            </w:r>
          </w:p>
          <w:p w14:paraId="78D8F7EC">
            <w:pPr>
              <w:wordWrap w:val="0"/>
              <w:jc w:val="left"/>
              <w:rPr>
                <w:rFonts w:hint="eastAsia" w:cs="Arial" w:asciiTheme="minorEastAsia" w:hAnsiTheme="minorEastAsia"/>
                <w:szCs w:val="21"/>
              </w:rPr>
            </w:pPr>
            <w:r>
              <w:rPr>
                <w:rFonts w:cs="Arial" w:asciiTheme="minorEastAsia" w:hAnsiTheme="minorEastAsia"/>
                <w:szCs w:val="21"/>
              </w:rPr>
              <w:t>6</w:t>
            </w:r>
            <w:r>
              <w:rPr>
                <w:rFonts w:hint="eastAsia" w:cs="Arial" w:asciiTheme="minorEastAsia" w:hAnsiTheme="minorEastAsia"/>
                <w:szCs w:val="21"/>
              </w:rPr>
              <w:t>、</w:t>
            </w:r>
            <w:r>
              <w:rPr>
                <w:rFonts w:hint="eastAsia" w:ascii="宋体" w:hAnsi="宋体" w:eastAsia="宋体" w:cs="宋体"/>
                <w:i w:val="0"/>
                <w:iCs w:val="0"/>
                <w:color w:val="auto"/>
                <w:kern w:val="0"/>
                <w:sz w:val="20"/>
                <w:szCs w:val="20"/>
                <w:u w:val="none"/>
                <w:lang w:val="en-US" w:eastAsia="zh-CN" w:bidi="ar"/>
              </w:rPr>
              <w:t>准并符合《CQC16-465145-2021》认证规则通过近视防控认证。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LED 教室灯在大气压力≥100kPa，平均湿度≥50%RH、极值空气温度≤-20℃及相对温差≥34℃的实地自然环境条件下至少持续运行360小时，至少依据《GB/T9468》标准满足光束角CO-C180及C90-C270的实测值与初始值偏差均不超过±10%。</w:t>
            </w:r>
          </w:p>
          <w:p w14:paraId="36AC0827">
            <w:pPr>
              <w:jc w:val="left"/>
              <w:rPr>
                <w:rFonts w:hint="eastAsia" w:cs="Arial" w:asciiTheme="minorEastAsia" w:hAnsiTheme="minorEastAsia"/>
                <w:szCs w:val="21"/>
              </w:rPr>
            </w:pPr>
            <w:r>
              <w:rPr>
                <w:rFonts w:cs="Arial" w:asciiTheme="minorEastAsia" w:hAnsiTheme="minorEastAsia"/>
                <w:szCs w:val="21"/>
              </w:rPr>
              <w:t>7、</w:t>
            </w:r>
            <w:r>
              <w:rPr>
                <w:rFonts w:hint="eastAsia" w:cs="Arial" w:asciiTheme="minorEastAsia" w:hAnsiTheme="minorEastAsia"/>
                <w:szCs w:val="21"/>
              </w:rPr>
              <w:t>LED教室灯通过频闪无危害或无频闪危害或无显著影响认证。</w:t>
            </w:r>
          </w:p>
          <w:p w14:paraId="00C19DE8">
            <w:pPr>
              <w:wordWrap w:val="0"/>
              <w:jc w:val="left"/>
              <w:rPr>
                <w:rFonts w:hint="eastAsia" w:cs="Arial" w:asciiTheme="minorEastAsia" w:hAnsiTheme="minorEastAsia"/>
                <w:szCs w:val="21"/>
              </w:rPr>
            </w:pPr>
            <w:r>
              <w:rPr>
                <w:rFonts w:cs="Arial" w:asciiTheme="minorEastAsia" w:hAnsiTheme="minorEastAsia"/>
                <w:szCs w:val="21"/>
              </w:rPr>
              <w:t>8</w:t>
            </w:r>
            <w:r>
              <w:rPr>
                <w:rFonts w:hint="eastAsia" w:cs="Arial" w:asciiTheme="minorEastAsia" w:hAnsiTheme="minorEastAsia"/>
                <w:szCs w:val="21"/>
              </w:rPr>
              <w:t>、LED教室灯蓝光危害等级为RG0（或0类危险）。</w:t>
            </w:r>
          </w:p>
          <w:p w14:paraId="6FFD2560">
            <w:pPr>
              <w:wordWrap w:val="0"/>
              <w:adjustRightInd w:val="0"/>
              <w:snapToGrid w:val="0"/>
              <w:jc w:val="left"/>
              <w:rPr>
                <w:rFonts w:hint="eastAsia" w:cs="Arial" w:asciiTheme="minorEastAsia" w:hAnsiTheme="minorEastAsia"/>
                <w:szCs w:val="21"/>
              </w:rPr>
            </w:pPr>
            <w:r>
              <w:rPr>
                <w:rFonts w:cs="Arial" w:asciiTheme="minorEastAsia" w:hAnsiTheme="minorEastAsia"/>
                <w:szCs w:val="21"/>
              </w:rPr>
              <w:t>9</w:t>
            </w:r>
            <w:r>
              <w:rPr>
                <w:rFonts w:hint="eastAsia" w:cs="Arial" w:asciiTheme="minorEastAsia" w:hAnsiTheme="minorEastAsia"/>
                <w:szCs w:val="21"/>
              </w:rPr>
              <w:t>、LED教室灯</w:t>
            </w:r>
            <w:r>
              <w:rPr>
                <w:rFonts w:hint="eastAsia" w:asciiTheme="minorEastAsia" w:hAnsiTheme="minorEastAsia"/>
                <w:szCs w:val="21"/>
              </w:rPr>
              <w:t>在大气压力≥100kPa，平均湿度≥50%RH、极值空气温度≤-25℃及相对温差≥34℃的实地自然环境条件下至少持续运行360小时，</w:t>
            </w:r>
            <w:r>
              <w:rPr>
                <w:rFonts w:hint="eastAsia" w:cs="Arial" w:asciiTheme="minorEastAsia" w:hAnsiTheme="minorEastAsia"/>
                <w:szCs w:val="21"/>
              </w:rPr>
              <w:t xml:space="preserve">至少依据《GB/T </w:t>
            </w:r>
            <w:r>
              <w:rPr>
                <w:rFonts w:cs="Arial" w:asciiTheme="minorEastAsia" w:hAnsiTheme="minorEastAsia"/>
                <w:szCs w:val="21"/>
              </w:rPr>
              <w:t>18595</w:t>
            </w:r>
            <w:r>
              <w:rPr>
                <w:rFonts w:hint="eastAsia" w:cs="Arial" w:asciiTheme="minorEastAsia" w:hAnsiTheme="minorEastAsia"/>
                <w:szCs w:val="21"/>
              </w:rPr>
              <w:t>》标准满足</w:t>
            </w:r>
            <w:r>
              <w:rPr>
                <w:rFonts w:hint="eastAsia" w:asciiTheme="minorEastAsia" w:hAnsiTheme="minorEastAsia"/>
                <w:szCs w:val="21"/>
              </w:rPr>
              <w:t>浪涌性能达到C或以上等级</w:t>
            </w:r>
            <w:r>
              <w:rPr>
                <w:rFonts w:hint="eastAsia" w:cs="Arial" w:asciiTheme="minorEastAsia" w:hAnsiTheme="minorEastAsia"/>
                <w:szCs w:val="21"/>
              </w:rPr>
              <w:t>、至少依据《GB/T36979》满足</w:t>
            </w:r>
            <w:r>
              <w:rPr>
                <w:rFonts w:hint="eastAsia" w:asciiTheme="minorEastAsia" w:hAnsiTheme="minorEastAsia"/>
                <w:szCs w:val="21"/>
              </w:rPr>
              <w:t>空间颜色非均匀性△u</w:t>
            </w:r>
            <w:r>
              <w:rPr>
                <w:rFonts w:asciiTheme="minorEastAsia" w:hAnsiTheme="minorEastAsia"/>
                <w:szCs w:val="21"/>
              </w:rPr>
              <w:t>’v’</w:t>
            </w:r>
            <w:r>
              <w:rPr>
                <w:rFonts w:hint="eastAsia" w:asciiTheme="minorEastAsia" w:hAnsiTheme="minorEastAsia"/>
                <w:szCs w:val="21"/>
              </w:rPr>
              <w:t>≤</w:t>
            </w:r>
            <w:r>
              <w:rPr>
                <w:rFonts w:asciiTheme="minorEastAsia" w:hAnsiTheme="minorEastAsia"/>
                <w:szCs w:val="21"/>
              </w:rPr>
              <w:t>0.007</w:t>
            </w:r>
            <w:r>
              <w:rPr>
                <w:rFonts w:hint="eastAsia" w:cs="Arial" w:asciiTheme="minorEastAsia" w:hAnsiTheme="minorEastAsia"/>
                <w:szCs w:val="21"/>
              </w:rPr>
              <w:t>及至少依据《GB/T6882》标准满足噪声＜17dB（A）。</w:t>
            </w:r>
          </w:p>
          <w:p w14:paraId="61614188">
            <w:pPr>
              <w:wordWrap w:val="0"/>
              <w:adjustRightInd w:val="0"/>
              <w:snapToGrid w:val="0"/>
              <w:jc w:val="left"/>
              <w:rPr>
                <w:rFonts w:hint="eastAsia"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0、</w:t>
            </w:r>
            <w:r>
              <w:rPr>
                <w:rFonts w:hint="eastAsia" w:asciiTheme="minorEastAsia" w:hAnsiTheme="minorEastAsia"/>
                <w:color w:val="000000"/>
                <w:kern w:val="0"/>
                <w:szCs w:val="21"/>
              </w:rPr>
              <w:t>为了积极响应教育部等八部门印发的《综合防控儿童青少年近视实施方案》，降低近视率，</w:t>
            </w:r>
            <w:r>
              <w:rPr>
                <w:rFonts w:hint="eastAsia" w:cs="Arial" w:asciiTheme="minorEastAsia" w:hAnsiTheme="minorEastAsia"/>
                <w:szCs w:val="21"/>
              </w:rPr>
              <w:t>LED教室灯</w:t>
            </w:r>
            <w:r>
              <w:rPr>
                <w:rFonts w:asciiTheme="minorEastAsia" w:hAnsiTheme="minorEastAsia"/>
                <w:color w:val="000000"/>
                <w:kern w:val="0"/>
                <w:szCs w:val="21"/>
              </w:rPr>
              <w:t>环境适应性满足防护等级≥IP40，ta≥50℃</w:t>
            </w:r>
            <w:r>
              <w:rPr>
                <w:rFonts w:hint="eastAsia" w:asciiTheme="minorEastAsia" w:hAnsiTheme="minorEastAsia"/>
                <w:color w:val="000000"/>
                <w:kern w:val="0"/>
                <w:szCs w:val="21"/>
              </w:rPr>
              <w:t>，且</w:t>
            </w:r>
            <w:r>
              <w:rPr>
                <w:rFonts w:hint="eastAsia" w:cs="Arial" w:asciiTheme="minorEastAsia" w:hAnsiTheme="minorEastAsia"/>
                <w:szCs w:val="21"/>
              </w:rPr>
              <w:t>依据《GB40070》标准并符合《CQC16-465145-2021》认证规则通过近视防控认证。</w:t>
            </w:r>
          </w:p>
          <w:p w14:paraId="45EBB7E5">
            <w:pPr>
              <w:wordWrap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r>
              <w:rPr>
                <w:rFonts w:hint="eastAsia" w:cs="Arial" w:asciiTheme="minorEastAsia" w:hAnsiTheme="minorEastAsia"/>
                <w:szCs w:val="21"/>
              </w:rPr>
              <w:t>LED教室灯至少依据《GB/T 26572》标准通过电器电子产品认证。</w:t>
            </w:r>
          </w:p>
          <w:p w14:paraId="2EDAD4F6">
            <w:pPr>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12、LED教室灯至少依据《QB/T 5533》标准通过教室照明灯具性能认证。</w:t>
            </w:r>
          </w:p>
          <w:p w14:paraId="5C9F057A">
            <w:pPr>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13、为确保灯具使用寿命，LED教室灯至少依据《GB/T33721》标准满足光通维持寿命≥50000小时。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14、LED 教室灯在大气压力≥100kPa，平均湿度≥50%RH、极值空气温度≤-20℃及相对温差≥34℃的实地自然环境条件下至少持续运行360小时，至少依据《GB/T31897.201》标准满足光效的实测值与初始值的偏差不超过-10%。</w:t>
            </w:r>
          </w:p>
          <w:p w14:paraId="63E14057">
            <w:pPr>
              <w:jc w:val="left"/>
              <w:rPr>
                <w:rFonts w:hint="eastAsia" w:cs="Arial" w:asciiTheme="minorEastAsia" w:hAnsiTheme="minorEastAsia" w:eastAsiaTheme="minorEastAsia"/>
                <w:b/>
                <w:szCs w:val="21"/>
              </w:rPr>
            </w:pP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序号1至序号2须提供相关佐证材料，包含但不限于产品彩页或技术参数确认函。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序号4须提供第三方检测机构出具的封面带有CMA标志的检测报告及检测报告编号在全国认证认可信息公共服务平台的查询证明复印件。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5至序号14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tc>
        <w:tc>
          <w:tcPr>
            <w:tcW w:w="536" w:type="dxa"/>
            <w:vAlign w:val="center"/>
          </w:tcPr>
          <w:p w14:paraId="536E36ED">
            <w:pPr>
              <w:jc w:val="center"/>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盏</w:t>
            </w:r>
          </w:p>
        </w:tc>
        <w:tc>
          <w:tcPr>
            <w:tcW w:w="590" w:type="dxa"/>
            <w:vAlign w:val="center"/>
          </w:tcPr>
          <w:p w14:paraId="7497188B">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271</w:t>
            </w:r>
          </w:p>
        </w:tc>
        <w:tc>
          <w:tcPr>
            <w:tcW w:w="619" w:type="dxa"/>
            <w:vAlign w:val="center"/>
          </w:tcPr>
          <w:p w14:paraId="008D966E">
            <w:pPr>
              <w:jc w:val="center"/>
              <w:rPr>
                <w:rFonts w:hint="eastAsia" w:cs="Arial" w:asciiTheme="minorEastAsia" w:hAnsiTheme="minorEastAsia" w:eastAsiaTheme="minorEastAsia"/>
                <w:kern w:val="0"/>
                <w:szCs w:val="21"/>
              </w:rPr>
            </w:pPr>
          </w:p>
        </w:tc>
        <w:tc>
          <w:tcPr>
            <w:tcW w:w="679" w:type="dxa"/>
            <w:vAlign w:val="center"/>
          </w:tcPr>
          <w:p w14:paraId="762C224D">
            <w:pPr>
              <w:jc w:val="center"/>
              <w:rPr>
                <w:rFonts w:hint="eastAsia" w:cs="Arial" w:asciiTheme="minorEastAsia" w:hAnsiTheme="minorEastAsia" w:eastAsiaTheme="minorEastAsia"/>
                <w:kern w:val="0"/>
                <w:szCs w:val="21"/>
              </w:rPr>
            </w:pPr>
          </w:p>
        </w:tc>
      </w:tr>
      <w:tr w14:paraId="1651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5" w:hRule="atLeast"/>
          <w:jc w:val="center"/>
        </w:trPr>
        <w:tc>
          <w:tcPr>
            <w:tcW w:w="502" w:type="dxa"/>
            <w:vAlign w:val="center"/>
          </w:tcPr>
          <w:p w14:paraId="300BE00C">
            <w:pPr>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w:t>
            </w:r>
          </w:p>
        </w:tc>
        <w:tc>
          <w:tcPr>
            <w:tcW w:w="683" w:type="dxa"/>
            <w:vAlign w:val="center"/>
          </w:tcPr>
          <w:p w14:paraId="529EF869">
            <w:pPr>
              <w:jc w:val="center"/>
              <w:rPr>
                <w:rFonts w:hint="eastAsia" w:eastAsia="宋体" w:cs="Arial" w:asciiTheme="minorEastAsia" w:hAnsiTheme="minorEastAsia"/>
                <w:szCs w:val="21"/>
                <w:lang w:val="en-US" w:eastAsia="zh-CN"/>
              </w:rPr>
            </w:pPr>
            <w:r>
              <w:rPr>
                <w:rFonts w:hint="eastAsia" w:cs="Arial" w:asciiTheme="minorEastAsia" w:hAnsiTheme="minorEastAsia"/>
                <w:szCs w:val="21"/>
              </w:rPr>
              <w:t>LED教室灯</w:t>
            </w:r>
            <w:r>
              <w:rPr>
                <w:rFonts w:hint="eastAsia" w:cs="Arial" w:asciiTheme="minorEastAsia" w:hAnsiTheme="minorEastAsia"/>
                <w:szCs w:val="21"/>
                <w:lang w:val="en-US" w:eastAsia="zh-CN"/>
              </w:rPr>
              <w:t>2</w:t>
            </w:r>
          </w:p>
        </w:tc>
        <w:tc>
          <w:tcPr>
            <w:tcW w:w="6511" w:type="dxa"/>
            <w:vAlign w:val="center"/>
          </w:tcPr>
          <w:p w14:paraId="0B95DFA6">
            <w:pPr>
              <w:numPr>
                <w:ilvl w:val="0"/>
                <w:numId w:val="1"/>
              </w:numPr>
              <w:ind w:leftChars="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LED教室灯尺寸长宽600*600±5mm；为一体式侧发光微晶防眩面板灯，采用长短边结合的棱锥体防眩微晶防眩设计，防眩效果好，长时间使用不变形，采用高性能光学板材辊压成型；至少有3种光学材料组成，包含反射纸、导光板、微晶防眩板等，灯体表面发光均匀，无暗影。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2、LED教室灯在大气压力≥100kPa，平均湿度≥50%RH、极值空气温度≤-25℃及相对温差≥34℃的实地自然环境条件下至少持续运行360小时，至少依据《GB/T 18595》标准满足浪涌性能达到C或以上等级、至少依据《GB/T36979》满足空间颜色非均匀性△u’v’≤0.007及至少依据《GB/T6882》标准满足噪声＜17dB（A）。</w:t>
            </w:r>
          </w:p>
          <w:p w14:paraId="37ACBBFF">
            <w:pPr>
              <w:numPr>
                <w:numId w:val="0"/>
              </w:numPr>
              <w:jc w:val="left"/>
              <w:rPr>
                <w:rFonts w:hint="eastAsia" w:cs="Arial" w:asciiTheme="minorEastAsia" w:hAnsiTheme="minorEastAsia" w:eastAsiaTheme="minorEastAsia"/>
                <w:szCs w:val="21"/>
              </w:rPr>
            </w:pPr>
            <w:r>
              <w:rPr>
                <w:rFonts w:hint="eastAsia" w:ascii="宋体" w:hAnsi="宋体" w:eastAsia="宋体" w:cs="宋体"/>
                <w:i w:val="0"/>
                <w:iCs w:val="0"/>
                <w:color w:val="auto"/>
                <w:kern w:val="0"/>
                <w:sz w:val="20"/>
                <w:szCs w:val="20"/>
                <w:u w:val="none"/>
                <w:lang w:val="en-US" w:eastAsia="zh-CN" w:bidi="ar"/>
              </w:rPr>
              <w:t>3、LED教室灯色温（或相关色温）4300-5300K，显色指数Ra≥95、R9≥90，色容差≤5 SDCM。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4、LED教室灯通过人体电磁辐射测试。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5、LED教室灯额定功率≤40W，单颗光源功率≥1W，光源额定总功率是灯具额定功率的4.5倍或以上，且ta≥50℃。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6、LED教室灯至少依据《GB/T 26572》标准通过电器电子产品认证。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7、LED教室灯通过频闪无危害或无频闪危害或无显著影响认证。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8、为确保灯具使用寿命，LED教室灯至少依据《GB/T33721》标准满足光通维持寿命≥50000小时。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9、LED教室灯铝基板光源模组采用插槽方式固定于灯体，灯条和散热体均匀接触，保证灯体更好散热，延长使用寿命；灯体上至少有4个防掉落挂钩，安装好后可挂在吊架上，保证安全无掉落风险。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为了积极响应教育部等八部门印发的《综合防控儿童青少年近视实施方案》，降低近视率，LED教室灯环境适应性满足防护等级≥IP40，ta≥50℃，且依据《GB40070》标准并符合《CQC16-465145-2021》认证规则通过近视防控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11、LED教室灯蓝光危害等级为RG0（或0类危险）。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12、LED教室灯至少依据《QB/T 5533》标准通过教室照明灯具性能认证。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序号1至序号2须提供相关佐证材料，包含但不限于产品彩页或技术参数确认函。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序号4须提供第三方检测机构出具的封面带有CMA标志的检测报告及检测报告编号在全国认证认可信息公共服务平台的查询证明复印件。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5至序号12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tc>
        <w:tc>
          <w:tcPr>
            <w:tcW w:w="536" w:type="dxa"/>
            <w:vAlign w:val="center"/>
          </w:tcPr>
          <w:p w14:paraId="78B4F608">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盏</w:t>
            </w:r>
          </w:p>
        </w:tc>
        <w:tc>
          <w:tcPr>
            <w:tcW w:w="590" w:type="dxa"/>
            <w:vAlign w:val="center"/>
          </w:tcPr>
          <w:p w14:paraId="6C1B2CF5">
            <w:pPr>
              <w:jc w:val="center"/>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8</w:t>
            </w:r>
          </w:p>
        </w:tc>
        <w:tc>
          <w:tcPr>
            <w:tcW w:w="619" w:type="dxa"/>
            <w:vAlign w:val="center"/>
          </w:tcPr>
          <w:p w14:paraId="7A5B54D4">
            <w:pPr>
              <w:jc w:val="center"/>
              <w:rPr>
                <w:rFonts w:hint="eastAsia" w:cs="Arial" w:asciiTheme="minorEastAsia" w:hAnsiTheme="minorEastAsia" w:eastAsiaTheme="minorEastAsia"/>
                <w:kern w:val="0"/>
                <w:szCs w:val="21"/>
              </w:rPr>
            </w:pPr>
          </w:p>
        </w:tc>
        <w:tc>
          <w:tcPr>
            <w:tcW w:w="679" w:type="dxa"/>
            <w:vAlign w:val="center"/>
          </w:tcPr>
          <w:p w14:paraId="7C33C72E">
            <w:pPr>
              <w:jc w:val="center"/>
              <w:rPr>
                <w:rFonts w:hint="eastAsia" w:cs="Arial" w:asciiTheme="minorEastAsia" w:hAnsiTheme="minorEastAsia" w:eastAsiaTheme="minorEastAsia"/>
                <w:kern w:val="0"/>
                <w:szCs w:val="21"/>
              </w:rPr>
            </w:pPr>
          </w:p>
        </w:tc>
      </w:tr>
      <w:tr w14:paraId="5F5E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8" w:hRule="atLeast"/>
          <w:jc w:val="center"/>
        </w:trPr>
        <w:tc>
          <w:tcPr>
            <w:tcW w:w="502" w:type="dxa"/>
            <w:vAlign w:val="center"/>
          </w:tcPr>
          <w:p w14:paraId="627A4AA2">
            <w:pPr>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3</w:t>
            </w:r>
          </w:p>
        </w:tc>
        <w:tc>
          <w:tcPr>
            <w:tcW w:w="683" w:type="dxa"/>
            <w:vAlign w:val="center"/>
          </w:tcPr>
          <w:p w14:paraId="79457671">
            <w:pPr>
              <w:jc w:val="center"/>
              <w:rPr>
                <w:rFonts w:hint="eastAsia" w:cs="Arial" w:asciiTheme="minorEastAsia" w:hAnsiTheme="minorEastAsia"/>
                <w:szCs w:val="21"/>
              </w:rPr>
            </w:pPr>
            <w:r>
              <w:rPr>
                <w:rFonts w:hint="eastAsia" w:cs="Arial" w:asciiTheme="minorEastAsia" w:hAnsiTheme="minorEastAsia"/>
                <w:szCs w:val="21"/>
              </w:rPr>
              <w:t>LED黑板灯</w:t>
            </w:r>
          </w:p>
        </w:tc>
        <w:tc>
          <w:tcPr>
            <w:tcW w:w="6511" w:type="dxa"/>
            <w:vAlign w:val="center"/>
          </w:tcPr>
          <w:p w14:paraId="540E911C">
            <w:pPr>
              <w:numPr>
                <w:numId w:val="0"/>
              </w:numPr>
              <w:jc w:val="left"/>
              <w:rPr>
                <w:rFonts w:hint="eastAsia" w:cs="Arial" w:asciiTheme="minorEastAsia" w:hAnsiTheme="minorEastAsia"/>
                <w:b/>
                <w:szCs w:val="21"/>
              </w:rPr>
            </w:pPr>
            <w:r>
              <w:rPr>
                <w:rFonts w:hint="eastAsia" w:ascii="宋体" w:hAnsi="宋体" w:eastAsia="宋体" w:cs="宋体"/>
                <w:i w:val="0"/>
                <w:iCs w:val="0"/>
                <w:color w:val="auto"/>
                <w:kern w:val="0"/>
                <w:sz w:val="20"/>
                <w:szCs w:val="20"/>
                <w:u w:val="none"/>
                <w:lang w:val="en-US" w:eastAsia="zh-CN" w:bidi="ar"/>
              </w:rPr>
              <w:t>1、LED黑板灯长度≥1220mm，为一体式透镜防眩灯具，透镜尺寸长宽高300*15*9mm±1mm，透镜为PC材质，耐高温，长时间使用无黄变，精准控制黑板灯的光线角度，光线集中均匀分布黑板面；采用一体式航空铝型材灯体，且灯体最小壁厚不低于0.65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2、LED黑板灯采用大尺寸外置驱动电源，器件散热性能好；驱动不可徒手拆卸，保证安全；驱动电源置于灯体上居中对称，保证吊装安全稳固；采用拔插式固定灯体和吊杆，不使用螺丝连接吊杆，安装便捷。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3、LED黑板灯色温（或相关色温）4300-5300K，显色指数Ra≥95、R9≥90，色容差≤5 SDCM。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4、LED黑板灯通过人体电磁辐射测试。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5、LED黑板灯通过频闪无危害或无频闪危害或无显著影响认证。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6、LED黑板灯至少依据《GB/T 26572》标准通过电器电子产品认证。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7、LED黑板灯额定功率≤40W，单颗光源功率≥1W，光源额定总功率是灯具额定功率的4.5</w:t>
            </w:r>
            <w:bookmarkStart w:id="0" w:name="_GoBack"/>
            <w:bookmarkEnd w:id="0"/>
            <w:r>
              <w:rPr>
                <w:rFonts w:hint="eastAsia" w:ascii="宋体" w:hAnsi="宋体" w:eastAsia="宋体" w:cs="宋体"/>
                <w:i w:val="0"/>
                <w:iCs w:val="0"/>
                <w:color w:val="auto"/>
                <w:kern w:val="0"/>
                <w:sz w:val="20"/>
                <w:szCs w:val="20"/>
                <w:u w:val="none"/>
                <w:lang w:val="en-US" w:eastAsia="zh-CN" w:bidi="ar"/>
              </w:rPr>
              <w:t>倍或以上。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8、LED黑板灯蓝光危害等级为RG0（或0类危险）。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9、LED黑板灯在大气压力≥100kPa，平均湿度≥50%RH、极值空气温度≤-25℃及相对温差≥34℃的实地自然环境条件下至少持续运行360小时，至少依据《GB/T 18595》标准满足浪涌性能达到C或以上等级、至少依据《GB/T36979》满足空间颜色非均匀性△u’v’≤0.007及至少依据《GB/T6882》标准满足噪声＜17dB（A）。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10、LED教室灯至少依据《QB/T 5533》标准通过教室照明灯具性能认证。</w:t>
            </w:r>
          </w:p>
          <w:p w14:paraId="43AE2B3F">
            <w:pPr>
              <w:numPr>
                <w:ilvl w:val="0"/>
                <w:numId w:val="2"/>
              </w:numPr>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准并符合《CQC16-465145-2021》认证规则通过近视防控认证。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LED 教室灯在大气压力≥100kPa，平均湿度≥50%RH、极值空气温度≤-20℃及相对温差≥34℃的实地自然环境条件下至少持续运行360小时，至少依据《GB/T9468》标准满足光束角CO-C180及C90-C270的实测值与初始值偏差均不超过±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12、LED 教室灯在大气压力≥100kPa，平均湿度≥50%RH、极值空气温度≤-20℃及相对温差≥34℃的实地自然环境条件下至少持续运行360小时，至少依据《GB/T31897.201》标准满足光效的实测值与初始值的偏差不超过-10%。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13、为确保灯具使用寿命，LED教室灯至少依据《GB/T33721》标准满足光通维持寿命≥50000小时。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为了积极响应教育部等八部门印发的《综合防控儿童青少年近视实施方案》，降低近视率，LED黑板灯环境适应性满足防护等级≥IP40，ta≥50℃，且依据《GB40070》标准并符合《CQC16-465145-2021》认证规则通过近视防控认证。</w:t>
            </w:r>
          </w:p>
          <w:p w14:paraId="286CD3E1">
            <w:pPr>
              <w:numPr>
                <w:numId w:val="0"/>
              </w:numPr>
              <w:jc w:val="left"/>
              <w:rPr>
                <w:rFonts w:hint="eastAsia" w:cs="Arial" w:asciiTheme="minorEastAsia" w:hAnsiTheme="minorEastAsia"/>
                <w:b/>
                <w:szCs w:val="21"/>
              </w:rPr>
            </w:pP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序号1至序号2须提供相关佐证材料，包含但不限于产品彩页或技术参数确认函。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序号4须提供第三方检测机构出具的封面带有CMA标志的检测报告及检测报告编号在全国认证认可信息公共服务平台的查询证明复印件。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color w:val="auto"/>
                <w:lang w:val="en-US" w:eastAsia="zh-CN"/>
              </w:rPr>
              <w:t>★</w:t>
            </w:r>
            <w:r>
              <w:rPr>
                <w:rFonts w:hint="eastAsia" w:ascii="宋体" w:hAnsi="宋体" w:eastAsia="宋体" w:cs="宋体"/>
                <w:i w:val="0"/>
                <w:iCs w:val="0"/>
                <w:color w:val="auto"/>
                <w:kern w:val="0"/>
                <w:sz w:val="20"/>
                <w:szCs w:val="20"/>
                <w:u w:val="none"/>
                <w:lang w:val="en-US" w:eastAsia="zh-CN" w:bidi="ar"/>
              </w:rPr>
              <w:t>序号5至序号14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tc>
        <w:tc>
          <w:tcPr>
            <w:tcW w:w="536" w:type="dxa"/>
            <w:vAlign w:val="center"/>
          </w:tcPr>
          <w:p w14:paraId="2EC0A4E8">
            <w:pPr>
              <w:jc w:val="center"/>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盏</w:t>
            </w:r>
          </w:p>
        </w:tc>
        <w:tc>
          <w:tcPr>
            <w:tcW w:w="590" w:type="dxa"/>
            <w:vAlign w:val="center"/>
          </w:tcPr>
          <w:p w14:paraId="25DFC80B">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54</w:t>
            </w:r>
          </w:p>
        </w:tc>
        <w:tc>
          <w:tcPr>
            <w:tcW w:w="619" w:type="dxa"/>
            <w:vAlign w:val="center"/>
          </w:tcPr>
          <w:p w14:paraId="49CAA6FA">
            <w:pPr>
              <w:jc w:val="center"/>
              <w:rPr>
                <w:rFonts w:hint="eastAsia" w:cs="Arial" w:asciiTheme="minorEastAsia" w:hAnsiTheme="minorEastAsia" w:eastAsiaTheme="minorEastAsia"/>
                <w:kern w:val="0"/>
                <w:szCs w:val="21"/>
              </w:rPr>
            </w:pPr>
          </w:p>
        </w:tc>
        <w:tc>
          <w:tcPr>
            <w:tcW w:w="679" w:type="dxa"/>
            <w:vAlign w:val="center"/>
          </w:tcPr>
          <w:p w14:paraId="22C397AF">
            <w:pPr>
              <w:jc w:val="center"/>
              <w:rPr>
                <w:rFonts w:hint="eastAsia" w:cs="Arial" w:asciiTheme="minorEastAsia" w:hAnsiTheme="minorEastAsia" w:eastAsiaTheme="minorEastAsia"/>
                <w:kern w:val="0"/>
                <w:szCs w:val="21"/>
              </w:rPr>
            </w:pPr>
          </w:p>
        </w:tc>
      </w:tr>
      <w:tr w14:paraId="2ACF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2" w:type="dxa"/>
            <w:vAlign w:val="center"/>
          </w:tcPr>
          <w:p w14:paraId="3A44A508">
            <w:pPr>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w:t>
            </w:r>
          </w:p>
        </w:tc>
        <w:tc>
          <w:tcPr>
            <w:tcW w:w="683" w:type="dxa"/>
            <w:vAlign w:val="center"/>
          </w:tcPr>
          <w:p w14:paraId="1E8FA4A8">
            <w:pPr>
              <w:jc w:val="center"/>
              <w:rPr>
                <w:rFonts w:hint="eastAsia" w:eastAsia="宋体" w:cs="Arial" w:asciiTheme="minorEastAsia" w:hAnsiTheme="minorEastAsia"/>
                <w:szCs w:val="21"/>
                <w:lang w:val="en-US" w:eastAsia="zh-CN"/>
              </w:rPr>
            </w:pPr>
            <w:r>
              <w:rPr>
                <w:rFonts w:hint="eastAsia" w:cs="Arial" w:asciiTheme="minorEastAsia" w:hAnsiTheme="minorEastAsia"/>
                <w:szCs w:val="21"/>
                <w:lang w:val="en-US" w:eastAsia="zh-CN"/>
              </w:rPr>
              <w:t>合计</w:t>
            </w:r>
          </w:p>
        </w:tc>
        <w:tc>
          <w:tcPr>
            <w:tcW w:w="6511" w:type="dxa"/>
            <w:vAlign w:val="center"/>
          </w:tcPr>
          <w:p w14:paraId="6FCB5FE5">
            <w:pPr>
              <w:jc w:val="left"/>
              <w:rPr>
                <w:rFonts w:hint="eastAsia" w:cs="Arial" w:asciiTheme="minorEastAsia" w:hAnsiTheme="minorEastAsia"/>
                <w:b/>
                <w:szCs w:val="21"/>
              </w:rPr>
            </w:pPr>
          </w:p>
        </w:tc>
        <w:tc>
          <w:tcPr>
            <w:tcW w:w="536" w:type="dxa"/>
            <w:vAlign w:val="center"/>
          </w:tcPr>
          <w:p w14:paraId="10B3B9DD">
            <w:pPr>
              <w:jc w:val="center"/>
              <w:rPr>
                <w:rFonts w:hint="eastAsia"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盏</w:t>
            </w:r>
          </w:p>
        </w:tc>
        <w:tc>
          <w:tcPr>
            <w:tcW w:w="590" w:type="dxa"/>
            <w:vAlign w:val="center"/>
          </w:tcPr>
          <w:p w14:paraId="25998BDD">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333</w:t>
            </w:r>
          </w:p>
        </w:tc>
        <w:tc>
          <w:tcPr>
            <w:tcW w:w="619" w:type="dxa"/>
            <w:vAlign w:val="center"/>
          </w:tcPr>
          <w:p w14:paraId="1520DD49">
            <w:pPr>
              <w:jc w:val="center"/>
              <w:rPr>
                <w:rFonts w:hint="eastAsia" w:cs="Arial" w:asciiTheme="minorEastAsia" w:hAnsiTheme="minorEastAsia" w:eastAsiaTheme="minorEastAsia"/>
                <w:kern w:val="0"/>
                <w:szCs w:val="21"/>
              </w:rPr>
            </w:pPr>
          </w:p>
        </w:tc>
        <w:tc>
          <w:tcPr>
            <w:tcW w:w="679" w:type="dxa"/>
            <w:vAlign w:val="center"/>
          </w:tcPr>
          <w:p w14:paraId="26DDC2FD">
            <w:pPr>
              <w:jc w:val="center"/>
              <w:rPr>
                <w:rFonts w:hint="eastAsia" w:cs="Arial" w:asciiTheme="minorEastAsia" w:hAnsiTheme="minorEastAsia" w:eastAsiaTheme="minorEastAsia"/>
                <w:kern w:val="0"/>
                <w:szCs w:val="21"/>
              </w:rPr>
            </w:pPr>
          </w:p>
        </w:tc>
      </w:tr>
    </w:tbl>
    <w:p w14:paraId="727E0D43">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t>备注：以上参数若有一项指标、资料不符合的，按无效投标处理。</w:t>
      </w:r>
    </w:p>
    <w:sectPr>
      <w:pgSz w:w="11906" w:h="16838"/>
      <w:pgMar w:top="850"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82043"/>
    <w:multiLevelType w:val="singleLevel"/>
    <w:tmpl w:val="C8E82043"/>
    <w:lvl w:ilvl="0" w:tentative="0">
      <w:start w:val="11"/>
      <w:numFmt w:val="decimal"/>
      <w:suff w:val="nothing"/>
      <w:lvlText w:val="%1、"/>
      <w:lvlJc w:val="left"/>
    </w:lvl>
  </w:abstractNum>
  <w:abstractNum w:abstractNumId="1">
    <w:nsid w:val="6D6491FE"/>
    <w:multiLevelType w:val="singleLevel"/>
    <w:tmpl w:val="6D6491F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C64E3B"/>
    <w:rsid w:val="0000146D"/>
    <w:rsid w:val="00003E37"/>
    <w:rsid w:val="000054DF"/>
    <w:rsid w:val="0001467B"/>
    <w:rsid w:val="00031D6E"/>
    <w:rsid w:val="000339E9"/>
    <w:rsid w:val="00041383"/>
    <w:rsid w:val="00071CD1"/>
    <w:rsid w:val="00074D7F"/>
    <w:rsid w:val="00082696"/>
    <w:rsid w:val="00097FE2"/>
    <w:rsid w:val="000A087D"/>
    <w:rsid w:val="000A62DF"/>
    <w:rsid w:val="000A6570"/>
    <w:rsid w:val="000A72BE"/>
    <w:rsid w:val="000B0878"/>
    <w:rsid w:val="000C12CA"/>
    <w:rsid w:val="000C6ED3"/>
    <w:rsid w:val="000F13B9"/>
    <w:rsid w:val="000F202B"/>
    <w:rsid w:val="000F20B4"/>
    <w:rsid w:val="001148ED"/>
    <w:rsid w:val="00115E40"/>
    <w:rsid w:val="00121221"/>
    <w:rsid w:val="00121B06"/>
    <w:rsid w:val="001279D1"/>
    <w:rsid w:val="00132C66"/>
    <w:rsid w:val="001521BF"/>
    <w:rsid w:val="001537B2"/>
    <w:rsid w:val="001550A0"/>
    <w:rsid w:val="001608D4"/>
    <w:rsid w:val="0016157F"/>
    <w:rsid w:val="00170C28"/>
    <w:rsid w:val="00171064"/>
    <w:rsid w:val="0017195B"/>
    <w:rsid w:val="00173DC6"/>
    <w:rsid w:val="00174E04"/>
    <w:rsid w:val="00180670"/>
    <w:rsid w:val="00180C48"/>
    <w:rsid w:val="00192407"/>
    <w:rsid w:val="001952FE"/>
    <w:rsid w:val="001A3D67"/>
    <w:rsid w:val="001B73AF"/>
    <w:rsid w:val="001C3D6B"/>
    <w:rsid w:val="001F3A7A"/>
    <w:rsid w:val="00210C05"/>
    <w:rsid w:val="00215053"/>
    <w:rsid w:val="00216751"/>
    <w:rsid w:val="00217447"/>
    <w:rsid w:val="00217F61"/>
    <w:rsid w:val="0022141C"/>
    <w:rsid w:val="00224EFB"/>
    <w:rsid w:val="00234410"/>
    <w:rsid w:val="0025587D"/>
    <w:rsid w:val="002767AD"/>
    <w:rsid w:val="00293BAA"/>
    <w:rsid w:val="002A2370"/>
    <w:rsid w:val="002B3E7C"/>
    <w:rsid w:val="002B539C"/>
    <w:rsid w:val="002D3997"/>
    <w:rsid w:val="002D7CD9"/>
    <w:rsid w:val="002E7C23"/>
    <w:rsid w:val="00302438"/>
    <w:rsid w:val="0030355A"/>
    <w:rsid w:val="0031738F"/>
    <w:rsid w:val="0033697B"/>
    <w:rsid w:val="0034001A"/>
    <w:rsid w:val="003421B5"/>
    <w:rsid w:val="003639DB"/>
    <w:rsid w:val="00363DE5"/>
    <w:rsid w:val="00367FF2"/>
    <w:rsid w:val="00376C67"/>
    <w:rsid w:val="00381683"/>
    <w:rsid w:val="003925FA"/>
    <w:rsid w:val="00392EED"/>
    <w:rsid w:val="00395840"/>
    <w:rsid w:val="0039775B"/>
    <w:rsid w:val="00397ECF"/>
    <w:rsid w:val="003A75F1"/>
    <w:rsid w:val="003B5059"/>
    <w:rsid w:val="003C1692"/>
    <w:rsid w:val="003C4406"/>
    <w:rsid w:val="003C5100"/>
    <w:rsid w:val="003D3BE5"/>
    <w:rsid w:val="00400333"/>
    <w:rsid w:val="00410CDA"/>
    <w:rsid w:val="00417217"/>
    <w:rsid w:val="004200AF"/>
    <w:rsid w:val="00421F3D"/>
    <w:rsid w:val="00440703"/>
    <w:rsid w:val="00455E49"/>
    <w:rsid w:val="00463F18"/>
    <w:rsid w:val="00485B06"/>
    <w:rsid w:val="004975AC"/>
    <w:rsid w:val="004A0A7B"/>
    <w:rsid w:val="004B769B"/>
    <w:rsid w:val="004C4BA3"/>
    <w:rsid w:val="004C5F15"/>
    <w:rsid w:val="004D08E3"/>
    <w:rsid w:val="004E3183"/>
    <w:rsid w:val="004F0234"/>
    <w:rsid w:val="004F3564"/>
    <w:rsid w:val="00512540"/>
    <w:rsid w:val="0051346A"/>
    <w:rsid w:val="005270E7"/>
    <w:rsid w:val="005270E8"/>
    <w:rsid w:val="00535EA2"/>
    <w:rsid w:val="005414EC"/>
    <w:rsid w:val="00577D46"/>
    <w:rsid w:val="00581212"/>
    <w:rsid w:val="00582119"/>
    <w:rsid w:val="0058467F"/>
    <w:rsid w:val="00586A11"/>
    <w:rsid w:val="00586BCB"/>
    <w:rsid w:val="00587737"/>
    <w:rsid w:val="00591A49"/>
    <w:rsid w:val="005B18E3"/>
    <w:rsid w:val="005B2660"/>
    <w:rsid w:val="005B42EB"/>
    <w:rsid w:val="005C0D06"/>
    <w:rsid w:val="005C22A7"/>
    <w:rsid w:val="005D61AC"/>
    <w:rsid w:val="005D7E7D"/>
    <w:rsid w:val="005E32A2"/>
    <w:rsid w:val="00600CBC"/>
    <w:rsid w:val="00605F34"/>
    <w:rsid w:val="00621CD5"/>
    <w:rsid w:val="0063723F"/>
    <w:rsid w:val="00640201"/>
    <w:rsid w:val="0065298D"/>
    <w:rsid w:val="00667A4A"/>
    <w:rsid w:val="006756E4"/>
    <w:rsid w:val="006774DC"/>
    <w:rsid w:val="00694F5B"/>
    <w:rsid w:val="006A161D"/>
    <w:rsid w:val="006B3409"/>
    <w:rsid w:val="006D5B13"/>
    <w:rsid w:val="006F5242"/>
    <w:rsid w:val="00705972"/>
    <w:rsid w:val="00720485"/>
    <w:rsid w:val="007209BD"/>
    <w:rsid w:val="00725729"/>
    <w:rsid w:val="0073011D"/>
    <w:rsid w:val="00731FE5"/>
    <w:rsid w:val="00740BE5"/>
    <w:rsid w:val="0074104E"/>
    <w:rsid w:val="007439F8"/>
    <w:rsid w:val="0075161B"/>
    <w:rsid w:val="00754BAC"/>
    <w:rsid w:val="007577AC"/>
    <w:rsid w:val="00767DC3"/>
    <w:rsid w:val="00775C1F"/>
    <w:rsid w:val="00782254"/>
    <w:rsid w:val="007847E4"/>
    <w:rsid w:val="007C01D9"/>
    <w:rsid w:val="007C02C3"/>
    <w:rsid w:val="007C4338"/>
    <w:rsid w:val="007C77AF"/>
    <w:rsid w:val="007E6F3D"/>
    <w:rsid w:val="007F65B8"/>
    <w:rsid w:val="008143BF"/>
    <w:rsid w:val="00834CA9"/>
    <w:rsid w:val="00843B15"/>
    <w:rsid w:val="00845847"/>
    <w:rsid w:val="00851398"/>
    <w:rsid w:val="00855898"/>
    <w:rsid w:val="0086589D"/>
    <w:rsid w:val="0087067D"/>
    <w:rsid w:val="00872049"/>
    <w:rsid w:val="0087441F"/>
    <w:rsid w:val="0088794A"/>
    <w:rsid w:val="00894228"/>
    <w:rsid w:val="00895628"/>
    <w:rsid w:val="008B17AF"/>
    <w:rsid w:val="008C016A"/>
    <w:rsid w:val="008E5C23"/>
    <w:rsid w:val="00900136"/>
    <w:rsid w:val="0091390B"/>
    <w:rsid w:val="00920986"/>
    <w:rsid w:val="00932FAF"/>
    <w:rsid w:val="009333F0"/>
    <w:rsid w:val="009411FB"/>
    <w:rsid w:val="00942D09"/>
    <w:rsid w:val="0094422A"/>
    <w:rsid w:val="0096195F"/>
    <w:rsid w:val="00970D8E"/>
    <w:rsid w:val="00993427"/>
    <w:rsid w:val="009A44B4"/>
    <w:rsid w:val="009B4A2A"/>
    <w:rsid w:val="009B70E6"/>
    <w:rsid w:val="009C075E"/>
    <w:rsid w:val="009C7FEB"/>
    <w:rsid w:val="009D4AEF"/>
    <w:rsid w:val="009F466A"/>
    <w:rsid w:val="00A02E94"/>
    <w:rsid w:val="00A12F02"/>
    <w:rsid w:val="00A213E4"/>
    <w:rsid w:val="00A23EF1"/>
    <w:rsid w:val="00A30F66"/>
    <w:rsid w:val="00A31B2D"/>
    <w:rsid w:val="00A40E68"/>
    <w:rsid w:val="00A55928"/>
    <w:rsid w:val="00A60BDA"/>
    <w:rsid w:val="00A63CB7"/>
    <w:rsid w:val="00A66DB9"/>
    <w:rsid w:val="00A70FD5"/>
    <w:rsid w:val="00A76240"/>
    <w:rsid w:val="00A866D9"/>
    <w:rsid w:val="00A93524"/>
    <w:rsid w:val="00AA0A84"/>
    <w:rsid w:val="00AA31CB"/>
    <w:rsid w:val="00AB4E3F"/>
    <w:rsid w:val="00AE143B"/>
    <w:rsid w:val="00B16370"/>
    <w:rsid w:val="00B46035"/>
    <w:rsid w:val="00B4615D"/>
    <w:rsid w:val="00B706D3"/>
    <w:rsid w:val="00B83078"/>
    <w:rsid w:val="00B85AB5"/>
    <w:rsid w:val="00B93339"/>
    <w:rsid w:val="00B95210"/>
    <w:rsid w:val="00BA6A5E"/>
    <w:rsid w:val="00BA760C"/>
    <w:rsid w:val="00BE0BED"/>
    <w:rsid w:val="00BE72F9"/>
    <w:rsid w:val="00C00445"/>
    <w:rsid w:val="00C107D2"/>
    <w:rsid w:val="00C1633C"/>
    <w:rsid w:val="00C417FD"/>
    <w:rsid w:val="00C55FB5"/>
    <w:rsid w:val="00C57CA4"/>
    <w:rsid w:val="00C64E3B"/>
    <w:rsid w:val="00C71E6E"/>
    <w:rsid w:val="00C73AC4"/>
    <w:rsid w:val="00C74140"/>
    <w:rsid w:val="00C833C8"/>
    <w:rsid w:val="00C8413A"/>
    <w:rsid w:val="00C86BCC"/>
    <w:rsid w:val="00C918D8"/>
    <w:rsid w:val="00CA2779"/>
    <w:rsid w:val="00CB1370"/>
    <w:rsid w:val="00CC6E2F"/>
    <w:rsid w:val="00CD152F"/>
    <w:rsid w:val="00CF55BA"/>
    <w:rsid w:val="00D03CE9"/>
    <w:rsid w:val="00D04270"/>
    <w:rsid w:val="00D254C6"/>
    <w:rsid w:val="00D31A7B"/>
    <w:rsid w:val="00D4417F"/>
    <w:rsid w:val="00D4420C"/>
    <w:rsid w:val="00D44562"/>
    <w:rsid w:val="00D4625B"/>
    <w:rsid w:val="00D51EC3"/>
    <w:rsid w:val="00D57988"/>
    <w:rsid w:val="00D6300E"/>
    <w:rsid w:val="00D73C83"/>
    <w:rsid w:val="00D77CAD"/>
    <w:rsid w:val="00D91A97"/>
    <w:rsid w:val="00D929FC"/>
    <w:rsid w:val="00D968B9"/>
    <w:rsid w:val="00D9794C"/>
    <w:rsid w:val="00D97BE9"/>
    <w:rsid w:val="00DA730B"/>
    <w:rsid w:val="00DB61E3"/>
    <w:rsid w:val="00DC0DDE"/>
    <w:rsid w:val="00DC466B"/>
    <w:rsid w:val="00DD163C"/>
    <w:rsid w:val="00DD40E4"/>
    <w:rsid w:val="00DF504C"/>
    <w:rsid w:val="00E21DBD"/>
    <w:rsid w:val="00E23BE7"/>
    <w:rsid w:val="00E3512E"/>
    <w:rsid w:val="00E443CE"/>
    <w:rsid w:val="00E55B39"/>
    <w:rsid w:val="00E55B67"/>
    <w:rsid w:val="00E64762"/>
    <w:rsid w:val="00E7635A"/>
    <w:rsid w:val="00E7730F"/>
    <w:rsid w:val="00E93F78"/>
    <w:rsid w:val="00E946F7"/>
    <w:rsid w:val="00E96824"/>
    <w:rsid w:val="00EB20A1"/>
    <w:rsid w:val="00EB2982"/>
    <w:rsid w:val="00EC1824"/>
    <w:rsid w:val="00EE283D"/>
    <w:rsid w:val="00EE3EE9"/>
    <w:rsid w:val="00EE5723"/>
    <w:rsid w:val="00EF2CA1"/>
    <w:rsid w:val="00F10798"/>
    <w:rsid w:val="00F209A8"/>
    <w:rsid w:val="00F31463"/>
    <w:rsid w:val="00F31BDA"/>
    <w:rsid w:val="00F37D5D"/>
    <w:rsid w:val="00F45731"/>
    <w:rsid w:val="00F53E29"/>
    <w:rsid w:val="00F629BC"/>
    <w:rsid w:val="00F73CD5"/>
    <w:rsid w:val="00F75307"/>
    <w:rsid w:val="00FA2E2D"/>
    <w:rsid w:val="00FC643C"/>
    <w:rsid w:val="00FD6515"/>
    <w:rsid w:val="00FF32A5"/>
    <w:rsid w:val="07876C6B"/>
    <w:rsid w:val="11C97D4A"/>
    <w:rsid w:val="14D21073"/>
    <w:rsid w:val="3F5F1B22"/>
    <w:rsid w:val="4F63110B"/>
    <w:rsid w:val="50EA0221"/>
    <w:rsid w:val="561E462F"/>
    <w:rsid w:val="5B3F38F0"/>
    <w:rsid w:val="5D0D30F1"/>
    <w:rsid w:val="742B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8"/>
    <w:qFormat/>
    <w:uiPriority w:val="0"/>
    <w:pPr>
      <w:keepNext/>
      <w:keepLines/>
      <w:spacing w:before="260" w:after="260" w:line="416" w:lineRule="auto"/>
      <w:jc w:val="center"/>
      <w:outlineLvl w:val="2"/>
    </w:pPr>
    <w:rPr>
      <w:rFonts w:ascii="宋体" w:hAnsi="Times New Roman"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adjustRightInd w:val="0"/>
      <w:spacing w:line="360" w:lineRule="atLeast"/>
      <w:jc w:val="left"/>
      <w:textAlignment w:val="baseline"/>
    </w:pPr>
    <w:rPr>
      <w:rFonts w:cs="Times New Roman"/>
      <w:kern w:val="0"/>
      <w:sz w:val="24"/>
      <w:szCs w:val="20"/>
    </w:rPr>
  </w:style>
  <w:style w:type="paragraph" w:styleId="4">
    <w:name w:val="Body Text"/>
    <w:basedOn w:val="1"/>
    <w:link w:val="15"/>
    <w:qFormat/>
    <w:uiPriority w:val="0"/>
    <w:pPr>
      <w:spacing w:after="120" w:line="259" w:lineRule="auto"/>
    </w:pPr>
    <w:rPr>
      <w:rFonts w:cs="Times New Roman"/>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
    <w:basedOn w:val="1"/>
    <w:qFormat/>
    <w:uiPriority w:val="0"/>
    <w:pPr>
      <w:spacing w:after="156" w:line="360" w:lineRule="auto"/>
      <w:ind w:firstLine="3459" w:firstLineChars="1080"/>
    </w:pPr>
    <w:rPr>
      <w:rFonts w:ascii="宋体" w:hAnsi="宋体" w:cs="Times New Roman"/>
      <w:b/>
      <w:sz w:val="34"/>
      <w:szCs w:val="20"/>
    </w:rPr>
  </w:style>
  <w:style w:type="character" w:customStyle="1" w:styleId="11">
    <w:name w:val="批注文字 字符"/>
    <w:basedOn w:val="9"/>
    <w:link w:val="3"/>
    <w:qFormat/>
    <w:uiPriority w:val="0"/>
    <w:rPr>
      <w:rFonts w:cs="Times New Roman"/>
      <w:sz w:val="24"/>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符号）三标题1.1"/>
    <w:basedOn w:val="1"/>
    <w:qFormat/>
    <w:uiPriority w:val="0"/>
    <w:pPr>
      <w:tabs>
        <w:tab w:val="left" w:pos="700"/>
      </w:tabs>
      <w:spacing w:line="500" w:lineRule="exact"/>
    </w:pPr>
    <w:rPr>
      <w:rFonts w:ascii="宋体" w:hAnsi="宋体" w:cs="Times New Roman"/>
      <w:sz w:val="24"/>
      <w:szCs w:val="24"/>
    </w:rPr>
  </w:style>
  <w:style w:type="character" w:customStyle="1" w:styleId="15">
    <w:name w:val="正文文本 字符"/>
    <w:basedOn w:val="9"/>
    <w:link w:val="4"/>
    <w:qFormat/>
    <w:uiPriority w:val="0"/>
    <w:rPr>
      <w:rFonts w:cs="Times New Roman"/>
      <w:kern w:val="2"/>
      <w:sz w:val="21"/>
      <w:szCs w:val="24"/>
    </w:rPr>
  </w:style>
  <w:style w:type="paragraph" w:styleId="16">
    <w:name w:val="List Paragraph"/>
    <w:basedOn w:val="1"/>
    <w:qFormat/>
    <w:uiPriority w:val="99"/>
    <w:pPr>
      <w:ind w:firstLine="420" w:firstLineChars="200"/>
    </w:p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标题 3 字符"/>
    <w:basedOn w:val="9"/>
    <w:link w:val="2"/>
    <w:qFormat/>
    <w:uiPriority w:val="0"/>
    <w:rPr>
      <w:rFonts w:ascii="宋体" w:hAnsi="Times New Roman" w:cs="Times New Roman"/>
      <w:b/>
      <w:bCs/>
      <w:sz w:val="32"/>
      <w:szCs w:val="32"/>
    </w:rPr>
  </w:style>
  <w:style w:type="paragraph" w:styleId="19">
    <w:name w:val="No Spacing"/>
    <w:qFormat/>
    <w:uiPriority w:val="1"/>
    <w:pPr>
      <w:widowControl w:val="0"/>
      <w:spacing w:line="360" w:lineRule="auto"/>
      <w:jc w:val="center"/>
    </w:pPr>
    <w:rPr>
      <w:rFonts w:ascii="等线" w:hAnsi="等线" w:eastAsia="等线" w:cstheme="minorHAnsi"/>
      <w:color w:val="000000" w:themeColor="text1"/>
      <w:lang w:val="en-US" w:eastAsia="zh-CN" w:bidi="ar-SA"/>
      <w14:textFill>
        <w14:solidFill>
          <w14:schemeClr w14:val="tx1"/>
        </w14:solidFill>
      </w14:textFill>
    </w:rPr>
  </w:style>
  <w:style w:type="paragraph" w:customStyle="1" w:styleId="20">
    <w:name w:val="图例"/>
    <w:basedOn w:val="1"/>
    <w:qFormat/>
    <w:uiPriority w:val="0"/>
    <w:pPr>
      <w:spacing w:before="120" w:after="120" w:line="360" w:lineRule="auto"/>
      <w:jc w:val="center"/>
    </w:pPr>
    <w:rPr>
      <w:rFonts w:eastAsia="仿宋_GB2312" w:cs="Times New Roman"/>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2816</Words>
  <Characters>3295</Characters>
  <Lines>16</Lines>
  <Paragraphs>4</Paragraphs>
  <TotalTime>0</TotalTime>
  <ScaleCrop>false</ScaleCrop>
  <LinksUpToDate>false</LinksUpToDate>
  <CharactersWithSpaces>3316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2025-03-04T06:35:00Z</dcterms:created>
  <dc:creator>康鹏辉</dc:creator>
  <cp:lastModifiedBy>岩石</cp:lastModifiedBy>
  <dcterms:modified xsi:type="dcterms:W3CDTF">2025-03-06T12:21:58Z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05785A6C932049F08E87C7C64344E9F6_13</vt:lpwstr>
  </property>
  <property fmtid="{D5CDD505-2E9C-101B-9397-08002B2CF9AE}" pid="4" name="KSOTemplateDocerSaveRecord">
    <vt:lpwstr>eyJoZGlkIjoiMTgyZTMxOTUzYWRmMDA1ZDc4ZmM4MzZjMThkNjZlNmUiLCJ1c2VySWQiOiI0OTg2ODQzMzQifQ==</vt:lpwstr>
  </property>
</Properties>
</file>