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关于“哈密市</w:t>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暑期</w:t>
      </w:r>
      <w:r>
        <w:rPr>
          <w:rFonts w:hint="eastAsia" w:ascii="方正小标宋简体" w:hAnsi="方正小标宋简体" w:eastAsia="方正小标宋简体" w:cs="方正小标宋简体"/>
          <w:sz w:val="44"/>
          <w:szCs w:val="44"/>
        </w:rPr>
        <w:t>中小学</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幼儿园</w:t>
      </w:r>
      <w:r>
        <w:rPr>
          <w:rFonts w:hint="eastAsia" w:ascii="方正小标宋简体" w:hAnsi="方正小标宋简体" w:eastAsia="方正小标宋简体" w:cs="方正小标宋简体"/>
          <w:sz w:val="44"/>
          <w:szCs w:val="44"/>
          <w:lang w:eastAsia="zh-CN"/>
        </w:rPr>
        <w:t>）</w:t>
      </w:r>
      <w:bookmarkStart w:id="3" w:name="_GoBack"/>
      <w:bookmarkEnd w:id="3"/>
      <w:r>
        <w:rPr>
          <w:rFonts w:hint="eastAsia" w:ascii="方正小标宋简体" w:hAnsi="方正小标宋简体" w:eastAsia="方正小标宋简体" w:cs="方正小标宋简体"/>
          <w:sz w:val="44"/>
          <w:szCs w:val="44"/>
        </w:rPr>
        <w:t>教师继续教育培训</w:t>
      </w:r>
      <w:r>
        <w:rPr>
          <w:rFonts w:hint="eastAsia" w:ascii="方正小标宋简体" w:hAnsi="方正小标宋简体" w:eastAsia="方正小标宋简体" w:cs="方正小标宋简体"/>
          <w:sz w:val="44"/>
          <w:szCs w:val="44"/>
          <w:lang w:val="en-US" w:eastAsia="zh-CN"/>
        </w:rPr>
        <w:t>”项目</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采购需求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黑体" w:cs="黑体"/>
          <w:sz w:val="32"/>
          <w:szCs w:val="32"/>
        </w:rPr>
      </w:pPr>
      <w:r>
        <w:rPr>
          <w:rFonts w:hint="eastAsia" w:ascii="黑体" w:hAnsi="黑体" w:eastAsia="黑体" w:cs="黑体"/>
          <w:sz w:val="32"/>
          <w:szCs w:val="32"/>
        </w:rPr>
        <w:t>培训目标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幼儿园、义务教育段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聚焦当前教育教学改革新背景、新要求，通过培训，更新教师教育教学观念，拓宽和丰富教师的专业知识和能力，增强教育教学实践本领，助推学习方式、课堂教学、课堂实施和评价体系变革，进一步提高教师的思想政治素质、师德修养、教育教学能力和信息技术应用能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高中段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kern w:val="0"/>
          <w:sz w:val="32"/>
          <w:szCs w:val="32"/>
          <w:lang w:val="en-US" w:eastAsia="zh-CN"/>
        </w:rPr>
        <w:t>聚焦普通高中“新课程新教材新高考”，通过培训，帮助教师全面了解掌握普通高中课程改革思路和要求、各学科教材编写思路和实施重难点、新高考改革的目标任务和主要措施，促进课程、教材、教学、考试、评价等有机衔接，全面落实新课程新教材理念和要求，着力提高普通高中育人质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黑体" w:cs="黑体"/>
          <w:sz w:val="32"/>
          <w:szCs w:val="32"/>
        </w:rPr>
      </w:pPr>
      <w:r>
        <w:rPr>
          <w:rFonts w:hint="eastAsia" w:ascii="黑体" w:hAnsi="黑体" w:eastAsia="黑体" w:cs="黑体"/>
          <w:sz w:val="32"/>
          <w:szCs w:val="32"/>
        </w:rPr>
        <w:t>培训对象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ascii="仿宋_GB2312" w:hAnsi="仿宋_GB2312" w:eastAsia="仿宋_GB2312" w:cs="仿宋_GB2312"/>
          <w:snapToGrid w:val="0"/>
          <w:kern w:val="0"/>
          <w:sz w:val="32"/>
          <w:szCs w:val="32"/>
          <w:lang w:val="en-US" w:eastAsia="zh-CN"/>
        </w:rPr>
        <w:t>全市行政区域内幼儿园、中小学、特殊教育学校在职教师，约2200人。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黑体" w:cs="黑体"/>
          <w:sz w:val="32"/>
          <w:szCs w:val="32"/>
        </w:rPr>
      </w:pPr>
      <w:r>
        <w:rPr>
          <w:rFonts w:hint="eastAsia" w:ascii="黑体" w:hAnsi="黑体" w:eastAsia="黑体" w:cs="黑体"/>
          <w:sz w:val="32"/>
          <w:szCs w:val="32"/>
        </w:rPr>
        <w:t>培训方式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本次培训将采取同步在线培训和异步在线培训相结合的培训方式，以教学案例为载体，采取专题讲座、专家辅导、研讨、互动、答疑、交流、教学案例分析等方式进行。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黑体" w:cs="黑体"/>
          <w:sz w:val="32"/>
          <w:szCs w:val="32"/>
        </w:rPr>
      </w:pPr>
      <w:r>
        <w:rPr>
          <w:rFonts w:hint="eastAsia" w:ascii="黑体" w:hAnsi="黑体" w:eastAsia="黑体" w:cs="黑体"/>
          <w:sz w:val="32"/>
          <w:szCs w:val="32"/>
        </w:rPr>
        <w:t>培训</w:t>
      </w:r>
      <w:r>
        <w:rPr>
          <w:rFonts w:hint="eastAsia" w:ascii="黑体" w:hAnsi="黑体" w:eastAsia="黑体" w:cs="黑体"/>
          <w:sz w:val="32"/>
          <w:szCs w:val="32"/>
          <w:lang w:val="en-US" w:eastAsia="zh-CN"/>
        </w:rPr>
        <w:t>时间及</w:t>
      </w:r>
      <w:r>
        <w:rPr>
          <w:rFonts w:hint="eastAsia" w:ascii="黑体" w:hAnsi="黑体" w:eastAsia="黑体" w:cs="黑体"/>
          <w:sz w:val="32"/>
          <w:szCs w:val="32"/>
        </w:rPr>
        <w:t>内容</w:t>
      </w:r>
    </w:p>
    <w:p>
      <w:pPr>
        <w:pStyle w:val="2"/>
        <w:keepNext w:val="0"/>
        <w:keepLines w:val="0"/>
        <w:pageBreakBefore w:val="0"/>
        <w:numPr>
          <w:ilvl w:val="0"/>
          <w:numId w:val="3"/>
        </w:numPr>
        <w:kinsoku/>
        <w:wordWrap/>
        <w:overflowPunct/>
        <w:topLinePunct w:val="0"/>
        <w:autoSpaceDE/>
        <w:autoSpaceDN/>
        <w:bidi w:val="0"/>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培训时间：2024年7月-8月</w:t>
      </w:r>
    </w:p>
    <w:p>
      <w:pPr>
        <w:pStyle w:val="2"/>
        <w:keepNext w:val="0"/>
        <w:keepLines w:val="0"/>
        <w:pageBreakBefore w:val="0"/>
        <w:numPr>
          <w:ilvl w:val="0"/>
          <w:numId w:val="3"/>
        </w:numPr>
        <w:kinsoku/>
        <w:wordWrap/>
        <w:overflowPunct/>
        <w:topLinePunct w:val="0"/>
        <w:autoSpaceDE/>
        <w:autoSpaceDN/>
        <w:bidi w:val="0"/>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培训内容：培训共计80学时（计18学分）。其中同步在线48学时，异步在线32学时，公共课学分设置不少于12学时。</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培训内容分为</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个模块：</w:t>
      </w:r>
      <w:r>
        <w:rPr>
          <w:rFonts w:hint="eastAsia" w:ascii="仿宋_GB2312" w:hAnsi="仿宋_GB2312" w:eastAsia="仿宋_GB2312" w:cs="仿宋_GB2312"/>
          <w:b/>
          <w:bCs/>
          <w:sz w:val="32"/>
          <w:szCs w:val="32"/>
        </w:rPr>
        <w:t>一是公共课。</w:t>
      </w:r>
      <w:r>
        <w:rPr>
          <w:rFonts w:hint="eastAsia" w:ascii="仿宋_GB2312" w:hAnsi="仿宋_GB2312" w:eastAsia="仿宋_GB2312" w:cs="仿宋_GB2312"/>
          <w:snapToGrid w:val="0"/>
          <w:kern w:val="0"/>
          <w:sz w:val="32"/>
          <w:szCs w:val="32"/>
          <w:lang w:val="en-US" w:eastAsia="zh-CN"/>
        </w:rPr>
        <w:t>聚焦教师理想信念和职业认同，开展习近平新时代中国特色社会主义思想、社会主义核心价值观、铸牢中华民族共同体意识教育，开展中国共产党党史、新中国史、改革开放史、社会主义发展史教育以及中华优秀传统文化教育、师德师风、学校班级管理、作业管理与设计、教师心理健康教育、学生身心发展规律、数字素养、科学教育、国家安全、法治教育、家庭教育等内容学习培训</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b/>
          <w:bCs/>
          <w:snapToGrid w:val="0"/>
          <w:kern w:val="0"/>
          <w:sz w:val="32"/>
          <w:szCs w:val="32"/>
        </w:rPr>
        <w:t>二是专业课。</w:t>
      </w:r>
      <w:r>
        <w:rPr>
          <w:rFonts w:hint="eastAsia" w:ascii="仿宋_GB2312" w:hAnsi="仿宋_GB2312" w:eastAsia="仿宋_GB2312" w:cs="仿宋_GB2312"/>
          <w:snapToGrid w:val="0"/>
          <w:kern w:val="0"/>
          <w:sz w:val="32"/>
          <w:szCs w:val="32"/>
          <w:lang w:val="en-US" w:eastAsia="zh-CN"/>
        </w:rPr>
        <w:t>聚焦教师专业发展能力，开展教育理念、学科专业知识、专业实践、专业反思等内容学习培训，突出新课程标准新教材新高考综合改革培训</w:t>
      </w:r>
      <w:r>
        <w:rPr>
          <w:rFonts w:hint="eastAsia" w:ascii="仿宋_GB2312" w:eastAsia="仿宋_GB2312"/>
          <w:sz w:val="32"/>
          <w:szCs w:val="32"/>
        </w:rPr>
        <w:t>。</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具体培训内容由哈密中等职业学校继续教育办公室与承训机构结合教师培训需求，按照</w:t>
      </w:r>
      <w:r>
        <w:rPr>
          <w:rFonts w:hint="eastAsia" w:ascii="仿宋_GB2312" w:hAnsi="仿宋_GB2312" w:eastAsia="仿宋_GB2312" w:cs="仿宋_GB2312"/>
          <w:b/>
          <w:bCs/>
          <w:snapToGrid w:val="0"/>
          <w:color w:val="FF0000"/>
          <w:kern w:val="0"/>
          <w:sz w:val="32"/>
          <w:szCs w:val="32"/>
          <w:lang w:val="en-US" w:eastAsia="zh-CN"/>
        </w:rPr>
        <w:t>全学科学段分层分类</w:t>
      </w:r>
      <w:r>
        <w:rPr>
          <w:rFonts w:hint="eastAsia" w:ascii="仿宋_GB2312" w:hAnsi="仿宋_GB2312" w:eastAsia="仿宋_GB2312" w:cs="仿宋_GB2312"/>
          <w:snapToGrid w:val="0"/>
          <w:kern w:val="0"/>
          <w:sz w:val="32"/>
          <w:szCs w:val="32"/>
          <w:lang w:val="en-US" w:eastAsia="zh-CN"/>
        </w:rPr>
        <w:t>确定。</w:t>
      </w:r>
    </w:p>
    <w:tbl>
      <w:tblPr>
        <w:tblStyle w:val="1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828"/>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29" w:type="dxa"/>
            <w:vAlign w:val="center"/>
          </w:tcPr>
          <w:p>
            <w:pPr>
              <w:pStyle w:val="6"/>
              <w:adjustRightInd w:val="0"/>
              <w:snapToGrid w:val="0"/>
              <w:spacing w:before="0" w:beforeAutospacing="0" w:after="0" w:afterAutospacing="0" w:line="360" w:lineRule="auto"/>
              <w:jc w:val="center"/>
              <w:rPr>
                <w:rFonts w:ascii="仿宋" w:hAnsi="仿宋" w:eastAsia="仿宋"/>
                <w:b/>
                <w:bCs/>
                <w:color w:val="000000" w:themeColor="text1"/>
                <w:sz w:val="21"/>
                <w:szCs w:val="21"/>
                <w14:textFill>
                  <w14:solidFill>
                    <w14:schemeClr w14:val="tx1"/>
                  </w14:solidFill>
                </w14:textFill>
              </w:rPr>
            </w:pPr>
            <w:r>
              <w:rPr>
                <w:rFonts w:hint="eastAsia" w:ascii="仿宋" w:hAnsi="仿宋" w:eastAsia="仿宋"/>
                <w:b/>
                <w:bCs/>
                <w:color w:val="000000" w:themeColor="text1"/>
                <w:sz w:val="21"/>
                <w:szCs w:val="21"/>
                <w14:textFill>
                  <w14:solidFill>
                    <w14:schemeClr w14:val="tx1"/>
                  </w14:solidFill>
                </w14:textFill>
              </w:rPr>
              <w:t>模块</w:t>
            </w:r>
          </w:p>
        </w:tc>
        <w:tc>
          <w:tcPr>
            <w:tcW w:w="3828" w:type="dxa"/>
            <w:vAlign w:val="center"/>
          </w:tcPr>
          <w:p>
            <w:pPr>
              <w:pStyle w:val="6"/>
              <w:adjustRightInd w:val="0"/>
              <w:snapToGrid w:val="0"/>
              <w:spacing w:before="0" w:beforeAutospacing="0" w:after="0" w:afterAutospacing="0" w:line="360" w:lineRule="auto"/>
              <w:jc w:val="center"/>
              <w:rPr>
                <w:rFonts w:ascii="仿宋" w:hAnsi="仿宋" w:eastAsia="仿宋"/>
                <w:b/>
                <w:bCs/>
                <w:color w:val="000000" w:themeColor="text1"/>
                <w:sz w:val="21"/>
                <w:szCs w:val="21"/>
                <w14:textFill>
                  <w14:solidFill>
                    <w14:schemeClr w14:val="tx1"/>
                  </w14:solidFill>
                </w14:textFill>
              </w:rPr>
            </w:pPr>
            <w:r>
              <w:rPr>
                <w:rFonts w:hint="eastAsia" w:ascii="仿宋" w:hAnsi="仿宋" w:eastAsia="仿宋"/>
                <w:b/>
                <w:bCs/>
                <w:color w:val="000000" w:themeColor="text1"/>
                <w:sz w:val="21"/>
                <w:szCs w:val="21"/>
                <w14:textFill>
                  <w14:solidFill>
                    <w14:schemeClr w14:val="tx1"/>
                  </w14:solidFill>
                </w14:textFill>
              </w:rPr>
              <w:t>培训内容</w:t>
            </w:r>
          </w:p>
        </w:tc>
        <w:tc>
          <w:tcPr>
            <w:tcW w:w="1559" w:type="dxa"/>
            <w:vAlign w:val="center"/>
          </w:tcPr>
          <w:p>
            <w:pPr>
              <w:pStyle w:val="6"/>
              <w:adjustRightInd w:val="0"/>
              <w:snapToGrid w:val="0"/>
              <w:spacing w:before="0" w:beforeAutospacing="0" w:after="0" w:afterAutospacing="0" w:line="360" w:lineRule="auto"/>
              <w:jc w:val="center"/>
              <w:rPr>
                <w:rFonts w:ascii="仿宋" w:hAnsi="仿宋" w:eastAsia="仿宋"/>
                <w:b/>
                <w:bCs/>
                <w:color w:val="000000" w:themeColor="text1"/>
                <w:sz w:val="21"/>
                <w:szCs w:val="21"/>
                <w14:textFill>
                  <w14:solidFill>
                    <w14:schemeClr w14:val="tx1"/>
                  </w14:solidFill>
                </w14:textFill>
              </w:rPr>
            </w:pPr>
            <w:r>
              <w:rPr>
                <w:rFonts w:hint="eastAsia" w:ascii="仿宋" w:hAnsi="仿宋" w:eastAsia="仿宋"/>
                <w:b/>
                <w:bCs/>
                <w:color w:val="000000" w:themeColor="text1"/>
                <w:sz w:val="21"/>
                <w:szCs w:val="21"/>
                <w14:textFill>
                  <w14:solidFill>
                    <w14:schemeClr w14:val="tx1"/>
                  </w14:solidFill>
                </w14:textFill>
              </w:rPr>
              <w:t>学时</w:t>
            </w:r>
          </w:p>
        </w:tc>
        <w:tc>
          <w:tcPr>
            <w:tcW w:w="2126" w:type="dxa"/>
            <w:vAlign w:val="center"/>
          </w:tcPr>
          <w:p>
            <w:pPr>
              <w:pStyle w:val="6"/>
              <w:adjustRightInd w:val="0"/>
              <w:snapToGrid w:val="0"/>
              <w:spacing w:before="0" w:beforeAutospacing="0" w:after="0" w:afterAutospacing="0" w:line="360" w:lineRule="auto"/>
              <w:jc w:val="center"/>
              <w:rPr>
                <w:rFonts w:hint="default" w:ascii="仿宋" w:hAnsi="仿宋" w:eastAsia="仿宋"/>
                <w:b/>
                <w:bCs/>
                <w:color w:val="000000" w:themeColor="text1"/>
                <w:sz w:val="21"/>
                <w:szCs w:val="21"/>
                <w:lang w:val="en-US" w:eastAsia="zh-CN"/>
                <w14:textFill>
                  <w14:solidFill>
                    <w14:schemeClr w14:val="tx1"/>
                  </w14:solidFill>
                </w14:textFill>
              </w:rPr>
            </w:pPr>
            <w:r>
              <w:rPr>
                <w:rFonts w:hint="eastAsia" w:ascii="仿宋" w:hAnsi="仿宋" w:eastAsia="仿宋" w:cs="仿宋"/>
                <w:b/>
                <w:bCs/>
                <w:sz w:val="21"/>
                <w:szCs w:val="21"/>
                <w:lang w:val="en-US" w:eastAsia="zh-CN"/>
              </w:rPr>
              <w:t>课程设置及学习安排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both"/>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模块一：</w:t>
            </w:r>
            <w:r>
              <w:rPr>
                <w:rFonts w:hint="eastAsia" w:ascii="仿宋" w:hAnsi="仿宋" w:eastAsia="仿宋"/>
                <w:b/>
                <w:bCs/>
                <w:color w:val="FF0000"/>
                <w:sz w:val="21"/>
                <w:szCs w:val="21"/>
                <w:lang w:val="en-US" w:eastAsia="zh-CN"/>
              </w:rPr>
              <w:t>同步在线--</w:t>
            </w:r>
            <w:r>
              <w:rPr>
                <w:rFonts w:hint="eastAsia" w:ascii="仿宋" w:hAnsi="仿宋" w:eastAsia="仿宋"/>
                <w:b/>
                <w:bCs/>
                <w:color w:val="FF0000"/>
                <w:sz w:val="21"/>
                <w:szCs w:val="21"/>
              </w:rPr>
              <w:t>公共课</w:t>
            </w:r>
          </w:p>
        </w:tc>
        <w:tc>
          <w:tcPr>
            <w:tcW w:w="3828" w:type="dxa"/>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both"/>
              <w:textAlignment w:val="auto"/>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聚焦教师理想信念和职业认同，开展习近平新时代中国特色社会主义思想、社会主义核心价值观、铸牢中华民族共同体意识教育，开展中国共产党党史、新中国史、改革开放史、社会主义发展史教育以及中华优秀传统文化教育、师德师风、学校班级管理、作业管理与设计、教师心理健康教育、学生身心发展规律、数字素养、科学教育、国家安全、法治教育、家庭教育</w:t>
            </w:r>
            <w:r>
              <w:rPr>
                <w:rFonts w:hint="eastAsia" w:ascii="仿宋" w:hAnsi="仿宋" w:eastAsia="仿宋"/>
                <w:color w:val="000000" w:themeColor="text1"/>
                <w:sz w:val="21"/>
                <w:szCs w:val="21"/>
                <w:lang w:val="en-US" w:eastAsia="zh-CN"/>
                <w14:textFill>
                  <w14:solidFill>
                    <w14:schemeClr w14:val="tx1"/>
                  </w14:solidFill>
                </w14:textFill>
              </w:rPr>
              <w:t>等。</w:t>
            </w:r>
          </w:p>
        </w:tc>
        <w:tc>
          <w:tcPr>
            <w:tcW w:w="1559" w:type="dxa"/>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both"/>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b/>
                <w:bCs/>
                <w:color w:val="FF0000"/>
                <w:sz w:val="21"/>
                <w:szCs w:val="21"/>
                <w:lang w:val="en-US" w:eastAsia="zh-CN"/>
              </w:rPr>
              <w:t>24</w:t>
            </w:r>
            <w:r>
              <w:rPr>
                <w:rFonts w:hint="eastAsia" w:ascii="仿宋" w:hAnsi="仿宋" w:eastAsia="仿宋"/>
                <w:b/>
                <w:bCs/>
                <w:color w:val="FF0000"/>
                <w:sz w:val="21"/>
                <w:szCs w:val="21"/>
              </w:rPr>
              <w:t>学时</w:t>
            </w:r>
            <w:r>
              <w:rPr>
                <w:rFonts w:hint="eastAsia" w:ascii="仿宋" w:hAnsi="仿宋" w:eastAsia="仿宋"/>
                <w:b/>
                <w:bCs/>
                <w:color w:val="FF0000"/>
                <w:sz w:val="21"/>
                <w:szCs w:val="21"/>
                <w:lang w:val="en-US" w:eastAsia="zh-CN"/>
              </w:rPr>
              <w:t>必修课</w:t>
            </w:r>
            <w:r>
              <w:rPr>
                <w:rFonts w:hint="eastAsia" w:ascii="仿宋" w:hAnsi="仿宋" w:eastAsia="仿宋"/>
                <w:color w:val="000000" w:themeColor="text1"/>
                <w:sz w:val="21"/>
                <w:szCs w:val="21"/>
                <w14:textFill>
                  <w14:solidFill>
                    <w14:schemeClr w14:val="tx1"/>
                  </w14:solidFill>
                </w14:textFill>
              </w:rPr>
              <w:t>（配置</w:t>
            </w:r>
            <w:r>
              <w:rPr>
                <w:rFonts w:hint="eastAsia" w:ascii="仿宋" w:hAnsi="仿宋" w:eastAsia="仿宋"/>
                <w:color w:val="000000" w:themeColor="text1"/>
                <w:sz w:val="21"/>
                <w:szCs w:val="21"/>
                <w:lang w:val="en-US" w:eastAsia="zh-CN"/>
                <w14:textFill>
                  <w14:solidFill>
                    <w14:schemeClr w14:val="tx1"/>
                  </w14:solidFill>
                </w14:textFill>
              </w:rPr>
              <w:t>直播课程</w:t>
            </w:r>
            <w:r>
              <w:rPr>
                <w:rFonts w:hint="eastAsia" w:ascii="仿宋" w:hAnsi="仿宋" w:eastAsia="仿宋"/>
                <w:color w:val="000000" w:themeColor="text1"/>
                <w:sz w:val="21"/>
                <w:szCs w:val="21"/>
                <w14:textFill>
                  <w14:solidFill>
                    <w14:schemeClr w14:val="tx1"/>
                  </w14:solidFill>
                </w14:textFill>
              </w:rPr>
              <w:t>）</w:t>
            </w:r>
          </w:p>
        </w:tc>
        <w:tc>
          <w:tcPr>
            <w:tcW w:w="2126" w:type="dxa"/>
            <w:vAlign w:val="center"/>
          </w:tcPr>
          <w:p>
            <w:pPr>
              <w:pStyle w:val="6"/>
              <w:keepNext w:val="0"/>
              <w:keepLines w:val="0"/>
              <w:pageBreakBefore w:val="0"/>
              <w:widowControl/>
              <w:numPr>
                <w:ilvl w:val="0"/>
                <w:numId w:val="4"/>
              </w:numPr>
              <w:kinsoku/>
              <w:wordWrap/>
              <w:overflowPunct/>
              <w:topLinePunct w:val="0"/>
              <w:autoSpaceDE/>
              <w:autoSpaceDN/>
              <w:bidi w:val="0"/>
              <w:adjustRightInd w:val="0"/>
              <w:snapToGrid w:val="0"/>
              <w:spacing w:before="0" w:beforeAutospacing="0" w:after="0" w:afterAutospacing="0" w:line="360" w:lineRule="exact"/>
              <w:jc w:val="both"/>
              <w:textAlignment w:val="auto"/>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此模块由承训机构根据培训内容邀请专家名师，开设在线直播课程。</w:t>
            </w:r>
          </w:p>
          <w:p>
            <w:pPr>
              <w:pStyle w:val="6"/>
              <w:keepNext w:val="0"/>
              <w:keepLines w:val="0"/>
              <w:pageBreakBefore w:val="0"/>
              <w:widowControl/>
              <w:numPr>
                <w:ilvl w:val="0"/>
                <w:numId w:val="4"/>
              </w:numPr>
              <w:kinsoku/>
              <w:wordWrap/>
              <w:overflowPunct/>
              <w:topLinePunct w:val="0"/>
              <w:autoSpaceDE/>
              <w:autoSpaceDN/>
              <w:bidi w:val="0"/>
              <w:adjustRightInd w:val="0"/>
              <w:snapToGrid w:val="0"/>
              <w:spacing w:before="0" w:beforeAutospacing="0" w:after="0" w:afterAutospacing="0" w:line="360" w:lineRule="exact"/>
              <w:jc w:val="both"/>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全员必修课。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both"/>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模块二：</w:t>
            </w:r>
            <w:r>
              <w:rPr>
                <w:rFonts w:hint="eastAsia" w:ascii="仿宋" w:hAnsi="仿宋" w:eastAsia="仿宋"/>
                <w:b/>
                <w:bCs/>
                <w:color w:val="FF0000"/>
                <w:sz w:val="21"/>
                <w:szCs w:val="21"/>
                <w:lang w:val="en-US" w:eastAsia="zh-CN"/>
              </w:rPr>
              <w:t>同步在线--</w:t>
            </w:r>
            <w:r>
              <w:rPr>
                <w:rFonts w:hint="eastAsia" w:ascii="仿宋" w:hAnsi="仿宋" w:eastAsia="仿宋"/>
                <w:b/>
                <w:bCs/>
                <w:color w:val="FF0000"/>
                <w:sz w:val="21"/>
                <w:szCs w:val="21"/>
              </w:rPr>
              <w:t>专业课</w:t>
            </w:r>
          </w:p>
        </w:tc>
        <w:tc>
          <w:tcPr>
            <w:tcW w:w="3828" w:type="dxa"/>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both"/>
              <w:textAlignment w:val="auto"/>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聚焦教师专业发展能力，开展教育理念、学科专业知识、专业实践、专业反思等内容学习培训，突出新课程标准新教材新高考综合改革培训</w:t>
            </w:r>
            <w:r>
              <w:rPr>
                <w:rFonts w:hint="eastAsia" w:ascii="仿宋" w:hAnsi="仿宋" w:eastAsia="仿宋"/>
                <w:color w:val="000000" w:themeColor="text1"/>
                <w:sz w:val="21"/>
                <w:szCs w:val="21"/>
                <w:lang w:val="en-US" w:eastAsia="zh-CN"/>
                <w14:textFill>
                  <w14:solidFill>
                    <w14:schemeClr w14:val="tx1"/>
                  </w14:solidFill>
                </w14:textFill>
              </w:rPr>
              <w:t>等。</w:t>
            </w:r>
          </w:p>
        </w:tc>
        <w:tc>
          <w:tcPr>
            <w:tcW w:w="1559" w:type="dxa"/>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both"/>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b/>
                <w:bCs/>
                <w:color w:val="FF0000"/>
                <w:sz w:val="21"/>
                <w:szCs w:val="21"/>
                <w:lang w:val="en-US" w:eastAsia="zh-CN"/>
              </w:rPr>
              <w:t>24场分学段学科直播课</w:t>
            </w:r>
            <w:r>
              <w:rPr>
                <w:rFonts w:hint="eastAsia" w:ascii="仿宋" w:hAnsi="仿宋" w:eastAsia="仿宋"/>
                <w:color w:val="000000" w:themeColor="text1"/>
                <w:sz w:val="21"/>
                <w:szCs w:val="21"/>
                <w14:textFill>
                  <w14:solidFill>
                    <w14:schemeClr w14:val="tx1"/>
                  </w14:solidFill>
                </w14:textFill>
              </w:rPr>
              <w:t>（</w:t>
            </w:r>
            <w:r>
              <w:rPr>
                <w:rFonts w:hint="eastAsia" w:ascii="仿宋" w:hAnsi="仿宋" w:eastAsia="仿宋"/>
                <w:color w:val="000000" w:themeColor="text1"/>
                <w:sz w:val="21"/>
                <w:szCs w:val="21"/>
                <w:lang w:val="en-US" w:eastAsia="zh-CN"/>
                <w14:textFill>
                  <w14:solidFill>
                    <w14:schemeClr w14:val="tx1"/>
                  </w14:solidFill>
                </w14:textFill>
              </w:rPr>
              <w:t>每场4课时</w:t>
            </w:r>
            <w:r>
              <w:rPr>
                <w:rFonts w:hint="eastAsia" w:ascii="仿宋" w:hAnsi="仿宋" w:eastAsia="仿宋"/>
                <w:color w:val="000000" w:themeColor="text1"/>
                <w:sz w:val="21"/>
                <w:szCs w:val="21"/>
                <w14:textFill>
                  <w14:solidFill>
                    <w14:schemeClr w14:val="tx1"/>
                  </w14:solidFill>
                </w14:textFill>
              </w:rPr>
              <w:t>）</w:t>
            </w:r>
          </w:p>
        </w:tc>
        <w:tc>
          <w:tcPr>
            <w:tcW w:w="2126" w:type="dxa"/>
            <w:vAlign w:val="center"/>
          </w:tcPr>
          <w:p>
            <w:pPr>
              <w:pStyle w:val="6"/>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0" w:afterAutospacing="0" w:line="360" w:lineRule="exact"/>
              <w:jc w:val="both"/>
              <w:textAlignment w:val="auto"/>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此模块由哈密市教育局邀请本地各学段学科专家名师带头人，开设在线直播课程。</w:t>
            </w:r>
          </w:p>
          <w:p>
            <w:pPr>
              <w:pStyle w:val="6"/>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0" w:afterAutospacing="0" w:line="360" w:lineRule="exact"/>
              <w:jc w:val="both"/>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学员根据个人专业对口及需求，选修24学时及以上的课程内容。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both"/>
              <w:textAlignment w:val="auto"/>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s="仿宋_GB2312"/>
                <w:snapToGrid w:val="0"/>
                <w:sz w:val="21"/>
                <w:szCs w:val="21"/>
              </w:rPr>
              <w:t>模块三：</w:t>
            </w:r>
            <w:r>
              <w:rPr>
                <w:rFonts w:hint="eastAsia" w:ascii="仿宋" w:hAnsi="仿宋" w:eastAsia="仿宋" w:cs="仿宋_GB2312"/>
                <w:b/>
                <w:bCs/>
                <w:snapToGrid w:val="0"/>
                <w:color w:val="FF0000"/>
                <w:sz w:val="21"/>
                <w:szCs w:val="21"/>
                <w:lang w:val="en-US" w:eastAsia="zh-CN"/>
              </w:rPr>
              <w:t>异步网络--专业课及教学技能实践课</w:t>
            </w:r>
          </w:p>
        </w:tc>
        <w:tc>
          <w:tcPr>
            <w:tcW w:w="3828" w:type="dxa"/>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both"/>
              <w:textAlignment w:val="auto"/>
              <w:rPr>
                <w:rFonts w:hint="eastAsia" w:ascii="仿宋" w:hAnsi="仿宋" w:eastAsia="仿宋"/>
                <w:color w:val="000000" w:themeColor="text1"/>
                <w:sz w:val="21"/>
                <w:szCs w:val="21"/>
                <w:lang w:eastAsia="zh-CN"/>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学科专业知识、专业实践、专业反思等内容学习培训，突出新课程标准新教材新高考综合改革培训</w:t>
            </w:r>
            <w:r>
              <w:rPr>
                <w:rFonts w:hint="eastAsia" w:ascii="仿宋" w:hAnsi="仿宋" w:eastAsia="仿宋"/>
                <w:color w:val="000000" w:themeColor="text1"/>
                <w:sz w:val="21"/>
                <w:szCs w:val="21"/>
                <w:lang w:eastAsia="zh-CN"/>
                <w14:textFill>
                  <w14:solidFill>
                    <w14:schemeClr w14:val="tx1"/>
                  </w14:solidFill>
                </w14:textFill>
              </w:rPr>
              <w:t>；</w:t>
            </w:r>
            <w:r>
              <w:rPr>
                <w:rFonts w:hint="eastAsia" w:ascii="仿宋" w:hAnsi="仿宋" w:eastAsia="仿宋"/>
                <w:color w:val="000000" w:themeColor="text1"/>
                <w:sz w:val="21"/>
                <w:szCs w:val="21"/>
                <w14:textFill>
                  <w14:solidFill>
                    <w14:schemeClr w14:val="tx1"/>
                  </w14:solidFill>
                </w14:textFill>
              </w:rPr>
              <w:t>教学基本功训练、教学设计与实施、信息技术基础知识、教学实践与观摩等</w:t>
            </w:r>
            <w:r>
              <w:rPr>
                <w:rFonts w:hint="eastAsia" w:ascii="仿宋" w:hAnsi="仿宋" w:eastAsia="仿宋"/>
                <w:color w:val="000000" w:themeColor="text1"/>
                <w:sz w:val="21"/>
                <w:szCs w:val="21"/>
                <w:lang w:eastAsia="zh-CN"/>
                <w14:textFill>
                  <w14:solidFill>
                    <w14:schemeClr w14:val="tx1"/>
                  </w14:solidFill>
                </w14:textFill>
              </w:rPr>
              <w:t>。</w:t>
            </w:r>
          </w:p>
        </w:tc>
        <w:tc>
          <w:tcPr>
            <w:tcW w:w="1559" w:type="dxa"/>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exact"/>
              <w:jc w:val="both"/>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b/>
                <w:bCs/>
                <w:color w:val="FF0000"/>
                <w:sz w:val="21"/>
                <w:szCs w:val="21"/>
                <w:lang w:val="en-US" w:eastAsia="zh-CN"/>
              </w:rPr>
              <w:t>32</w:t>
            </w:r>
            <w:r>
              <w:rPr>
                <w:rFonts w:hint="eastAsia" w:ascii="仿宋" w:hAnsi="仿宋" w:eastAsia="仿宋"/>
                <w:b/>
                <w:bCs/>
                <w:color w:val="FF0000"/>
                <w:sz w:val="21"/>
                <w:szCs w:val="21"/>
              </w:rPr>
              <w:t>学时</w:t>
            </w:r>
            <w:r>
              <w:rPr>
                <w:rFonts w:hint="eastAsia" w:ascii="仿宋" w:hAnsi="仿宋" w:eastAsia="仿宋"/>
                <w:b/>
                <w:bCs/>
                <w:color w:val="FF0000"/>
                <w:sz w:val="21"/>
                <w:szCs w:val="21"/>
                <w:lang w:val="en-US" w:eastAsia="zh-CN"/>
              </w:rPr>
              <w:t>必修+选修课</w:t>
            </w:r>
            <w:r>
              <w:rPr>
                <w:rFonts w:hint="eastAsia" w:ascii="仿宋" w:hAnsi="仿宋" w:eastAsia="仿宋"/>
                <w:color w:val="000000" w:themeColor="text1"/>
                <w:sz w:val="21"/>
                <w:szCs w:val="21"/>
                <w14:textFill>
                  <w14:solidFill>
                    <w14:schemeClr w14:val="tx1"/>
                  </w14:solidFill>
                </w14:textFill>
              </w:rPr>
              <w:t>（配置网络研修课程）</w:t>
            </w:r>
          </w:p>
        </w:tc>
        <w:tc>
          <w:tcPr>
            <w:tcW w:w="2126" w:type="dxa"/>
            <w:vAlign w:val="center"/>
          </w:tcPr>
          <w:p>
            <w:pPr>
              <w:pStyle w:val="6"/>
              <w:keepNext w:val="0"/>
              <w:keepLines w:val="0"/>
              <w:pageBreakBefore w:val="0"/>
              <w:widowControl/>
              <w:numPr>
                <w:ilvl w:val="0"/>
                <w:numId w:val="6"/>
              </w:numPr>
              <w:kinsoku/>
              <w:wordWrap/>
              <w:overflowPunct/>
              <w:topLinePunct w:val="0"/>
              <w:autoSpaceDE/>
              <w:autoSpaceDN/>
              <w:bidi w:val="0"/>
              <w:adjustRightInd w:val="0"/>
              <w:snapToGrid w:val="0"/>
              <w:spacing w:before="0" w:beforeAutospacing="0" w:after="0" w:afterAutospacing="0" w:line="360" w:lineRule="exact"/>
              <w:jc w:val="both"/>
              <w:textAlignment w:val="auto"/>
              <w:rPr>
                <w:rFonts w:hint="eastAsia" w:ascii="仿宋" w:hAnsi="仿宋" w:eastAsia="仿宋"/>
                <w:color w:val="000000" w:themeColor="text1"/>
                <w:sz w:val="21"/>
                <w:szCs w:val="21"/>
                <w:lang w:val="en-US" w:eastAsia="zh-CN"/>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此模块由承训机构根据培训内容邀请专家名师，配置异步网络研修课程。</w:t>
            </w:r>
          </w:p>
          <w:p>
            <w:pPr>
              <w:pStyle w:val="6"/>
              <w:keepNext w:val="0"/>
              <w:keepLines w:val="0"/>
              <w:pageBreakBefore w:val="0"/>
              <w:widowControl/>
              <w:numPr>
                <w:ilvl w:val="0"/>
                <w:numId w:val="6"/>
              </w:numPr>
              <w:kinsoku/>
              <w:wordWrap/>
              <w:overflowPunct/>
              <w:topLinePunct w:val="0"/>
              <w:autoSpaceDE/>
              <w:autoSpaceDN/>
              <w:bidi w:val="0"/>
              <w:adjustRightInd w:val="0"/>
              <w:snapToGrid w:val="0"/>
              <w:spacing w:before="0" w:beforeAutospacing="0" w:after="0" w:afterAutospacing="0" w:line="360" w:lineRule="exact"/>
              <w:jc w:val="both"/>
              <w:textAlignment w:val="auto"/>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lang w:val="en-US" w:eastAsia="zh-CN"/>
                <w14:textFill>
                  <w14:solidFill>
                    <w14:schemeClr w14:val="tx1"/>
                  </w14:solidFill>
                </w14:textFill>
              </w:rPr>
              <w:t>学员根据个人专业对口及需求，完成必修内容加选修内容共计32学时及以上的课程。</w:t>
            </w:r>
          </w:p>
        </w:tc>
      </w:tr>
    </w:tbl>
    <w:p>
      <w:pPr>
        <w:pStyle w:val="2"/>
        <w:keepNext w:val="0"/>
        <w:keepLines w:val="0"/>
        <w:pageBreakBefore w:val="0"/>
        <w:numPr>
          <w:ilvl w:val="0"/>
          <w:numId w:val="0"/>
        </w:numPr>
        <w:kinsoku/>
        <w:wordWrap/>
        <w:overflowPunct/>
        <w:topLinePunct w:val="0"/>
        <w:autoSpaceDE/>
        <w:autoSpaceDN/>
        <w:bidi w:val="0"/>
        <w:spacing w:line="560" w:lineRule="exact"/>
        <w:textAlignment w:val="auto"/>
        <w:rPr>
          <w:rFonts w:hint="default" w:ascii="仿宋_GB2312" w:hAnsi="仿宋_GB2312" w:eastAsia="仿宋_GB2312" w:cs="仿宋_GB2312"/>
          <w:snapToGrid w:val="0"/>
          <w:kern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黑体" w:cs="黑体"/>
          <w:b/>
          <w:bCs/>
          <w:sz w:val="32"/>
          <w:szCs w:val="32"/>
        </w:rPr>
      </w:pPr>
      <w:bookmarkStart w:id="0" w:name="_Toc15942"/>
      <w:r>
        <w:rPr>
          <w:rFonts w:hint="eastAsia" w:ascii="黑体" w:hAnsi="黑体" w:eastAsia="黑体" w:cs="黑体"/>
          <w:b/>
          <w:bCs/>
          <w:sz w:val="32"/>
          <w:szCs w:val="32"/>
          <w:lang w:val="en-US" w:eastAsia="zh-CN"/>
        </w:rPr>
        <w:t>培训要求及考核评价</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z w:val="32"/>
          <w:szCs w:val="32"/>
          <w:lang w:val="en-US" w:eastAsia="zh-CN"/>
        </w:rPr>
        <w:t>本次培训严格按照</w:t>
      </w:r>
      <w:r>
        <w:rPr>
          <w:rFonts w:hint="eastAsia" w:ascii="仿宋_GB2312" w:hAnsi="仿宋_GB2312" w:eastAsia="仿宋_GB2312" w:cs="仿宋_GB2312"/>
          <w:snapToGrid w:val="0"/>
          <w:kern w:val="0"/>
          <w:sz w:val="32"/>
          <w:szCs w:val="32"/>
          <w:lang w:val="en-US" w:eastAsia="zh-CN"/>
        </w:rPr>
        <w:t>《关于印发&lt;新疆维吾尔自治区第七个五年管理周期中小学和幼儿园教师继续教育实施方（2024-2028）&gt;的通知》（新教函[2024]266号）和哈密市教育局《关于举办2024年暑假中小学幼儿园教师继续教育培训班的通知》要求，对培训合格者进行课时登记，同步在线48学时计入教师七五周期继续教育培训必修课程集中培训学分，异步在线32学时计入教师七五周期继续教育培训必修课程网络培训学时。</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rPr>
      </w:pPr>
      <w:r>
        <w:rPr>
          <w:rFonts w:hint="eastAsia" w:ascii="仿宋_GB2312" w:hAnsi="仿宋_GB2312" w:eastAsia="仿宋_GB2312" w:cs="仿宋_GB2312"/>
          <w:snapToGrid w:val="0"/>
          <w:kern w:val="0"/>
          <w:sz w:val="32"/>
          <w:szCs w:val="32"/>
        </w:rPr>
        <w:t>本次培训学员考核</w:t>
      </w:r>
      <w:r>
        <w:rPr>
          <w:rFonts w:hint="eastAsia" w:ascii="仿宋_GB2312" w:hAnsi="仿宋_GB2312" w:eastAsia="仿宋_GB2312" w:cs="仿宋_GB2312"/>
          <w:snapToGrid w:val="0"/>
          <w:kern w:val="0"/>
          <w:sz w:val="32"/>
          <w:szCs w:val="32"/>
          <w:lang w:val="en-US" w:eastAsia="zh-CN"/>
        </w:rPr>
        <w:t>内容</w:t>
      </w:r>
      <w:r>
        <w:rPr>
          <w:rFonts w:hint="eastAsia" w:ascii="仿宋_GB2312" w:hAnsi="仿宋_GB2312" w:eastAsia="仿宋_GB2312" w:cs="仿宋_GB2312"/>
          <w:snapToGrid w:val="0"/>
          <w:kern w:val="0"/>
          <w:sz w:val="32"/>
          <w:szCs w:val="32"/>
        </w:rPr>
        <w:t>包括线上研修</w:t>
      </w:r>
      <w:r>
        <w:rPr>
          <w:rFonts w:hint="eastAsia" w:ascii="仿宋_GB2312" w:hAnsi="仿宋_GB2312" w:eastAsia="仿宋_GB2312" w:cs="仿宋_GB2312"/>
          <w:snapToGrid w:val="0"/>
          <w:kern w:val="0"/>
          <w:sz w:val="32"/>
          <w:szCs w:val="32"/>
          <w:lang w:val="en-US" w:eastAsia="zh-CN"/>
        </w:rPr>
        <w:t>学时，每个主题后的测试</w:t>
      </w:r>
      <w:r>
        <w:rPr>
          <w:rFonts w:hint="eastAsia" w:ascii="仿宋_GB2312" w:hAnsi="仿宋_GB2312" w:eastAsia="仿宋_GB2312" w:cs="仿宋_GB2312"/>
          <w:snapToGrid w:val="0"/>
          <w:kern w:val="0"/>
          <w:sz w:val="32"/>
          <w:szCs w:val="32"/>
        </w:rPr>
        <w:t>成绩，</w:t>
      </w:r>
      <w:r>
        <w:rPr>
          <w:rFonts w:hint="eastAsia" w:ascii="仿宋_GB2312" w:hAnsi="仿宋_GB2312" w:eastAsia="仿宋_GB2312" w:cs="仿宋_GB2312"/>
          <w:snapToGrid w:val="0"/>
          <w:kern w:val="0"/>
          <w:sz w:val="32"/>
          <w:szCs w:val="32"/>
          <w:lang w:val="en-US" w:eastAsia="zh-CN"/>
        </w:rPr>
        <w:t>教学实践与技能课作业等，</w:t>
      </w:r>
      <w:r>
        <w:rPr>
          <w:rFonts w:hint="eastAsia" w:ascii="仿宋_GB2312" w:hAnsi="仿宋_GB2312" w:eastAsia="仿宋_GB2312" w:cs="仿宋_GB2312"/>
          <w:snapToGrid w:val="0"/>
          <w:kern w:val="0"/>
          <w:sz w:val="32"/>
          <w:szCs w:val="32"/>
        </w:rPr>
        <w:t>培训成绩满分100分，合格分80分</w:t>
      </w:r>
      <w:r>
        <w:rPr>
          <w:rFonts w:hint="eastAsia" w:ascii="仿宋_GB2312" w:hAnsi="仿宋_GB2312" w:eastAsia="仿宋_GB2312" w:cs="仿宋_GB2312"/>
          <w:snapToGrid w:val="0"/>
          <w:kern w:val="0"/>
          <w:sz w:val="32"/>
          <w:szCs w:val="32"/>
          <w:lang w:val="en-US" w:eastAsia="zh-CN"/>
        </w:rPr>
        <w:t>。</w:t>
      </w:r>
      <w:bookmarkEnd w:id="0"/>
      <w:bookmarkStart w:id="1" w:name="_Toc26914"/>
    </w:p>
    <w:bookmarkEnd w:id="1"/>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黑体" w:cs="黑体"/>
          <w:b/>
          <w:bCs/>
          <w:sz w:val="32"/>
          <w:szCs w:val="32"/>
          <w:lang w:val="en-US" w:eastAsia="zh-CN"/>
        </w:rPr>
      </w:pPr>
      <w:bookmarkStart w:id="2" w:name="_Toc27625"/>
      <w:r>
        <w:rPr>
          <w:rFonts w:hint="eastAsia" w:ascii="黑体" w:hAnsi="黑体" w:eastAsia="黑体" w:cs="黑体"/>
          <w:b/>
          <w:bCs/>
          <w:sz w:val="32"/>
          <w:szCs w:val="32"/>
          <w:lang w:val="en-US" w:eastAsia="zh-CN"/>
        </w:rPr>
        <w:t>对承训机构的要求</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承训机构必须提供企业基本信息及</w:t>
      </w:r>
      <w:r>
        <w:rPr>
          <w:rFonts w:hint="eastAsia" w:ascii="仿宋_GB2312" w:hAnsi="仿宋_GB2312" w:eastAsia="仿宋_GB2312" w:cs="仿宋_GB2312"/>
          <w:b/>
          <w:bCs/>
          <w:color w:val="FF0000"/>
          <w:sz w:val="32"/>
          <w:szCs w:val="32"/>
          <w:lang w:val="en-US" w:eastAsia="zh-CN"/>
        </w:rPr>
        <w:t>国培资质</w:t>
      </w:r>
      <w:r>
        <w:rPr>
          <w:rFonts w:hint="eastAsia" w:ascii="仿宋_GB2312" w:hAnsi="仿宋_GB2312" w:eastAsia="仿宋_GB2312" w:cs="仿宋_GB2312"/>
          <w:sz w:val="32"/>
          <w:szCs w:val="32"/>
          <w:lang w:val="en-US" w:eastAsia="zh-CN"/>
        </w:rPr>
        <w:t>相关佐证材料，本次培训</w:t>
      </w:r>
      <w:r>
        <w:rPr>
          <w:rFonts w:hint="eastAsia" w:ascii="仿宋_GB2312" w:hAnsi="仿宋_GB2312" w:eastAsia="仿宋_GB2312" w:cs="仿宋_GB2312"/>
          <w:b/>
          <w:bCs/>
          <w:color w:val="FF0000"/>
          <w:sz w:val="32"/>
          <w:szCs w:val="32"/>
          <w:lang w:val="en-US" w:eastAsia="zh-CN"/>
        </w:rPr>
        <w:t>详细方案，培训报价</w:t>
      </w:r>
      <w:r>
        <w:rPr>
          <w:rFonts w:hint="eastAsia" w:ascii="仿宋_GB2312" w:hAnsi="仿宋_GB2312" w:eastAsia="仿宋_GB2312" w:cs="仿宋_GB2312"/>
          <w:sz w:val="32"/>
          <w:szCs w:val="32"/>
          <w:lang w:val="en-US" w:eastAsia="zh-CN"/>
        </w:rPr>
        <w:t>等材料；</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承训机构在培训开始前对每位参训教师进行培训需求</w:t>
      </w:r>
      <w:r>
        <w:rPr>
          <w:rFonts w:hint="eastAsia" w:ascii="仿宋_GB2312" w:hAnsi="仿宋_GB2312" w:eastAsia="仿宋_GB2312" w:cs="仿宋_GB2312"/>
          <w:b/>
          <w:bCs/>
          <w:color w:val="FF0000"/>
          <w:sz w:val="32"/>
          <w:szCs w:val="32"/>
          <w:lang w:val="en-US" w:eastAsia="zh-CN"/>
        </w:rPr>
        <w:t>调研</w:t>
      </w:r>
      <w:r>
        <w:rPr>
          <w:rFonts w:hint="eastAsia" w:ascii="仿宋_GB2312" w:hAnsi="仿宋_GB2312" w:eastAsia="仿宋_GB2312" w:cs="仿宋_GB2312"/>
          <w:sz w:val="32"/>
          <w:szCs w:val="32"/>
          <w:lang w:val="en-US" w:eastAsia="zh-CN"/>
        </w:rPr>
        <w:t>，撰写</w:t>
      </w:r>
      <w:r>
        <w:rPr>
          <w:rFonts w:hint="eastAsia" w:ascii="仿宋_GB2312" w:hAnsi="仿宋_GB2312" w:eastAsia="仿宋_GB2312" w:cs="仿宋_GB2312"/>
          <w:b/>
          <w:bCs/>
          <w:color w:val="FF0000"/>
          <w:sz w:val="32"/>
          <w:szCs w:val="32"/>
          <w:lang w:val="en-US" w:eastAsia="zh-CN"/>
        </w:rPr>
        <w:t>调研报告</w:t>
      </w:r>
      <w:r>
        <w:rPr>
          <w:rFonts w:hint="eastAsia" w:ascii="仿宋_GB2312" w:hAnsi="仿宋_GB2312" w:eastAsia="仿宋_GB2312" w:cs="仿宋_GB2312"/>
          <w:sz w:val="32"/>
          <w:szCs w:val="32"/>
          <w:lang w:val="en-US" w:eastAsia="zh-CN"/>
        </w:rPr>
        <w:t>，并根据调研结果，分学段分学科分层次开发教师培训课程，各学段学科提供同步直播课和异步网络课共80学时以上的课程资源；</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承训机构根据参训学员信息，将学员按学段学科进行分坊，选坊主，并</w:t>
      </w:r>
      <w:r>
        <w:rPr>
          <w:rFonts w:hint="eastAsia" w:ascii="仿宋_GB2312" w:hAnsi="仿宋_GB2312" w:eastAsia="仿宋_GB2312" w:cs="仿宋_GB2312"/>
          <w:b/>
          <w:bCs/>
          <w:color w:val="FF0000"/>
          <w:sz w:val="32"/>
          <w:szCs w:val="32"/>
          <w:lang w:val="en-US" w:eastAsia="zh-CN"/>
        </w:rPr>
        <w:t>对坊主进行相关培训</w:t>
      </w:r>
      <w:r>
        <w:rPr>
          <w:rFonts w:hint="eastAsia" w:ascii="仿宋_GB2312" w:hAnsi="仿宋_GB2312" w:eastAsia="仿宋_GB2312" w:cs="仿宋_GB2312"/>
          <w:sz w:val="32"/>
          <w:szCs w:val="32"/>
          <w:lang w:val="en-US" w:eastAsia="zh-CN"/>
        </w:rPr>
        <w:t>，帮助坊主发挥好带头引领作用；</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在培训过程中，每周进行一次学情统计，督促学员按时完成学习，</w:t>
      </w:r>
      <w:r>
        <w:rPr>
          <w:rFonts w:hint="eastAsia" w:ascii="仿宋_GB2312" w:hAnsi="仿宋_GB2312" w:eastAsia="仿宋_GB2312" w:cs="仿宋_GB2312"/>
          <w:b/>
          <w:bCs/>
          <w:color w:val="FF0000"/>
          <w:sz w:val="32"/>
          <w:szCs w:val="32"/>
          <w:lang w:val="en-US" w:eastAsia="zh-CN"/>
        </w:rPr>
        <w:t>测试和作业提交</w:t>
      </w:r>
      <w:r>
        <w:rPr>
          <w:rFonts w:hint="eastAsia" w:ascii="仿宋_GB2312" w:hAnsi="仿宋_GB2312" w:eastAsia="仿宋_GB2312" w:cs="仿宋_GB2312"/>
          <w:sz w:val="32"/>
          <w:szCs w:val="32"/>
          <w:lang w:val="en-US" w:eastAsia="zh-CN"/>
        </w:rPr>
        <w:t>任务；</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培训结束前，对参训学员进行</w:t>
      </w:r>
      <w:r>
        <w:rPr>
          <w:rFonts w:hint="eastAsia" w:ascii="仿宋_GB2312" w:hAnsi="仿宋_GB2312" w:eastAsia="仿宋_GB2312" w:cs="仿宋_GB2312"/>
          <w:b/>
          <w:bCs/>
          <w:color w:val="FF0000"/>
          <w:sz w:val="32"/>
          <w:szCs w:val="32"/>
          <w:lang w:val="en-US" w:eastAsia="zh-CN"/>
        </w:rPr>
        <w:t>满意度测评</w:t>
      </w:r>
      <w:r>
        <w:rPr>
          <w:rFonts w:hint="eastAsia" w:ascii="仿宋_GB2312" w:hAnsi="仿宋_GB2312" w:eastAsia="仿宋_GB2312" w:cs="仿宋_GB2312"/>
          <w:sz w:val="32"/>
          <w:szCs w:val="32"/>
          <w:lang w:val="en-US" w:eastAsia="zh-CN"/>
        </w:rPr>
        <w:t>，为后期培训质量和培训实效性的提升打好基础；</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培训结束后，承训机构根据最终学情统计和哈密中等职业学校继续教育办公室</w:t>
      </w:r>
      <w:r>
        <w:rPr>
          <w:rFonts w:hint="eastAsia" w:ascii="仿宋_GB2312" w:hAnsi="仿宋_GB2312" w:eastAsia="仿宋_GB2312" w:cs="仿宋_GB2312"/>
          <w:b/>
          <w:bCs/>
          <w:color w:val="FF0000"/>
          <w:sz w:val="32"/>
          <w:szCs w:val="32"/>
          <w:lang w:val="en-US" w:eastAsia="zh-CN"/>
        </w:rPr>
        <w:t>优秀学员选取比例（5%）</w:t>
      </w:r>
      <w:r>
        <w:rPr>
          <w:rFonts w:hint="eastAsia" w:ascii="仿宋_GB2312" w:hAnsi="仿宋_GB2312" w:eastAsia="仿宋_GB2312" w:cs="仿宋_GB2312"/>
          <w:sz w:val="32"/>
          <w:szCs w:val="32"/>
          <w:lang w:val="en-US" w:eastAsia="zh-CN"/>
        </w:rPr>
        <w:t>选优秀学员，并向继续教育办公室提供优秀学员名单；</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承训机构安排专人负责撰写</w:t>
      </w:r>
      <w:r>
        <w:rPr>
          <w:rFonts w:hint="eastAsia" w:ascii="仿宋_GB2312" w:hAnsi="仿宋_GB2312" w:eastAsia="仿宋_GB2312" w:cs="仿宋_GB2312"/>
          <w:b/>
          <w:bCs/>
          <w:color w:val="FF0000"/>
          <w:sz w:val="32"/>
          <w:szCs w:val="32"/>
          <w:lang w:val="en-US" w:eastAsia="zh-CN"/>
        </w:rPr>
        <w:t>本次培训总结及简报</w:t>
      </w:r>
      <w:r>
        <w:rPr>
          <w:rFonts w:hint="eastAsia" w:ascii="仿宋_GB2312" w:hAnsi="仿宋_GB2312" w:eastAsia="仿宋_GB2312" w:cs="仿宋_GB2312"/>
          <w:sz w:val="32"/>
          <w:szCs w:val="32"/>
          <w:lang w:val="en-US" w:eastAsia="zh-CN"/>
        </w:rPr>
        <w:t>并向组织承办单位提交；</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训机构项目组提供平台实时监控服务，保证系统运行稳定；提供专业系统的各层次技术培训，保证各角色顺利使用平台；运用随机问题监控等技术手段，加强对学员研修过程的监管（为了提升学员学习效率，承训机构需设置</w:t>
      </w:r>
      <w:r>
        <w:rPr>
          <w:rFonts w:hint="eastAsia" w:ascii="仿宋_GB2312" w:hAnsi="仿宋_GB2312" w:eastAsia="仿宋_GB2312" w:cs="仿宋_GB2312"/>
          <w:b/>
          <w:bCs/>
          <w:color w:val="FF0000"/>
          <w:sz w:val="32"/>
          <w:szCs w:val="32"/>
          <w:lang w:val="en-US" w:eastAsia="zh-CN"/>
        </w:rPr>
        <w:t>2分钟一次的屏幕抖动功能</w:t>
      </w:r>
      <w:r>
        <w:rPr>
          <w:rFonts w:hint="eastAsia" w:ascii="仿宋_GB2312" w:hAnsi="仿宋_GB2312" w:eastAsia="仿宋_GB2312" w:cs="仿宋_GB2312"/>
          <w:sz w:val="32"/>
          <w:szCs w:val="32"/>
          <w:lang w:val="en-US" w:eastAsia="zh-CN"/>
        </w:rPr>
        <w:t>）；制定专门的应急预案，对突发情况做到快速有效应对，确保项目的顺利实施。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培训费用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snapToGrid w:val="0"/>
          <w:kern w:val="0"/>
          <w:sz w:val="32"/>
          <w:szCs w:val="32"/>
          <w:lang w:val="en-US" w:eastAsia="zh-CN"/>
        </w:rPr>
        <w:t>本次培训费用（线上课程资源及平台使用费用）预算为20万元（大写：贰拾万元整），实际培训费用将以政采云平台竞价形式生成的承训机构与组织机构协商签订的合同为准。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组织管理及服务保障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napToGrid w:val="0"/>
          <w:kern w:val="0"/>
          <w:sz w:val="32"/>
          <w:szCs w:val="32"/>
        </w:rPr>
      </w:pPr>
      <w:r>
        <w:rPr>
          <w:rFonts w:hint="eastAsia"/>
          <w:lang w:val="en-US" w:eastAsia="zh-CN"/>
        </w:rPr>
        <w:t xml:space="preserve">     </w:t>
      </w:r>
      <w:r>
        <w:rPr>
          <w:rFonts w:hint="eastAsia" w:ascii="仿宋_GB2312" w:hAnsi="仿宋_GB2312" w:eastAsia="仿宋_GB2312" w:cs="仿宋_GB2312"/>
          <w:snapToGrid w:val="0"/>
          <w:kern w:val="0"/>
          <w:sz w:val="32"/>
          <w:szCs w:val="32"/>
          <w:lang w:val="en-US" w:eastAsia="zh-CN" w:bidi="ar-SA"/>
        </w:rPr>
        <w:t xml:space="preserve"> </w:t>
      </w:r>
      <w:r>
        <w:rPr>
          <w:rFonts w:hint="eastAsia" w:ascii="仿宋_GB2312" w:hAnsi="仿宋_GB2312" w:eastAsia="仿宋_GB2312" w:cs="仿宋_GB2312"/>
          <w:snapToGrid w:val="0"/>
          <w:kern w:val="0"/>
          <w:sz w:val="32"/>
          <w:szCs w:val="32"/>
          <w:lang w:val="en-US" w:eastAsia="zh-CN"/>
        </w:rPr>
        <w:t>承训机构</w:t>
      </w:r>
      <w:r>
        <w:rPr>
          <w:rFonts w:hint="eastAsia" w:ascii="仿宋_GB2312" w:hAnsi="仿宋_GB2312" w:eastAsia="仿宋_GB2312" w:cs="仿宋_GB2312"/>
          <w:snapToGrid w:val="0"/>
          <w:kern w:val="0"/>
          <w:sz w:val="32"/>
          <w:szCs w:val="32"/>
        </w:rPr>
        <w:t>项目组提供平台实时监控服务，保证系统运行稳定；提供专业系统的各层次技术培训，保证各角色顺利使用平台；运用随机问题监控等技术手段，加强对学员研修过程的监管；制定专门的应急预案，对突发情况做到快速有效应对，确保项目的顺利实施。</w:t>
      </w:r>
    </w:p>
    <w:bookmarkEnd w:id="2"/>
    <w:p>
      <w:pPr>
        <w:pStyle w:val="2"/>
        <w:keepNext w:val="0"/>
        <w:keepLines w:val="0"/>
        <w:pageBreakBefore w:val="0"/>
        <w:kinsoku/>
        <w:wordWrap/>
        <w:overflowPunct/>
        <w:topLinePunct w:val="0"/>
        <w:autoSpaceDE/>
        <w:autoSpaceDN/>
        <w:bidi w:val="0"/>
        <w:spacing w:line="560" w:lineRule="exact"/>
        <w:ind w:firstLine="3840" w:firstLineChars="1200"/>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kinsoku/>
        <w:wordWrap/>
        <w:overflowPunct/>
        <w:topLinePunct w:val="0"/>
        <w:autoSpaceDE/>
        <w:autoSpaceDN/>
        <w:bidi w:val="0"/>
        <w:spacing w:line="560" w:lineRule="exact"/>
        <w:ind w:firstLine="3840" w:firstLineChars="1200"/>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kinsoku/>
        <w:wordWrap/>
        <w:overflowPunct/>
        <w:topLinePunct w:val="0"/>
        <w:autoSpaceDE/>
        <w:autoSpaceDN/>
        <w:bidi w:val="0"/>
        <w:spacing w:line="560" w:lineRule="exact"/>
        <w:ind w:firstLine="5440" w:firstLineChars="1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哈密中等职业学校 </w:t>
      </w:r>
    </w:p>
    <w:p>
      <w:pPr>
        <w:pStyle w:val="2"/>
        <w:keepNext w:val="0"/>
        <w:keepLines w:val="0"/>
        <w:pageBreakBefore w:val="0"/>
        <w:kinsoku/>
        <w:wordWrap/>
        <w:overflowPunct/>
        <w:topLinePunct w:val="0"/>
        <w:autoSpaceDE/>
        <w:autoSpaceDN/>
        <w:bidi w:val="0"/>
        <w:spacing w:line="560" w:lineRule="exact"/>
        <w:ind w:firstLine="5440" w:firstLineChars="17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2024年6月25日 </w:t>
      </w:r>
    </w:p>
    <w:sectPr>
      <w:footerReference r:id="rId3" w:type="default"/>
      <w:pgSz w:w="11906" w:h="16838"/>
      <w:pgMar w:top="175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3ABB93"/>
    <w:multiLevelType w:val="singleLevel"/>
    <w:tmpl w:val="8D3ABB93"/>
    <w:lvl w:ilvl="0" w:tentative="0">
      <w:start w:val="1"/>
      <w:numFmt w:val="chineseCounting"/>
      <w:suff w:val="nothing"/>
      <w:lvlText w:val="（%1）"/>
      <w:lvlJc w:val="left"/>
      <w:pPr>
        <w:ind w:left="0" w:firstLine="420"/>
      </w:pPr>
      <w:rPr>
        <w:rFonts w:hint="eastAsia"/>
      </w:rPr>
    </w:lvl>
  </w:abstractNum>
  <w:abstractNum w:abstractNumId="1">
    <w:nsid w:val="DA50A9AD"/>
    <w:multiLevelType w:val="singleLevel"/>
    <w:tmpl w:val="DA50A9AD"/>
    <w:lvl w:ilvl="0" w:tentative="0">
      <w:start w:val="1"/>
      <w:numFmt w:val="decimal"/>
      <w:lvlText w:val="%1."/>
      <w:lvlJc w:val="left"/>
      <w:pPr>
        <w:tabs>
          <w:tab w:val="left" w:pos="312"/>
        </w:tabs>
      </w:pPr>
    </w:lvl>
  </w:abstractNum>
  <w:abstractNum w:abstractNumId="2">
    <w:nsid w:val="DEC3DAB9"/>
    <w:multiLevelType w:val="singleLevel"/>
    <w:tmpl w:val="DEC3DAB9"/>
    <w:lvl w:ilvl="0" w:tentative="0">
      <w:start w:val="1"/>
      <w:numFmt w:val="chineseCounting"/>
      <w:suff w:val="nothing"/>
      <w:lvlText w:val="（%1）"/>
      <w:lvlJc w:val="left"/>
      <w:pPr>
        <w:ind w:left="0" w:firstLine="420"/>
      </w:pPr>
      <w:rPr>
        <w:rFonts w:hint="eastAsia"/>
      </w:rPr>
    </w:lvl>
  </w:abstractNum>
  <w:abstractNum w:abstractNumId="3">
    <w:nsid w:val="0B74BBA0"/>
    <w:multiLevelType w:val="singleLevel"/>
    <w:tmpl w:val="0B74BBA0"/>
    <w:lvl w:ilvl="0" w:tentative="0">
      <w:start w:val="1"/>
      <w:numFmt w:val="chineseCounting"/>
      <w:suff w:val="nothing"/>
      <w:lvlText w:val="（%1）"/>
      <w:lvlJc w:val="left"/>
      <w:pPr>
        <w:ind w:left="0" w:firstLine="420"/>
      </w:pPr>
      <w:rPr>
        <w:rFonts w:hint="eastAsia"/>
      </w:rPr>
    </w:lvl>
  </w:abstractNum>
  <w:abstractNum w:abstractNumId="4">
    <w:nsid w:val="290F5942"/>
    <w:multiLevelType w:val="singleLevel"/>
    <w:tmpl w:val="290F5942"/>
    <w:lvl w:ilvl="0" w:tentative="0">
      <w:start w:val="1"/>
      <w:numFmt w:val="decimal"/>
      <w:lvlText w:val="%1."/>
      <w:lvlJc w:val="left"/>
      <w:pPr>
        <w:tabs>
          <w:tab w:val="left" w:pos="312"/>
        </w:tabs>
      </w:pPr>
    </w:lvl>
  </w:abstractNum>
  <w:abstractNum w:abstractNumId="5">
    <w:nsid w:val="2C51879B"/>
    <w:multiLevelType w:val="singleLevel"/>
    <w:tmpl w:val="2C51879B"/>
    <w:lvl w:ilvl="0" w:tentative="0">
      <w:start w:val="1"/>
      <w:numFmt w:val="decimal"/>
      <w:lvlText w:val="%1."/>
      <w:lvlJc w:val="left"/>
      <w:pPr>
        <w:tabs>
          <w:tab w:val="left" w:pos="312"/>
        </w:tabs>
      </w:pPr>
    </w:lvl>
  </w:abstractNum>
  <w:abstractNum w:abstractNumId="6">
    <w:nsid w:val="3C7A72C8"/>
    <w:multiLevelType w:val="singleLevel"/>
    <w:tmpl w:val="3C7A72C8"/>
    <w:lvl w:ilvl="0" w:tentative="0">
      <w:start w:val="1"/>
      <w:numFmt w:val="chineseCounting"/>
      <w:suff w:val="nothing"/>
      <w:lvlText w:val="%1、"/>
      <w:lvlJc w:val="left"/>
      <w:pPr>
        <w:ind w:left="0" w:firstLine="420"/>
      </w:pPr>
      <w:rPr>
        <w:rFonts w:hint="eastAsia"/>
      </w:rPr>
    </w:lvl>
  </w:abstractNum>
  <w:num w:numId="1">
    <w:abstractNumId w:val="6"/>
  </w:num>
  <w:num w:numId="2">
    <w:abstractNumId w:val="2"/>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E0523"/>
    <w:rsid w:val="00380AD4"/>
    <w:rsid w:val="00507BD6"/>
    <w:rsid w:val="015A1668"/>
    <w:rsid w:val="017D4BAB"/>
    <w:rsid w:val="0296719B"/>
    <w:rsid w:val="02F8195E"/>
    <w:rsid w:val="034E1936"/>
    <w:rsid w:val="03A0444F"/>
    <w:rsid w:val="06130064"/>
    <w:rsid w:val="06215CD6"/>
    <w:rsid w:val="06E36504"/>
    <w:rsid w:val="07C74010"/>
    <w:rsid w:val="07F81C27"/>
    <w:rsid w:val="086B5402"/>
    <w:rsid w:val="08D97F47"/>
    <w:rsid w:val="08FA306E"/>
    <w:rsid w:val="09EC334C"/>
    <w:rsid w:val="0D28440A"/>
    <w:rsid w:val="0D543529"/>
    <w:rsid w:val="0F244E5D"/>
    <w:rsid w:val="11595FA9"/>
    <w:rsid w:val="121424D2"/>
    <w:rsid w:val="134E5654"/>
    <w:rsid w:val="13D04709"/>
    <w:rsid w:val="14055B32"/>
    <w:rsid w:val="16DE45A4"/>
    <w:rsid w:val="170D5520"/>
    <w:rsid w:val="18142A72"/>
    <w:rsid w:val="183944A8"/>
    <w:rsid w:val="18460456"/>
    <w:rsid w:val="190C1642"/>
    <w:rsid w:val="196F13FB"/>
    <w:rsid w:val="19B757E6"/>
    <w:rsid w:val="1AC37766"/>
    <w:rsid w:val="1CDE3F4F"/>
    <w:rsid w:val="1DC6655E"/>
    <w:rsid w:val="1E032BD1"/>
    <w:rsid w:val="1E345801"/>
    <w:rsid w:val="1E861BE0"/>
    <w:rsid w:val="1ECD549E"/>
    <w:rsid w:val="1F4262FF"/>
    <w:rsid w:val="1F6B4578"/>
    <w:rsid w:val="1F951D78"/>
    <w:rsid w:val="1FA2495B"/>
    <w:rsid w:val="2112189A"/>
    <w:rsid w:val="23365135"/>
    <w:rsid w:val="24497912"/>
    <w:rsid w:val="2469337E"/>
    <w:rsid w:val="282410ED"/>
    <w:rsid w:val="28D35FB9"/>
    <w:rsid w:val="2AB9039A"/>
    <w:rsid w:val="2C3B5B5A"/>
    <w:rsid w:val="2CE040F3"/>
    <w:rsid w:val="2D787D37"/>
    <w:rsid w:val="2E40059A"/>
    <w:rsid w:val="2E604517"/>
    <w:rsid w:val="2EE92597"/>
    <w:rsid w:val="2F551EFD"/>
    <w:rsid w:val="307B410C"/>
    <w:rsid w:val="30980E36"/>
    <w:rsid w:val="31521000"/>
    <w:rsid w:val="31D76359"/>
    <w:rsid w:val="32377441"/>
    <w:rsid w:val="32F7714B"/>
    <w:rsid w:val="33CC0F27"/>
    <w:rsid w:val="348C07B6"/>
    <w:rsid w:val="35821BAC"/>
    <w:rsid w:val="35F4077E"/>
    <w:rsid w:val="36CB2975"/>
    <w:rsid w:val="37123A88"/>
    <w:rsid w:val="37933368"/>
    <w:rsid w:val="37AC583B"/>
    <w:rsid w:val="383F6850"/>
    <w:rsid w:val="395968D3"/>
    <w:rsid w:val="39C56B9F"/>
    <w:rsid w:val="3AE16D68"/>
    <w:rsid w:val="3BB27DFA"/>
    <w:rsid w:val="3BEB158F"/>
    <w:rsid w:val="3C206319"/>
    <w:rsid w:val="3D7E3328"/>
    <w:rsid w:val="3D921CCB"/>
    <w:rsid w:val="3E63183D"/>
    <w:rsid w:val="3F074681"/>
    <w:rsid w:val="3F5F32EC"/>
    <w:rsid w:val="3F7E026D"/>
    <w:rsid w:val="402E0719"/>
    <w:rsid w:val="40925B2E"/>
    <w:rsid w:val="41240D4C"/>
    <w:rsid w:val="412865C3"/>
    <w:rsid w:val="426A484B"/>
    <w:rsid w:val="455367AF"/>
    <w:rsid w:val="47314C6A"/>
    <w:rsid w:val="48C71B60"/>
    <w:rsid w:val="48EB4DEA"/>
    <w:rsid w:val="49250561"/>
    <w:rsid w:val="4A0F4736"/>
    <w:rsid w:val="4D1F0612"/>
    <w:rsid w:val="4E547A0A"/>
    <w:rsid w:val="4EE25AA1"/>
    <w:rsid w:val="4F6D65A0"/>
    <w:rsid w:val="500F21EA"/>
    <w:rsid w:val="509834AD"/>
    <w:rsid w:val="522E78B8"/>
    <w:rsid w:val="533E4E98"/>
    <w:rsid w:val="53C743F2"/>
    <w:rsid w:val="54F20F54"/>
    <w:rsid w:val="56264818"/>
    <w:rsid w:val="564B3399"/>
    <w:rsid w:val="577537A3"/>
    <w:rsid w:val="58A01CE8"/>
    <w:rsid w:val="5B535E9D"/>
    <w:rsid w:val="5C4C5060"/>
    <w:rsid w:val="5EDD38EC"/>
    <w:rsid w:val="5F9F40E6"/>
    <w:rsid w:val="5FD62542"/>
    <w:rsid w:val="60585339"/>
    <w:rsid w:val="612C39A6"/>
    <w:rsid w:val="62215DD8"/>
    <w:rsid w:val="6297287A"/>
    <w:rsid w:val="6312572A"/>
    <w:rsid w:val="63C42BD1"/>
    <w:rsid w:val="64182D20"/>
    <w:rsid w:val="65601AEF"/>
    <w:rsid w:val="659D30C7"/>
    <w:rsid w:val="660440D8"/>
    <w:rsid w:val="69E4599D"/>
    <w:rsid w:val="6A374195"/>
    <w:rsid w:val="6A9D473C"/>
    <w:rsid w:val="714365F3"/>
    <w:rsid w:val="71790F03"/>
    <w:rsid w:val="719B0083"/>
    <w:rsid w:val="71F8351B"/>
    <w:rsid w:val="72395DCD"/>
    <w:rsid w:val="72BE5FCB"/>
    <w:rsid w:val="72CB178A"/>
    <w:rsid w:val="72DA3BF0"/>
    <w:rsid w:val="73286E7B"/>
    <w:rsid w:val="73D756A5"/>
    <w:rsid w:val="77E64E60"/>
    <w:rsid w:val="784420FE"/>
    <w:rsid w:val="78A256ED"/>
    <w:rsid w:val="78A724DD"/>
    <w:rsid w:val="7A7872F9"/>
    <w:rsid w:val="7A85099C"/>
    <w:rsid w:val="7BF98A81"/>
    <w:rsid w:val="7D3E0523"/>
    <w:rsid w:val="7D8A526B"/>
    <w:rsid w:val="7DC9226E"/>
    <w:rsid w:val="7DF11B8A"/>
    <w:rsid w:val="7E241FFA"/>
    <w:rsid w:val="7E29669E"/>
    <w:rsid w:val="7FDA2437"/>
    <w:rsid w:val="BFF7F9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rFonts w:ascii="Calibri" w:hAnsi="Calibri" w:eastAsia="宋体" w:cs="Times New Roman"/>
      <w:b/>
      <w:kern w:val="44"/>
      <w:sz w:val="44"/>
      <w:szCs w:val="24"/>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
    <w:name w:val="网格型1"/>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2019-12-23T10:36:00Z</dcterms:created>
  <dc:creator>Administrator</dc:creator>
  <cp:lastModifiedBy>Administrator</cp:lastModifiedBy>
  <cp:lastPrinted>2023-06-13T03:24:00Z</cp:lastPrinted>
  <dcterms:modified xsi:type="dcterms:W3CDTF">2024-06-27T03:44:31Z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