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附件一：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哈密市中心医院安全设备特征库</w:t>
      </w:r>
      <w:r>
        <w:rPr>
          <w:rFonts w:hint="eastAsia" w:ascii="方正小标宋简体" w:hAnsi="方正小标宋简体" w:eastAsia="方正小标宋简体" w:cs="方正小标宋简体"/>
          <w:sz w:val="44"/>
          <w:szCs w:val="44"/>
          <w:lang w:eastAsia="zh-CN"/>
        </w:rPr>
        <w:t>续费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授权许可证</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sz w:val="44"/>
          <w:szCs w:val="44"/>
          <w:lang w:eastAsia="zh-CN"/>
        </w:rPr>
        <w:t>服务</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参数</w:t>
      </w:r>
    </w:p>
    <w:p>
      <w:pPr>
        <w:keepNext w:val="0"/>
        <w:keepLines w:val="0"/>
        <w:pageBreakBefore w:val="0"/>
        <w:kinsoku/>
        <w:wordWrap/>
        <w:overflowPunct/>
        <w:topLinePunct w:val="0"/>
        <w:autoSpaceDE/>
        <w:autoSpaceDN/>
        <w:bidi w:val="0"/>
        <w:adjustRightInd/>
        <w:snapToGrid/>
        <w:spacing w:line="320" w:lineRule="exact"/>
        <w:textAlignment w:val="auto"/>
        <w:rPr>
          <w:b/>
          <w:bCs/>
          <w:sz w:val="21"/>
          <w:szCs w:val="21"/>
        </w:rPr>
      </w:pPr>
      <w:r>
        <w:rPr>
          <w:b/>
          <w:bCs/>
          <w:sz w:val="21"/>
          <w:szCs w:val="21"/>
        </w:rPr>
        <w:t>一、</w:t>
      </w:r>
      <w:r>
        <w:rPr>
          <w:rFonts w:hint="eastAsia"/>
          <w:b/>
          <w:bCs/>
          <w:sz w:val="21"/>
          <w:szCs w:val="21"/>
        </w:rPr>
        <w:t xml:space="preserve"> </w:t>
      </w:r>
      <w:r>
        <w:rPr>
          <w:b/>
          <w:bCs/>
          <w:sz w:val="21"/>
          <w:szCs w:val="21"/>
        </w:rPr>
        <w:t>采购需求</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 w:hAnsi="仿宋" w:eastAsia="宋体" w:cs="Times New Roman"/>
          <w:sz w:val="21"/>
          <w:szCs w:val="21"/>
        </w:rPr>
      </w:pPr>
      <w:r>
        <w:rPr>
          <w:rFonts w:ascii="仿宋" w:hAnsi="仿宋" w:eastAsia="宋体" w:cs="Times New Roman"/>
          <w:sz w:val="21"/>
          <w:szCs w:val="21"/>
        </w:rPr>
        <w:t>我院为提升全院信息化网络安全防护水平，满足《信息安全技术网络安全等级保护基本要求》，</w:t>
      </w:r>
      <w:r>
        <w:rPr>
          <w:rFonts w:hint="eastAsia" w:ascii="仿宋" w:hAnsi="仿宋" w:eastAsia="宋体" w:cs="Times New Roman"/>
          <w:sz w:val="21"/>
          <w:szCs w:val="21"/>
          <w:lang w:eastAsia="zh-CN"/>
        </w:rPr>
        <w:t>现</w:t>
      </w:r>
      <w:r>
        <w:rPr>
          <w:rFonts w:ascii="仿宋" w:hAnsi="仿宋" w:eastAsia="宋体" w:cs="Times New Roman"/>
          <w:sz w:val="21"/>
          <w:szCs w:val="21"/>
        </w:rPr>
        <w:t>购置网络安全产品含</w:t>
      </w:r>
      <w:r>
        <w:rPr>
          <w:rFonts w:hint="eastAsia" w:ascii="仿宋" w:hAnsi="仿宋" w:eastAsia="宋体" w:cs="Times New Roman"/>
          <w:sz w:val="21"/>
          <w:szCs w:val="21"/>
          <w:lang w:eastAsia="zh-CN"/>
        </w:rPr>
        <w:t>一</w:t>
      </w:r>
      <w:r>
        <w:rPr>
          <w:rFonts w:ascii="仿宋" w:hAnsi="仿宋" w:eastAsia="宋体" w:cs="Times New Roman"/>
          <w:sz w:val="21"/>
          <w:szCs w:val="21"/>
        </w:rPr>
        <w:t>年特征库升级授权服务。用于延续安全设备漏洞、攻击行为检测防御能力，并提供相关原厂售后服务。</w:t>
      </w:r>
    </w:p>
    <w:p>
      <w:pPr>
        <w:bidi w:val="0"/>
        <w:rPr>
          <w:b/>
          <w:bCs/>
          <w:sz w:val="32"/>
          <w:szCs w:val="32"/>
        </w:rPr>
      </w:pPr>
      <w:r>
        <w:rPr>
          <w:rFonts w:hint="eastAsia"/>
          <w:b/>
          <w:bCs/>
          <w:sz w:val="32"/>
          <w:szCs w:val="32"/>
        </w:rPr>
        <w:t>二、 采购清单及采购需求</w:t>
      </w:r>
    </w:p>
    <w:tbl>
      <w:tblPr>
        <w:tblStyle w:val="3"/>
        <w:tblW w:w="9197" w:type="dxa"/>
        <w:jc w:val="center"/>
        <w:tblInd w:w="154" w:type="dxa"/>
        <w:tblLayout w:type="fixed"/>
        <w:tblCellMar>
          <w:top w:w="0" w:type="dxa"/>
          <w:left w:w="108" w:type="dxa"/>
          <w:bottom w:w="0" w:type="dxa"/>
          <w:right w:w="108" w:type="dxa"/>
        </w:tblCellMar>
      </w:tblPr>
      <w:tblGrid>
        <w:gridCol w:w="692"/>
        <w:gridCol w:w="2268"/>
        <w:gridCol w:w="2551"/>
        <w:gridCol w:w="567"/>
        <w:gridCol w:w="567"/>
        <w:gridCol w:w="2552"/>
      </w:tblGrid>
      <w:tr>
        <w:tblPrEx>
          <w:tblLayout w:type="fixed"/>
          <w:tblCellMar>
            <w:top w:w="0" w:type="dxa"/>
            <w:left w:w="108" w:type="dxa"/>
            <w:bottom w:w="0" w:type="dxa"/>
            <w:right w:w="108" w:type="dxa"/>
          </w:tblCellMar>
        </w:tblPrEx>
        <w:trPr>
          <w:trHeight w:val="480"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特征库类型</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2552"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备注</w:t>
            </w:r>
          </w:p>
        </w:tc>
      </w:tr>
      <w:tr>
        <w:tblPrEx>
          <w:tblLayout w:type="fixed"/>
          <w:tblCellMar>
            <w:top w:w="0" w:type="dxa"/>
            <w:left w:w="108" w:type="dxa"/>
            <w:bottom w:w="0" w:type="dxa"/>
            <w:right w:w="108" w:type="dxa"/>
          </w:tblCellMar>
        </w:tblPrEx>
        <w:trPr>
          <w:trHeight w:val="290" w:hRule="atLeast"/>
          <w:jc w:val="center"/>
        </w:trPr>
        <w:tc>
          <w:tcPr>
            <w:tcW w:w="6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互联网出口防火墙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特征库升级</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入侵防护特征库</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年</w:t>
            </w:r>
          </w:p>
        </w:tc>
        <w:tc>
          <w:tcPr>
            <w:tcW w:w="2552" w:type="dxa"/>
            <w:vMerge w:val="restart"/>
            <w:tcBorders>
              <w:top w:val="nil"/>
              <w:left w:val="single" w:color="auto" w:sz="4" w:space="0"/>
              <w:right w:val="single" w:color="auto" w:sz="4" w:space="0"/>
            </w:tcBorders>
          </w:tcPr>
          <w:p>
            <w:pPr>
              <w:widowControl/>
              <w:spacing w:line="360" w:lineRule="auto"/>
              <w:jc w:val="center"/>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45"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病毒防护特征库</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552" w:type="dxa"/>
            <w:vMerge w:val="continue"/>
            <w:tcBorders>
              <w:left w:val="single" w:color="auto" w:sz="4" w:space="0"/>
              <w:right w:val="single" w:color="auto" w:sz="4" w:space="0"/>
            </w:tcBorders>
          </w:tcPr>
          <w:p>
            <w:pPr>
              <w:widowControl/>
              <w:spacing w:line="360" w:lineRule="auto"/>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90"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应用分类特征库</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552" w:type="dxa"/>
            <w:vMerge w:val="continue"/>
            <w:tcBorders>
              <w:left w:val="single" w:color="auto" w:sz="4" w:space="0"/>
              <w:right w:val="single" w:color="auto" w:sz="4" w:space="0"/>
            </w:tcBorders>
          </w:tcPr>
          <w:p>
            <w:pPr>
              <w:widowControl/>
              <w:spacing w:line="360" w:lineRule="auto"/>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URL分类特征库</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552" w:type="dxa"/>
            <w:vMerge w:val="continue"/>
            <w:tcBorders>
              <w:left w:val="single" w:color="auto" w:sz="4" w:space="0"/>
              <w:bottom w:val="single" w:color="auto" w:sz="4" w:space="0"/>
              <w:right w:val="single" w:color="auto" w:sz="4" w:space="0"/>
            </w:tcBorders>
          </w:tcPr>
          <w:p>
            <w:pPr>
              <w:widowControl/>
              <w:spacing w:line="360" w:lineRule="auto"/>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72" w:hRule="atLeast"/>
          <w:jc w:val="center"/>
        </w:trPr>
        <w:tc>
          <w:tcPr>
            <w:tcW w:w="6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服务器区防火墙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特征库升级</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入侵防护特征库</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年</w:t>
            </w:r>
          </w:p>
        </w:tc>
        <w:tc>
          <w:tcPr>
            <w:tcW w:w="2552" w:type="dxa"/>
            <w:vMerge w:val="restart"/>
            <w:tcBorders>
              <w:top w:val="nil"/>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 w:val="18"/>
                <w:szCs w:val="18"/>
              </w:rPr>
              <w:t>服务器区防火墙为我院业务核心重要资产，设备特征库升级有可能涉及到软件大版本升级，并需要在业务不间断情况下完成。因业务不间断升级风险大、操作难度高，需设备原厂提供技术支持。基于以上情况，本次采购需提供服务器区防火墙</w:t>
            </w:r>
            <w:r>
              <w:rPr>
                <w:rFonts w:ascii="宋体" w:hAnsi="宋体" w:eastAsia="宋体" w:cs="宋体"/>
                <w:color w:val="000000"/>
                <w:kern w:val="0"/>
                <w:sz w:val="18"/>
                <w:szCs w:val="18"/>
              </w:rPr>
              <w:t>原厂商授权及售后服务承诺函</w:t>
            </w:r>
            <w:r>
              <w:rPr>
                <w:rFonts w:hint="eastAsia" w:ascii="宋体" w:hAnsi="宋体" w:eastAsia="宋体" w:cs="宋体"/>
                <w:color w:val="000000"/>
                <w:kern w:val="0"/>
                <w:sz w:val="18"/>
                <w:szCs w:val="18"/>
                <w:lang w:eastAsia="zh-CN"/>
              </w:rPr>
              <w:t>。</w:t>
            </w:r>
          </w:p>
        </w:tc>
      </w:tr>
      <w:tr>
        <w:tblPrEx>
          <w:tblLayout w:type="fixed"/>
          <w:tblCellMar>
            <w:top w:w="0" w:type="dxa"/>
            <w:left w:w="108" w:type="dxa"/>
            <w:bottom w:w="0" w:type="dxa"/>
            <w:right w:w="108" w:type="dxa"/>
          </w:tblCellMar>
        </w:tblPrEx>
        <w:trPr>
          <w:trHeight w:val="272"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病毒防护特征库</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552" w:type="dxa"/>
            <w:vMerge w:val="continue"/>
            <w:tcBorders>
              <w:left w:val="single" w:color="auto" w:sz="4" w:space="0"/>
              <w:right w:val="single" w:color="auto" w:sz="4" w:space="0"/>
            </w:tcBorders>
          </w:tcPr>
          <w:p>
            <w:pPr>
              <w:widowControl/>
              <w:spacing w:line="360" w:lineRule="auto"/>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42"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应用分类特征库</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552" w:type="dxa"/>
            <w:vMerge w:val="continue"/>
            <w:tcBorders>
              <w:left w:val="single" w:color="auto" w:sz="4" w:space="0"/>
              <w:right w:val="single" w:color="auto" w:sz="4" w:space="0"/>
            </w:tcBorders>
          </w:tcPr>
          <w:p>
            <w:pPr>
              <w:widowControl/>
              <w:spacing w:line="360" w:lineRule="auto"/>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67"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26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URL分类特征库</w:t>
            </w: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Cs w:val="21"/>
              </w:rPr>
            </w:pPr>
          </w:p>
        </w:tc>
        <w:tc>
          <w:tcPr>
            <w:tcW w:w="2552" w:type="dxa"/>
            <w:vMerge w:val="continue"/>
            <w:tcBorders>
              <w:left w:val="single" w:color="auto" w:sz="4" w:space="0"/>
              <w:bottom w:val="single" w:color="auto" w:sz="4" w:space="0"/>
              <w:right w:val="single" w:color="auto" w:sz="4" w:space="0"/>
            </w:tcBorders>
          </w:tcPr>
          <w:p>
            <w:pPr>
              <w:widowControl/>
              <w:spacing w:line="360" w:lineRule="auto"/>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00" w:hRule="atLeast"/>
          <w:jc w:val="center"/>
        </w:trPr>
        <w:tc>
          <w:tcPr>
            <w:tcW w:w="69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入侵防御系统</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攻击规则库1年升级许可(包含应用识别库）</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年</w:t>
            </w:r>
          </w:p>
        </w:tc>
        <w:tc>
          <w:tcPr>
            <w:tcW w:w="2552" w:type="dxa"/>
            <w:tcBorders>
              <w:top w:val="nil"/>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864" w:hRule="atLeast"/>
          <w:jc w:val="center"/>
        </w:trPr>
        <w:tc>
          <w:tcPr>
            <w:tcW w:w="69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态势感知系统</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1年打包升级许可，包含攻击检测规则库、应用识别库、地理信息库、僵尸主机规则库、威胁情报库、URL分类库。</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年</w:t>
            </w:r>
          </w:p>
        </w:tc>
        <w:tc>
          <w:tcPr>
            <w:tcW w:w="2552" w:type="dxa"/>
            <w:tcBorders>
              <w:top w:val="nil"/>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4" w:hRule="atLeast"/>
          <w:jc w:val="center"/>
        </w:trPr>
        <w:tc>
          <w:tcPr>
            <w:tcW w:w="69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Web应用安全防护系统</w:t>
            </w:r>
          </w:p>
        </w:tc>
        <w:tc>
          <w:tcPr>
            <w:tcW w:w="2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WAF产品特征库1年升级License</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年</w:t>
            </w:r>
          </w:p>
        </w:tc>
        <w:tc>
          <w:tcPr>
            <w:tcW w:w="2552" w:type="dxa"/>
            <w:tcBorders>
              <w:top w:val="nil"/>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kern w:val="0"/>
                <w:szCs w:val="21"/>
              </w:rPr>
            </w:pPr>
          </w:p>
        </w:tc>
      </w:tr>
    </w:tbl>
    <w:p>
      <w:pPr>
        <w:keepNext w:val="0"/>
        <w:keepLines w:val="0"/>
        <w:pageBreakBefore w:val="0"/>
        <w:kinsoku/>
        <w:wordWrap/>
        <w:overflowPunct/>
        <w:topLinePunct w:val="0"/>
        <w:autoSpaceDE/>
        <w:autoSpaceDN/>
        <w:bidi w:val="0"/>
        <w:adjustRightInd/>
        <w:snapToGrid/>
        <w:spacing w:line="320" w:lineRule="exact"/>
        <w:textAlignment w:val="auto"/>
        <w:rPr>
          <w:b/>
          <w:bCs/>
          <w:sz w:val="21"/>
          <w:szCs w:val="21"/>
        </w:rPr>
      </w:pPr>
      <w:r>
        <w:rPr>
          <w:b/>
          <w:bCs/>
          <w:sz w:val="21"/>
          <w:szCs w:val="21"/>
        </w:rPr>
        <w:t>三、</w:t>
      </w:r>
      <w:r>
        <w:rPr>
          <w:rFonts w:hint="eastAsia"/>
          <w:b/>
          <w:bCs/>
          <w:sz w:val="21"/>
          <w:szCs w:val="21"/>
        </w:rPr>
        <w:t xml:space="preserve"> </w:t>
      </w:r>
      <w:r>
        <w:rPr>
          <w:b/>
          <w:bCs/>
          <w:sz w:val="21"/>
          <w:szCs w:val="21"/>
        </w:rPr>
        <w:t>预算金额</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 w:hAnsi="仿宋" w:eastAsia="宋体" w:cs="Times New Roman"/>
          <w:sz w:val="21"/>
          <w:szCs w:val="21"/>
        </w:rPr>
      </w:pPr>
      <w:r>
        <w:rPr>
          <w:rFonts w:hint="eastAsia" w:ascii="仿宋" w:hAnsi="仿宋" w:eastAsia="宋体" w:cs="Times New Roman"/>
          <w:sz w:val="21"/>
          <w:szCs w:val="21"/>
        </w:rPr>
        <w:t>预算金额10.83万元</w:t>
      </w:r>
    </w:p>
    <w:p>
      <w:pPr>
        <w:keepNext w:val="0"/>
        <w:keepLines w:val="0"/>
        <w:pageBreakBefore w:val="0"/>
        <w:kinsoku/>
        <w:wordWrap/>
        <w:overflowPunct/>
        <w:topLinePunct w:val="0"/>
        <w:autoSpaceDE/>
        <w:autoSpaceDN/>
        <w:bidi w:val="0"/>
        <w:adjustRightInd/>
        <w:snapToGrid/>
        <w:spacing w:line="320" w:lineRule="exact"/>
        <w:textAlignment w:val="auto"/>
        <w:rPr>
          <w:rFonts w:hint="eastAsia"/>
          <w:b/>
          <w:bCs/>
          <w:sz w:val="21"/>
          <w:szCs w:val="21"/>
          <w:lang w:eastAsia="zh-CN"/>
        </w:rPr>
      </w:pPr>
      <w:r>
        <w:rPr>
          <w:b/>
          <w:bCs/>
          <w:sz w:val="21"/>
          <w:szCs w:val="21"/>
        </w:rPr>
        <w:t>四、</w:t>
      </w:r>
      <w:r>
        <w:rPr>
          <w:rFonts w:hint="eastAsia"/>
          <w:b/>
          <w:bCs/>
          <w:sz w:val="21"/>
          <w:szCs w:val="21"/>
        </w:rPr>
        <w:t xml:space="preserve"> </w:t>
      </w:r>
      <w:r>
        <w:rPr>
          <w:rFonts w:hint="eastAsia"/>
          <w:b/>
          <w:bCs/>
          <w:sz w:val="21"/>
          <w:szCs w:val="21"/>
          <w:lang w:eastAsia="zh-CN"/>
        </w:rPr>
        <w:t>合同履约期限</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仿宋" w:hAnsi="仿宋" w:eastAsia="宋体" w:cs="Times New Roman"/>
          <w:sz w:val="21"/>
          <w:szCs w:val="21"/>
          <w:lang w:eastAsia="zh-CN"/>
        </w:rPr>
      </w:pPr>
      <w:r>
        <w:rPr>
          <w:rFonts w:hint="eastAsia" w:ascii="仿宋" w:hAnsi="仿宋" w:eastAsia="宋体" w:cs="Times New Roman"/>
          <w:sz w:val="21"/>
          <w:szCs w:val="21"/>
          <w:lang w:eastAsia="zh-CN"/>
        </w:rPr>
        <w:t xml:space="preserve">签订合同后 </w:t>
      </w:r>
      <w:r>
        <w:rPr>
          <w:rFonts w:hint="eastAsia" w:ascii="仿宋" w:hAnsi="仿宋" w:eastAsia="宋体" w:cs="Times New Roman"/>
          <w:sz w:val="21"/>
          <w:szCs w:val="21"/>
          <w:lang w:val="en-US" w:eastAsia="zh-CN"/>
        </w:rPr>
        <w:t>3</w:t>
      </w:r>
      <w:r>
        <w:rPr>
          <w:rFonts w:hint="eastAsia" w:ascii="仿宋" w:hAnsi="仿宋" w:eastAsia="宋体" w:cs="Times New Roman"/>
          <w:sz w:val="21"/>
          <w:szCs w:val="21"/>
          <w:lang w:eastAsia="zh-CN"/>
        </w:rPr>
        <w:t>0 个工作日内完成全部招标内容实施上线工作。</w:t>
      </w:r>
    </w:p>
    <w:p>
      <w:pPr>
        <w:keepNext w:val="0"/>
        <w:keepLines w:val="0"/>
        <w:pageBreakBefore w:val="0"/>
        <w:kinsoku/>
        <w:wordWrap/>
        <w:overflowPunct/>
        <w:topLinePunct w:val="0"/>
        <w:autoSpaceDE/>
        <w:autoSpaceDN/>
        <w:bidi w:val="0"/>
        <w:adjustRightInd/>
        <w:snapToGrid/>
        <w:spacing w:line="320" w:lineRule="exact"/>
        <w:textAlignment w:val="auto"/>
        <w:rPr>
          <w:b/>
          <w:bCs/>
          <w:sz w:val="21"/>
          <w:szCs w:val="21"/>
        </w:rPr>
      </w:pPr>
      <w:r>
        <w:rPr>
          <w:rFonts w:hint="eastAsia"/>
          <w:b/>
          <w:bCs/>
          <w:sz w:val="21"/>
          <w:szCs w:val="21"/>
          <w:lang w:eastAsia="zh-CN"/>
        </w:rPr>
        <w:t>五</w:t>
      </w:r>
      <w:r>
        <w:rPr>
          <w:b/>
          <w:bCs/>
          <w:sz w:val="21"/>
          <w:szCs w:val="21"/>
        </w:rPr>
        <w:t>、</w:t>
      </w:r>
      <w:r>
        <w:rPr>
          <w:rFonts w:hint="eastAsia"/>
          <w:b/>
          <w:bCs/>
          <w:sz w:val="21"/>
          <w:szCs w:val="21"/>
        </w:rPr>
        <w:t xml:space="preserve"> </w:t>
      </w:r>
      <w:r>
        <w:rPr>
          <w:b/>
          <w:bCs/>
          <w:sz w:val="21"/>
          <w:szCs w:val="21"/>
        </w:rPr>
        <w:t>项目验收</w:t>
      </w:r>
    </w:p>
    <w:p>
      <w:pPr>
        <w:keepNext w:val="0"/>
        <w:keepLines w:val="0"/>
        <w:pageBreakBefore w:val="0"/>
        <w:kinsoku/>
        <w:wordWrap/>
        <w:overflowPunct/>
        <w:topLinePunct w:val="0"/>
        <w:autoSpaceDE/>
        <w:autoSpaceDN/>
        <w:bidi w:val="0"/>
        <w:adjustRightInd/>
        <w:snapToGrid/>
        <w:spacing w:line="320" w:lineRule="exact"/>
        <w:jc w:val="left"/>
        <w:textAlignment w:val="auto"/>
        <w:rPr>
          <w:rFonts w:ascii="仿宋" w:hAnsi="仿宋" w:eastAsia="仿宋"/>
          <w:color w:val="000000"/>
          <w:sz w:val="21"/>
          <w:szCs w:val="21"/>
        </w:rPr>
      </w:pPr>
      <w:r>
        <w:rPr>
          <w:rFonts w:hint="eastAsia" w:ascii="仿宋" w:hAnsi="仿宋" w:eastAsia="仿宋" w:cstheme="majorBidi"/>
          <w:b/>
          <w:bCs/>
          <w:sz w:val="21"/>
          <w:szCs w:val="21"/>
          <w:lang w:val="en-US" w:eastAsia="zh-CN"/>
        </w:rPr>
        <w:t>1、</w:t>
      </w:r>
      <w:r>
        <w:rPr>
          <w:rFonts w:ascii="仿宋" w:hAnsi="仿宋" w:eastAsia="仿宋" w:cstheme="majorBidi"/>
          <w:b/>
          <w:bCs/>
          <w:sz w:val="21"/>
          <w:szCs w:val="21"/>
        </w:rPr>
        <w:t>设备到货验收</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 w:hAnsi="仿宋" w:eastAsia="宋体" w:cs="Times New Roman"/>
          <w:sz w:val="21"/>
          <w:szCs w:val="21"/>
        </w:rPr>
      </w:pPr>
      <w:r>
        <w:rPr>
          <w:rFonts w:ascii="仿宋" w:hAnsi="仿宋" w:eastAsia="宋体" w:cs="Times New Roman"/>
          <w:sz w:val="21"/>
          <w:szCs w:val="21"/>
        </w:rPr>
        <w:t>本项目要求交货期为合同签订后</w:t>
      </w:r>
      <w:r>
        <w:rPr>
          <w:rFonts w:hint="eastAsia" w:ascii="仿宋" w:hAnsi="仿宋" w:eastAsia="宋体" w:cs="Times New Roman"/>
          <w:sz w:val="21"/>
          <w:szCs w:val="21"/>
          <w:lang w:val="en-US" w:eastAsia="zh-CN"/>
        </w:rPr>
        <w:t>30</w:t>
      </w:r>
      <w:r>
        <w:rPr>
          <w:rFonts w:ascii="仿宋" w:hAnsi="仿宋" w:eastAsia="宋体" w:cs="Times New Roman"/>
          <w:sz w:val="21"/>
          <w:szCs w:val="21"/>
        </w:rPr>
        <w:t>天，交货地点为采购人要求的地点。按采购需求文件规定的型号、技术参数、数量、产地，并根据制造商签发的《</w:t>
      </w:r>
      <w:r>
        <w:rPr>
          <w:rFonts w:hint="eastAsia" w:ascii="仿宋" w:hAnsi="仿宋" w:eastAsia="宋体" w:cs="Times New Roman"/>
          <w:sz w:val="21"/>
          <w:szCs w:val="21"/>
        </w:rPr>
        <w:t>License授权书</w:t>
      </w:r>
      <w:r>
        <w:rPr>
          <w:rFonts w:ascii="仿宋" w:hAnsi="仿宋" w:eastAsia="宋体" w:cs="Times New Roman"/>
          <w:sz w:val="21"/>
          <w:szCs w:val="21"/>
        </w:rPr>
        <w:t>》进行现场验收，并由甲、乙双方签署验收报告。验收不合格，招标人有权更换产品或退货。</w:t>
      </w:r>
    </w:p>
    <w:p>
      <w:pPr>
        <w:keepNext w:val="0"/>
        <w:keepLines w:val="0"/>
        <w:pageBreakBefore w:val="0"/>
        <w:kinsoku/>
        <w:wordWrap/>
        <w:overflowPunct/>
        <w:topLinePunct w:val="0"/>
        <w:autoSpaceDE/>
        <w:autoSpaceDN/>
        <w:bidi w:val="0"/>
        <w:adjustRightInd/>
        <w:snapToGrid/>
        <w:spacing w:line="320" w:lineRule="exact"/>
        <w:textAlignment w:val="auto"/>
        <w:rPr>
          <w:rFonts w:ascii="仿宋" w:hAnsi="仿宋" w:eastAsia="仿宋"/>
          <w:color w:val="000000"/>
          <w:sz w:val="21"/>
          <w:szCs w:val="21"/>
        </w:rPr>
      </w:pPr>
      <w:r>
        <w:rPr>
          <w:rFonts w:hint="eastAsia" w:ascii="仿宋" w:hAnsi="仿宋" w:eastAsia="仿宋" w:cstheme="majorBidi"/>
          <w:b/>
          <w:bCs/>
          <w:sz w:val="21"/>
          <w:szCs w:val="21"/>
          <w:lang w:val="en-US" w:eastAsia="zh-CN"/>
        </w:rPr>
        <w:t>2、</w:t>
      </w:r>
      <w:r>
        <w:rPr>
          <w:rFonts w:ascii="仿宋" w:hAnsi="仿宋" w:eastAsia="仿宋" w:cstheme="majorBidi"/>
          <w:b/>
          <w:bCs/>
          <w:sz w:val="21"/>
          <w:szCs w:val="21"/>
        </w:rPr>
        <w:t>项目验收</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 w:hAnsi="仿宋" w:eastAsia="宋体" w:cs="Times New Roman"/>
          <w:sz w:val="21"/>
          <w:szCs w:val="21"/>
        </w:rPr>
      </w:pPr>
      <w:r>
        <w:rPr>
          <w:rFonts w:ascii="仿宋" w:hAnsi="仿宋" w:eastAsia="宋体" w:cs="Times New Roman"/>
          <w:sz w:val="21"/>
          <w:szCs w:val="21"/>
        </w:rPr>
        <w:t>本项目完成合同内约定货物到货安装调试，符合项目验收标准（安全设备特征库升级授权期限），经由采购人验收合格后，双方签署《验收报告》。</w:t>
      </w:r>
    </w:p>
    <w:p>
      <w:pPr>
        <w:keepNext w:val="0"/>
        <w:keepLines w:val="0"/>
        <w:pageBreakBefore w:val="0"/>
        <w:kinsoku/>
        <w:wordWrap/>
        <w:overflowPunct/>
        <w:topLinePunct w:val="0"/>
        <w:autoSpaceDE/>
        <w:autoSpaceDN/>
        <w:bidi w:val="0"/>
        <w:adjustRightInd/>
        <w:snapToGrid/>
        <w:spacing w:line="320" w:lineRule="exact"/>
        <w:textAlignment w:val="auto"/>
        <w:rPr>
          <w:b/>
          <w:bCs/>
          <w:sz w:val="21"/>
          <w:szCs w:val="21"/>
        </w:rPr>
      </w:pPr>
      <w:r>
        <w:rPr>
          <w:rFonts w:hint="eastAsia"/>
          <w:b/>
          <w:bCs/>
          <w:sz w:val="21"/>
          <w:szCs w:val="21"/>
          <w:lang w:val="en-US" w:eastAsia="zh-CN"/>
        </w:rPr>
        <w:t>3、</w:t>
      </w:r>
      <w:r>
        <w:rPr>
          <w:b/>
          <w:bCs/>
          <w:sz w:val="21"/>
          <w:szCs w:val="21"/>
        </w:rPr>
        <w:t>售后服务及要求</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 w:hAnsi="仿宋" w:eastAsia="宋体" w:cs="Times New Roman"/>
          <w:sz w:val="21"/>
          <w:szCs w:val="21"/>
        </w:rPr>
      </w:pPr>
      <w:r>
        <w:rPr>
          <w:rFonts w:ascii="仿宋" w:hAnsi="仿宋" w:eastAsia="宋体" w:cs="Times New Roman"/>
          <w:sz w:val="21"/>
          <w:szCs w:val="21"/>
        </w:rPr>
        <w:t>供货商应详细阐述在质量保证期内的技术支持和售后服务的内容、方式与范围。</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 w:hAnsi="仿宋" w:eastAsia="宋体" w:cs="Times New Roman"/>
          <w:sz w:val="21"/>
          <w:szCs w:val="21"/>
        </w:rPr>
      </w:pPr>
      <w:r>
        <w:rPr>
          <w:rFonts w:ascii="仿宋" w:hAnsi="仿宋" w:eastAsia="宋体" w:cs="Times New Roman"/>
          <w:sz w:val="21"/>
          <w:szCs w:val="21"/>
        </w:rPr>
        <w:t>为确保售后服务的稳定性和快速响应，供货商须提供售后服务能力证明：包括售后服务机构、售后服务流程、售后服务响应程度、售后服务人员团队技术实力等多方面证明。</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仿宋" w:hAnsi="仿宋" w:eastAsia="宋体" w:cs="Times New Roman"/>
          <w:sz w:val="21"/>
          <w:szCs w:val="21"/>
        </w:rPr>
      </w:pPr>
      <w:r>
        <w:rPr>
          <w:rFonts w:ascii="仿宋" w:hAnsi="仿宋" w:eastAsia="宋体" w:cs="Times New Roman"/>
          <w:sz w:val="21"/>
          <w:szCs w:val="21"/>
        </w:rPr>
        <w:t>设备运行过程中如果出现严重技术故障，中标方应保证对用户提供解决此类问题的紧急预案，使设备及时得到修复，并正常运行。</w:t>
      </w:r>
    </w:p>
    <w:p>
      <w:pPr>
        <w:keepNext w:val="0"/>
        <w:keepLines w:val="0"/>
        <w:pageBreakBefore w:val="0"/>
        <w:numPr>
          <w:ilvl w:val="0"/>
          <w:numId w:val="1"/>
        </w:numPr>
        <w:kinsoku/>
        <w:wordWrap/>
        <w:overflowPunct/>
        <w:topLinePunct w:val="0"/>
        <w:autoSpaceDE/>
        <w:autoSpaceDN/>
        <w:bidi w:val="0"/>
        <w:adjustRightInd/>
        <w:snapToGrid/>
        <w:spacing w:line="320" w:lineRule="exact"/>
        <w:textAlignment w:val="auto"/>
        <w:rPr>
          <w:rFonts w:hint="eastAsia"/>
          <w:b/>
          <w:bCs/>
          <w:sz w:val="21"/>
          <w:szCs w:val="21"/>
          <w:lang w:eastAsia="zh-CN"/>
        </w:rPr>
      </w:pPr>
      <w:r>
        <w:rPr>
          <w:rFonts w:hint="eastAsia"/>
          <w:b/>
          <w:bCs/>
          <w:sz w:val="21"/>
          <w:szCs w:val="21"/>
          <w:lang w:eastAsia="zh-CN"/>
        </w:rPr>
        <w:t>投标须知</w:t>
      </w:r>
    </w:p>
    <w:p>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b/>
          <w:bCs/>
          <w:sz w:val="21"/>
          <w:szCs w:val="21"/>
          <w:lang w:eastAsia="zh-CN"/>
        </w:rPr>
      </w:pPr>
      <w:r>
        <w:rPr>
          <w:rFonts w:hint="eastAsia"/>
          <w:b/>
          <w:bCs/>
          <w:sz w:val="21"/>
          <w:szCs w:val="21"/>
          <w:lang w:eastAsia="zh-CN"/>
        </w:rPr>
        <w:t>投标商需响应以下要求：</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 w:hAnsi="仿宋" w:eastAsia="宋体" w:cs="Times New Roman"/>
          <w:sz w:val="21"/>
          <w:szCs w:val="21"/>
          <w:lang w:eastAsia="zh-CN"/>
        </w:rPr>
      </w:pPr>
      <w:r>
        <w:rPr>
          <w:rFonts w:hint="eastAsia" w:ascii="仿宋" w:hAnsi="仿宋" w:eastAsia="宋体" w:cs="Times New Roman"/>
          <w:sz w:val="21"/>
          <w:szCs w:val="21"/>
          <w:lang w:eastAsia="zh-CN"/>
        </w:rPr>
        <w:t>1、为保证货物原厂正品，需提供厂商授权及售后服务承诺函；</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 w:hAnsi="仿宋" w:eastAsia="宋体" w:cs="Times New Roman"/>
          <w:sz w:val="21"/>
          <w:szCs w:val="21"/>
          <w:lang w:eastAsia="zh-CN"/>
        </w:rPr>
      </w:pPr>
      <w:r>
        <w:rPr>
          <w:rFonts w:hint="eastAsia" w:ascii="仿宋" w:hAnsi="仿宋" w:eastAsia="宋体" w:cs="Times New Roman"/>
          <w:sz w:val="21"/>
          <w:szCs w:val="21"/>
          <w:lang w:eastAsia="zh-CN"/>
        </w:rPr>
        <w:t>2、保修期内提供提供7*24小时售后服务，接到医院电话2小时内上门，特殊紧急情况30分钟内需上门。</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 w:hAnsi="仿宋" w:eastAsia="宋体" w:cs="Times New Roman"/>
          <w:sz w:val="21"/>
          <w:szCs w:val="21"/>
          <w:lang w:eastAsia="zh-CN"/>
        </w:rPr>
      </w:pPr>
      <w:r>
        <w:rPr>
          <w:rFonts w:hint="eastAsia" w:ascii="仿宋" w:hAnsi="仿宋" w:eastAsia="宋体" w:cs="Times New Roman"/>
          <w:sz w:val="21"/>
          <w:szCs w:val="21"/>
          <w:lang w:eastAsia="zh-CN"/>
        </w:rPr>
        <w:t>3、投标总价包含货物到达采购人指定地点并能正常使用所需的一切费用，包括不限于包装费、运输费、装卸费、保险费、安装调试费、技术服务费、培训费以及保修费、税费等，采购人不再额外支付任何费用。承诺函并加盖投标单位公章。</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 w:hAnsi="仿宋" w:eastAsia="宋体" w:cs="Times New Roman"/>
          <w:sz w:val="21"/>
          <w:szCs w:val="21"/>
          <w:lang w:eastAsia="zh-CN"/>
        </w:rPr>
      </w:pPr>
      <w:r>
        <w:rPr>
          <w:rFonts w:hint="eastAsia" w:ascii="仿宋" w:hAnsi="仿宋" w:eastAsia="宋体" w:cs="Times New Roman"/>
          <w:sz w:val="21"/>
          <w:szCs w:val="21"/>
          <w:lang w:eastAsia="zh-CN"/>
        </w:rPr>
        <w:t>4、按实</w:t>
      </w:r>
      <w:bookmarkStart w:id="0" w:name="_GoBack"/>
      <w:r>
        <w:rPr>
          <w:rFonts w:hint="eastAsia" w:ascii="仿宋" w:hAnsi="仿宋" w:eastAsia="宋体" w:cs="Times New Roman"/>
          <w:sz w:val="21"/>
          <w:szCs w:val="21"/>
          <w:lang w:eastAsia="zh-CN"/>
        </w:rPr>
        <w:t>际使用数量据实结算，如出现质量问题，免费予以更换。承诺函并加盖投标单位公章。</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 w:hAnsi="仿宋" w:eastAsia="宋体" w:cs="Times New Roman"/>
          <w:sz w:val="21"/>
          <w:szCs w:val="21"/>
          <w:lang w:eastAsia="zh-CN"/>
        </w:rPr>
      </w:pPr>
      <w:r>
        <w:rPr>
          <w:rFonts w:hint="eastAsia" w:ascii="仿宋" w:hAnsi="仿宋" w:eastAsia="宋体" w:cs="Times New Roman"/>
          <w:sz w:val="21"/>
          <w:szCs w:val="21"/>
          <w:lang w:eastAsia="zh-CN"/>
        </w:rPr>
        <w:t>5、如果投标单位提供的货物不能满足与现有硬件设备兼容使用的，应当将其作为无效投标处理。承诺函并加盖投标单位公章。</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eastAsia" w:ascii="仿宋" w:hAnsi="仿宋" w:eastAsia="宋体" w:cs="Times New Roman"/>
          <w:sz w:val="21"/>
          <w:szCs w:val="21"/>
          <w:lang w:eastAsia="zh-CN"/>
        </w:rPr>
      </w:pPr>
      <w:r>
        <w:rPr>
          <w:rFonts w:hint="eastAsia" w:ascii="仿宋" w:hAnsi="仿宋" w:eastAsia="宋体" w:cs="Times New Roman"/>
          <w:sz w:val="21"/>
          <w:szCs w:val="21"/>
          <w:lang w:val="en-US" w:eastAsia="zh-CN"/>
        </w:rPr>
        <w:t>6</w:t>
      </w:r>
      <w:r>
        <w:rPr>
          <w:rFonts w:hint="eastAsia" w:ascii="仿宋" w:hAnsi="仿宋" w:eastAsia="宋体" w:cs="Times New Roman"/>
          <w:sz w:val="21"/>
          <w:szCs w:val="21"/>
          <w:lang w:eastAsia="zh-CN"/>
        </w:rPr>
        <w:t>、投标单位的报价明显低于其他通过符合性审查投标人的报价，有可能影响产品质量或者不能诚信履约的，应当要求其在评标现场合理的时间内提供书面说明，必要时提交相关证明材料，投标单位不能证明其报价合理性的，应当将其作为无效投标处理。</w:t>
      </w:r>
    </w:p>
    <w:bookmarkEnd w:id="0"/>
    <w:p>
      <w:pPr>
        <w:widowControl/>
        <w:spacing w:line="360" w:lineRule="auto"/>
        <w:ind w:firstLine="480" w:firstLineChars="200"/>
        <w:rPr>
          <w:rFonts w:ascii="仿宋" w:hAnsi="仿宋" w:eastAsia="宋体" w:cs="Times New Roman"/>
          <w:sz w:val="24"/>
        </w:rPr>
      </w:pPr>
    </w:p>
    <w:p>
      <w:pPr>
        <w:widowControl/>
        <w:spacing w:line="360" w:lineRule="auto"/>
        <w:ind w:firstLine="480" w:firstLineChars="200"/>
        <w:rPr>
          <w:rFonts w:ascii="仿宋" w:hAnsi="仿宋"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1F826"/>
    <w:multiLevelType w:val="singleLevel"/>
    <w:tmpl w:val="B1A1F82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D0"/>
    <w:rsid w:val="00117877"/>
    <w:rsid w:val="002320D0"/>
    <w:rsid w:val="00365AF5"/>
    <w:rsid w:val="00414E05"/>
    <w:rsid w:val="00494BDA"/>
    <w:rsid w:val="008D3530"/>
    <w:rsid w:val="00AC504C"/>
    <w:rsid w:val="00B07418"/>
    <w:rsid w:val="00B12622"/>
    <w:rsid w:val="00DD6E8E"/>
    <w:rsid w:val="00E5313A"/>
    <w:rsid w:val="00F142F2"/>
    <w:rsid w:val="1877087F"/>
    <w:rsid w:val="1D1C4F1D"/>
    <w:rsid w:val="1DF15AFF"/>
    <w:rsid w:val="2E02472F"/>
    <w:rsid w:val="710C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165</Words>
  <Characters>941</Characters>
  <Lines>7</Lines>
  <Paragraphs>2</Paragraphs>
  <TotalTime>15</TotalTime>
  <ScaleCrop>false</ScaleCrop>
  <LinksUpToDate>false</LinksUpToDate>
  <CharactersWithSpaces>1104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2024-08-15T03:12:00Z</dcterms:created>
  <dc:creator>CHEN</dc:creator>
  <cp:lastModifiedBy>Administrator</cp:lastModifiedBy>
  <cp:lastPrinted>2024-08-20T03:17:00Z</cp:lastPrinted>
  <dcterms:modified xsi:type="dcterms:W3CDTF">2024-08-20T03:21:55Z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