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65" w:rsidRPr="00B27865" w:rsidRDefault="00B27865" w:rsidP="00B27865">
      <w:pPr>
        <w:widowControl w:val="0"/>
        <w:autoSpaceDE w:val="0"/>
        <w:autoSpaceDN w:val="0"/>
        <w:spacing w:before="0" w:after="0" w:line="955" w:lineRule="exact"/>
        <w:jc w:val="center"/>
        <w:rPr>
          <w:rFonts w:asciiTheme="majorEastAsia" w:eastAsiaTheme="majorEastAsia" w:hAnsiTheme="majorEastAsia"/>
          <w:b/>
          <w:color w:val="000000"/>
          <w:sz w:val="52"/>
          <w:szCs w:val="52"/>
          <w:lang w:eastAsia="zh-CN"/>
        </w:rPr>
      </w:pPr>
      <w:r w:rsidRPr="00B27865">
        <w:rPr>
          <w:rFonts w:asciiTheme="majorEastAsia" w:eastAsiaTheme="majorEastAsia" w:hAnsiTheme="majorEastAsia" w:cs="QESNTN+MicrosoftYaHei-Bold"/>
          <w:b/>
          <w:color w:val="182D7A"/>
          <w:sz w:val="52"/>
          <w:szCs w:val="52"/>
          <w:lang w:eastAsia="zh-CN"/>
        </w:rPr>
        <w:t>药品追溯</w:t>
      </w:r>
      <w:r w:rsidR="00143889">
        <w:rPr>
          <w:rFonts w:asciiTheme="majorEastAsia" w:eastAsiaTheme="majorEastAsia" w:hAnsiTheme="majorEastAsia" w:cs="QESNTN+MicrosoftYaHei-Bold" w:hint="eastAsia"/>
          <w:b/>
          <w:color w:val="182D7A"/>
          <w:sz w:val="52"/>
          <w:szCs w:val="52"/>
          <w:lang w:eastAsia="zh-CN"/>
        </w:rPr>
        <w:t>码高拍仪</w:t>
      </w:r>
    </w:p>
    <w:p w:rsidR="00B27865" w:rsidRDefault="00B27865" w:rsidP="00B27865">
      <w:pPr>
        <w:widowControl w:val="0"/>
        <w:autoSpaceDE w:val="0"/>
        <w:autoSpaceDN w:val="0"/>
        <w:spacing w:before="0" w:after="0"/>
        <w:jc w:val="left"/>
        <w:rPr>
          <w:rFonts w:asciiTheme="majorEastAsia" w:eastAsiaTheme="majorEastAsia" w:hAnsiTheme="majorEastAsia" w:cs="QANEHN+MicrosoftYaHei"/>
          <w:color w:val="000000"/>
          <w:spacing w:val="-10"/>
          <w:sz w:val="28"/>
          <w:szCs w:val="28"/>
          <w:lang w:eastAsia="zh-CN"/>
        </w:rPr>
      </w:pPr>
    </w:p>
    <w:p w:rsidR="00971FFE" w:rsidRPr="00B27865" w:rsidRDefault="00B27865" w:rsidP="00B27865">
      <w:pPr>
        <w:widowControl w:val="0"/>
        <w:autoSpaceDE w:val="0"/>
        <w:autoSpaceDN w:val="0"/>
        <w:spacing w:before="0" w:after="0"/>
        <w:jc w:val="left"/>
        <w:rPr>
          <w:rFonts w:asciiTheme="majorEastAsia" w:eastAsiaTheme="majorEastAsia" w:hAnsiTheme="majorEastAsia"/>
          <w:color w:val="000000"/>
          <w:sz w:val="28"/>
          <w:szCs w:val="28"/>
          <w:lang w:eastAsia="zh-CN"/>
        </w:rPr>
      </w:pPr>
      <w:r>
        <w:rPr>
          <w:rFonts w:asciiTheme="majorEastAsia" w:eastAsiaTheme="majorEastAsia" w:hAnsiTheme="majorEastAsia" w:cs="QANEHN+MicrosoftYaHei" w:hint="eastAsia"/>
          <w:color w:val="000000"/>
          <w:spacing w:val="-10"/>
          <w:sz w:val="28"/>
          <w:szCs w:val="28"/>
          <w:lang w:eastAsia="zh-CN"/>
        </w:rPr>
        <w:t xml:space="preserve">    药</w:t>
      </w:r>
      <w:r w:rsidR="00143889">
        <w:rPr>
          <w:rFonts w:asciiTheme="majorEastAsia" w:eastAsiaTheme="majorEastAsia" w:hAnsiTheme="majorEastAsia" w:cs="QANEHN+MicrosoftYaHei"/>
          <w:color w:val="000000"/>
          <w:spacing w:val="-10"/>
          <w:sz w:val="28"/>
          <w:szCs w:val="28"/>
          <w:lang w:eastAsia="zh-CN"/>
        </w:rPr>
        <w:t>品追溯</w:t>
      </w:r>
      <w:r w:rsidR="00143889">
        <w:rPr>
          <w:rFonts w:asciiTheme="majorEastAsia" w:eastAsiaTheme="majorEastAsia" w:hAnsiTheme="majorEastAsia" w:cs="QANEHN+MicrosoftYaHei" w:hint="eastAsia"/>
          <w:color w:val="000000"/>
          <w:spacing w:val="-10"/>
          <w:sz w:val="28"/>
          <w:szCs w:val="28"/>
          <w:lang w:eastAsia="zh-CN"/>
        </w:rPr>
        <w:t>码高拍仪</w:t>
      </w:r>
      <w:r w:rsidR="00971FFE" w:rsidRPr="00B27865">
        <w:rPr>
          <w:rFonts w:asciiTheme="majorEastAsia" w:eastAsiaTheme="majorEastAsia" w:hAnsiTheme="majorEastAsia" w:cs="QANEHN+MicrosoftYaHei"/>
          <w:color w:val="000000"/>
          <w:spacing w:val="-10"/>
          <w:sz w:val="28"/>
          <w:szCs w:val="28"/>
          <w:lang w:eastAsia="zh-CN"/>
        </w:rPr>
        <w:t>，是针对药品生产/流通企业、医</w:t>
      </w:r>
      <w:r w:rsidR="00971FFE" w:rsidRPr="00B27865">
        <w:rPr>
          <w:rFonts w:asciiTheme="majorEastAsia" w:eastAsiaTheme="majorEastAsia" w:hAnsiTheme="majorEastAsia" w:cs="QANEHN+MicrosoftYaHei"/>
          <w:color w:val="000000"/>
          <w:spacing w:val="-8"/>
          <w:sz w:val="28"/>
          <w:szCs w:val="28"/>
          <w:lang w:eastAsia="zh-CN"/>
        </w:rPr>
        <w:t>院、药店等药品追溯领域进行多码批量、快速扫描应用而设计，采用工业级扫描技术，内嵌先进解码算法与图像识别系统，能够</w:t>
      </w:r>
      <w:r w:rsidR="00971FFE" w:rsidRPr="00B27865">
        <w:rPr>
          <w:rFonts w:asciiTheme="majorEastAsia" w:eastAsiaTheme="majorEastAsia" w:hAnsiTheme="majorEastAsia" w:cs="QANEHN+MicrosoftYaHei"/>
          <w:color w:val="000000"/>
          <w:spacing w:val="-9"/>
          <w:sz w:val="28"/>
          <w:szCs w:val="28"/>
          <w:lang w:eastAsia="zh-CN"/>
        </w:rPr>
        <w:t>一次性高效扫描多达50个药品盒；能够精确识别包括药品追溯码、</w:t>
      </w:r>
      <w:r w:rsidR="00971FFE" w:rsidRPr="00B27865">
        <w:rPr>
          <w:rFonts w:asciiTheme="majorEastAsia" w:eastAsiaTheme="majorEastAsia" w:hAnsiTheme="majorEastAsia" w:cs="QANEHN+MicrosoftYaHei"/>
          <w:color w:val="000000"/>
          <w:spacing w:val="-6"/>
          <w:sz w:val="28"/>
          <w:szCs w:val="28"/>
          <w:lang w:eastAsia="zh-CN"/>
        </w:rPr>
        <w:t>电子监管码、医疗器械UDI码以及一维和二维码在内的多种编码，</w:t>
      </w:r>
      <w:r w:rsidR="00971FFE" w:rsidRPr="00B27865">
        <w:rPr>
          <w:rFonts w:asciiTheme="majorEastAsia" w:eastAsiaTheme="majorEastAsia" w:hAnsiTheme="majorEastAsia" w:cs="QANEHN+MicrosoftYaHei"/>
          <w:color w:val="000000"/>
          <w:spacing w:val="-8"/>
          <w:sz w:val="28"/>
          <w:szCs w:val="28"/>
          <w:lang w:eastAsia="zh-CN"/>
        </w:rPr>
        <w:t>可有效提高药品追溯码采集工作效率、减轻人员采集工作量、避</w:t>
      </w:r>
      <w:r w:rsidR="00971FFE" w:rsidRPr="00B27865">
        <w:rPr>
          <w:rFonts w:asciiTheme="majorEastAsia" w:eastAsiaTheme="majorEastAsia" w:hAnsiTheme="majorEastAsia" w:cs="QANEHN+MicrosoftYaHei"/>
          <w:color w:val="000000"/>
          <w:spacing w:val="-10"/>
          <w:sz w:val="28"/>
          <w:szCs w:val="28"/>
          <w:lang w:eastAsia="zh-CN"/>
        </w:rPr>
        <w:t>免人为疏漏，助力医疗机构高效落实药品追溯码采集工作。</w:t>
      </w:r>
      <w:r w:rsidR="00971FFE" w:rsidRPr="00B27865">
        <w:rPr>
          <w:rFonts w:asciiTheme="majorEastAsia" w:eastAsiaTheme="majorEastAsia" w:hAnsiTheme="majorEastAsia" w:cs="QANEHN+MicrosoftYaHei"/>
          <w:color w:val="000000"/>
          <w:spacing w:val="-8"/>
          <w:sz w:val="28"/>
          <w:szCs w:val="28"/>
          <w:lang w:eastAsia="zh-CN"/>
        </w:rPr>
        <w:t>可广泛应用于：药房拣药、进出库登记、制药生产线、药品检测</w:t>
      </w:r>
      <w:r w:rsidR="00971FFE" w:rsidRPr="00B27865">
        <w:rPr>
          <w:rFonts w:asciiTheme="majorEastAsia" w:eastAsiaTheme="majorEastAsia" w:hAnsiTheme="majorEastAsia" w:cs="QANEHN+MicrosoftYaHei"/>
          <w:color w:val="000000"/>
          <w:spacing w:val="-10"/>
          <w:sz w:val="28"/>
          <w:szCs w:val="28"/>
          <w:lang w:eastAsia="zh-CN"/>
        </w:rPr>
        <w:t>等药品追溯环节。</w:t>
      </w:r>
    </w:p>
    <w:p w:rsidR="00971FFE" w:rsidRPr="00B27865" w:rsidRDefault="00B27865" w:rsidP="00B27865">
      <w:pPr>
        <w:widowControl w:val="0"/>
        <w:autoSpaceDE w:val="0"/>
        <w:autoSpaceDN w:val="0"/>
        <w:spacing w:before="0" w:after="0"/>
        <w:jc w:val="left"/>
        <w:rPr>
          <w:rFonts w:asciiTheme="majorEastAsia" w:eastAsiaTheme="majorEastAsia" w:hAnsiTheme="majorEastAsia" w:cs="VQMTRU+MicrosoftYaHei"/>
          <w:color w:val="000000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cs="VQMTRU+MicrosoftYaHei" w:hint="eastAsia"/>
          <w:color w:val="000000"/>
          <w:sz w:val="28"/>
          <w:szCs w:val="28"/>
          <w:lang w:eastAsia="zh-CN"/>
        </w:rPr>
        <w:t>具体参数如下：</w:t>
      </w:r>
    </w:p>
    <w:p w:rsidR="00B27865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t>操作系统  Android 12.0</w:t>
      </w:r>
    </w:p>
    <w:p w:rsidR="00B27865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t>显示屏接口 10.1英寸，800*1280，全视角，IPS高清屏</w:t>
      </w:r>
    </w:p>
    <w:p w:rsidR="00B27865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t>触摸屏接口 支持多点触控，工业级电容屏，支持带手套触摸</w:t>
      </w:r>
    </w:p>
    <w:p w:rsidR="00B27865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t>工业相机 800万全彩相机，视野范围460mm*350mm，景深600mm</w:t>
      </w:r>
    </w:p>
    <w:p w:rsidR="00B27865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t>读码速度 ≥60件/分钟</w:t>
      </w:r>
    </w:p>
    <w:p w:rsidR="00B27865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t>条码类型 一维码：Code39、Code93、Code128、CodeBar、EAN、ITF25</w:t>
      </w:r>
    </w:p>
    <w:p w:rsidR="00B27865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t xml:space="preserve">         二维码：QR、DM等</w:t>
      </w:r>
    </w:p>
    <w:p w:rsidR="00B27865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t>补光灯  3W*4 LED光源，亮度可调</w:t>
      </w:r>
    </w:p>
    <w:p w:rsidR="00B27865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t>提示灯  共3个，正面屏幕下方*1，顶部两侧*2，支持白、红、绿三色</w:t>
      </w:r>
    </w:p>
    <w:p w:rsidR="00B27865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t>喇叭 5W*2，双喇叭</w:t>
      </w:r>
    </w:p>
    <w:p w:rsidR="00B27865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lastRenderedPageBreak/>
        <w:t>数据接口  Type-C</w:t>
      </w:r>
    </w:p>
    <w:p w:rsidR="00B27865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t>电源接口  DC电源口，12V 3A</w:t>
      </w:r>
    </w:p>
    <w:p w:rsidR="00B27865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t>输入输出接口:</w:t>
      </w:r>
    </w:p>
    <w:p w:rsidR="00B27865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t>USB接口：Type-A*3，USB 2.0*2，USB 3.0*1</w:t>
      </w:r>
    </w:p>
    <w:p w:rsidR="00B27865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t>RJ45网口：1000M有线网络</w:t>
      </w:r>
    </w:p>
    <w:p w:rsidR="00B27865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t>HDMI接口*1</w:t>
      </w:r>
    </w:p>
    <w:p w:rsidR="00B27865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t>OTG接口:支持</w:t>
      </w:r>
    </w:p>
    <w:p w:rsidR="00B27865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t>内部扩展 支持Micro SD卡扩展，最大扩展容量256GB</w:t>
      </w:r>
    </w:p>
    <w:p w:rsidR="00B27865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t xml:space="preserve">工作温度 0℃~50℃ </w:t>
      </w:r>
    </w:p>
    <w:p w:rsidR="00B27865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t>存储温度  -20℃~70℃</w:t>
      </w:r>
    </w:p>
    <w:p w:rsidR="00B27865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t>工作湿度  20%~80%RH 无凝结</w:t>
      </w:r>
    </w:p>
    <w:p w:rsidR="00B27865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t>通讯传输</w:t>
      </w:r>
    </w:p>
    <w:p w:rsidR="00B27865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t>WLAN功能  蓝牙Wi-Fi 802.11 a/b/g/n/ac（2.4G+5G双频Wi-Fi）</w:t>
      </w:r>
    </w:p>
    <w:p w:rsidR="00B27865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t>蓝牙 Bluetooth 4.2</w:t>
      </w:r>
    </w:p>
    <w:p w:rsidR="00B27865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t>GPS  GPS/AGPS/北斗/GLONASS/伽利略</w:t>
      </w:r>
    </w:p>
    <w:p w:rsidR="006D17E1" w:rsidRPr="00B27865" w:rsidRDefault="00B27865" w:rsidP="00B27865">
      <w:pPr>
        <w:spacing w:before="0" w:after="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B27865">
        <w:rPr>
          <w:rFonts w:asciiTheme="majorEastAsia" w:eastAsiaTheme="majorEastAsia" w:hAnsiTheme="majorEastAsia" w:hint="eastAsia"/>
          <w:sz w:val="28"/>
          <w:szCs w:val="28"/>
          <w:lang w:eastAsia="zh-CN"/>
        </w:rPr>
        <w:t>尺寸（L*W*H） 450mm*300mm*300mm 重量不超过10Kg</w:t>
      </w:r>
    </w:p>
    <w:sectPr w:rsidR="006D17E1" w:rsidRPr="00B27865" w:rsidSect="006D1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3EF" w:rsidRDefault="002223EF" w:rsidP="00143889">
      <w:pPr>
        <w:spacing w:before="0" w:after="0"/>
      </w:pPr>
      <w:r>
        <w:separator/>
      </w:r>
    </w:p>
  </w:endnote>
  <w:endnote w:type="continuationSeparator" w:id="1">
    <w:p w:rsidR="002223EF" w:rsidRDefault="002223EF" w:rsidP="0014388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QESNTN+MicrosoftYaHei-Bold">
    <w:charset w:val="01"/>
    <w:family w:val="auto"/>
    <w:pitch w:val="variable"/>
    <w:sig w:usb0="01010101" w:usb1="01010101" w:usb2="01010101" w:usb3="01010101" w:csb0="01010101" w:csb1="01010101"/>
  </w:font>
  <w:font w:name="QANEHN+MicrosoftYaHe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VQMTRU+MicrosoftYaHe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3EF" w:rsidRDefault="002223EF" w:rsidP="00143889">
      <w:pPr>
        <w:spacing w:before="0" w:after="0"/>
      </w:pPr>
      <w:r>
        <w:separator/>
      </w:r>
    </w:p>
  </w:footnote>
  <w:footnote w:type="continuationSeparator" w:id="1">
    <w:p w:rsidR="002223EF" w:rsidRDefault="002223EF" w:rsidP="00143889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FFE"/>
    <w:rsid w:val="00143889"/>
    <w:rsid w:val="002223EF"/>
    <w:rsid w:val="006D17E1"/>
    <w:rsid w:val="00971FFE"/>
    <w:rsid w:val="00B27865"/>
    <w:rsid w:val="00FD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1FFE"/>
    <w:pPr>
      <w:spacing w:before="120" w:after="240"/>
      <w:jc w:val="both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3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3889"/>
    <w:rPr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143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3889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722</Characters>
  <Application>Microsoft Office Word</Application>
  <DocSecurity>0</DocSecurity>
  <Lines>6</Lines>
  <Paragraphs>1</Paragraphs>
  <ScaleCrop>false</ScaleCrop>
  <Company>微软中国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2025-05-28T11:45:00Z</dcterms:created>
  <dcterms:modified xsi:type="dcterms:W3CDTF">2025-05-29T05:03:00Z</dcterms:modified>
</cp:coreProperties>
</file>