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0E2F0">
      <w:pPr>
        <w:pStyle w:val="16"/>
        <w:spacing w:line="312" w:lineRule="auto"/>
        <w:ind w:left="480" w:firstLine="0" w:firstLineChars="0"/>
        <w:jc w:val="center"/>
        <w:rPr>
          <w:rFonts w:ascii="Microsoft Sans Serif" w:hAnsi="Microsoft Sans Serif" w:eastAsia="宋体" w:cs="Microsoft Sans Serif"/>
          <w:b/>
          <w:bCs/>
          <w:sz w:val="44"/>
          <w:szCs w:val="24"/>
        </w:rPr>
      </w:pPr>
      <w:r>
        <w:rPr>
          <w:rFonts w:hint="eastAsia" w:ascii="Microsoft Sans Serif" w:hAnsi="Microsoft Sans Serif" w:eastAsia="宋体" w:cs="Microsoft Sans Serif"/>
          <w:b/>
          <w:bCs/>
          <w:sz w:val="44"/>
          <w:szCs w:val="24"/>
        </w:rPr>
        <w:t>吐鲁番职业技术学院智慧校园软件平台运维保障服务项目</w:t>
      </w:r>
    </w:p>
    <w:p w14:paraId="1898765F">
      <w:pPr>
        <w:pStyle w:val="16"/>
        <w:numPr>
          <w:ilvl w:val="0"/>
          <w:numId w:val="1"/>
        </w:numPr>
        <w:spacing w:line="312" w:lineRule="auto"/>
        <w:ind w:firstLineChars="0"/>
        <w:outlineLvl w:val="0"/>
        <w:rPr>
          <w:rFonts w:hint="eastAsia" w:ascii="黑体" w:hAnsi="黑体" w:eastAsia="黑体" w:cs="黑体"/>
          <w:sz w:val="32"/>
          <w:szCs w:val="32"/>
        </w:rPr>
      </w:pPr>
      <w:r>
        <w:rPr>
          <w:rFonts w:hint="eastAsia" w:ascii="黑体" w:hAnsi="黑体" w:eastAsia="黑体" w:cs="黑体"/>
          <w:sz w:val="32"/>
          <w:szCs w:val="32"/>
        </w:rPr>
        <w:t>项目说明</w:t>
      </w:r>
    </w:p>
    <w:p w14:paraId="2932CEF4">
      <w:pPr>
        <w:spacing w:line="56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我校智慧校园平台包括基础数据平台、教务管理平台、信息化办公平台、移动校园APP等核心业务模块。服务期间，要求供应商通过系统化、持续地运维服务保障我校智慧校园平台高效、安全、稳定、可靠地运行。对于发现的软件自身功能问题，要求供应商提供5*8小时在线客服及7*24小时应急处理机制，解答采购人在使用中遇到的问题；2小时内对采购人所提出的问题做出响应并为采购人提出解决问题的建议；重大问题电话、远程方式不能解决的，供应商与采购人协商到达现场处理的时限。</w:t>
      </w:r>
    </w:p>
    <w:p w14:paraId="68D7B723">
      <w:pPr>
        <w:pStyle w:val="16"/>
        <w:numPr>
          <w:ilvl w:val="0"/>
          <w:numId w:val="1"/>
        </w:numPr>
        <w:spacing w:line="312" w:lineRule="auto"/>
        <w:ind w:firstLineChars="0"/>
        <w:outlineLvl w:val="0"/>
        <w:rPr>
          <w:rFonts w:hint="eastAsia" w:ascii="黑体" w:hAnsi="黑体" w:eastAsia="黑体" w:cs="黑体"/>
          <w:sz w:val="32"/>
          <w:szCs w:val="32"/>
        </w:rPr>
      </w:pPr>
      <w:r>
        <w:rPr>
          <w:rFonts w:hint="eastAsia" w:ascii="黑体" w:hAnsi="黑体" w:eastAsia="黑体" w:cs="黑体"/>
          <w:sz w:val="32"/>
          <w:szCs w:val="32"/>
        </w:rPr>
        <w:t>服务内容一览表</w:t>
      </w:r>
    </w:p>
    <w:tbl>
      <w:tblPr>
        <w:tblStyle w:val="12"/>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126"/>
        <w:gridCol w:w="4536"/>
        <w:gridCol w:w="1276"/>
      </w:tblGrid>
      <w:tr w14:paraId="4EF3D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4CDBA834">
            <w:pPr>
              <w:spacing w:line="312" w:lineRule="auto"/>
              <w:jc w:val="center"/>
              <w:rPr>
                <w:rFonts w:hint="eastAsia" w:ascii="宋体" w:hAnsi="宋体" w:eastAsia="宋体"/>
                <w:kern w:val="0"/>
                <w:sz w:val="24"/>
                <w:szCs w:val="24"/>
              </w:rPr>
            </w:pPr>
            <w:r>
              <w:rPr>
                <w:rFonts w:hint="eastAsia" w:ascii="宋体" w:hAnsi="宋体" w:eastAsia="宋体"/>
                <w:kern w:val="0"/>
                <w:sz w:val="24"/>
                <w:szCs w:val="24"/>
              </w:rPr>
              <w:t>序号</w:t>
            </w:r>
          </w:p>
        </w:tc>
        <w:tc>
          <w:tcPr>
            <w:tcW w:w="2126" w:type="dxa"/>
            <w:vAlign w:val="center"/>
          </w:tcPr>
          <w:p w14:paraId="21D0BD24">
            <w:pPr>
              <w:spacing w:line="312" w:lineRule="auto"/>
              <w:jc w:val="center"/>
              <w:rPr>
                <w:rFonts w:hint="eastAsia" w:ascii="宋体" w:hAnsi="宋体" w:eastAsia="宋体"/>
                <w:kern w:val="0"/>
                <w:sz w:val="24"/>
                <w:szCs w:val="24"/>
              </w:rPr>
            </w:pPr>
            <w:r>
              <w:rPr>
                <w:rFonts w:hint="eastAsia" w:ascii="宋体" w:hAnsi="宋体" w:eastAsia="宋体"/>
                <w:kern w:val="0"/>
                <w:sz w:val="24"/>
                <w:szCs w:val="24"/>
              </w:rPr>
              <w:t>服务项目</w:t>
            </w:r>
          </w:p>
        </w:tc>
        <w:tc>
          <w:tcPr>
            <w:tcW w:w="4536" w:type="dxa"/>
            <w:vAlign w:val="center"/>
          </w:tcPr>
          <w:p w14:paraId="5FF4D748">
            <w:pPr>
              <w:spacing w:line="312" w:lineRule="auto"/>
              <w:jc w:val="center"/>
              <w:rPr>
                <w:rFonts w:hint="eastAsia" w:ascii="宋体" w:hAnsi="宋体" w:eastAsia="宋体"/>
                <w:kern w:val="0"/>
                <w:sz w:val="24"/>
                <w:szCs w:val="24"/>
              </w:rPr>
            </w:pPr>
            <w:r>
              <w:rPr>
                <w:rFonts w:hint="eastAsia" w:ascii="宋体" w:hAnsi="宋体" w:eastAsia="宋体"/>
                <w:kern w:val="0"/>
                <w:sz w:val="24"/>
                <w:szCs w:val="24"/>
              </w:rPr>
              <w:t>服务内容</w:t>
            </w:r>
          </w:p>
        </w:tc>
        <w:tc>
          <w:tcPr>
            <w:tcW w:w="1276" w:type="dxa"/>
            <w:vAlign w:val="center"/>
          </w:tcPr>
          <w:p w14:paraId="0140211E">
            <w:pPr>
              <w:spacing w:line="312" w:lineRule="auto"/>
              <w:jc w:val="center"/>
              <w:rPr>
                <w:rFonts w:hint="eastAsia" w:ascii="宋体" w:hAnsi="宋体" w:eastAsia="宋体"/>
                <w:kern w:val="0"/>
                <w:sz w:val="24"/>
                <w:szCs w:val="24"/>
              </w:rPr>
            </w:pPr>
            <w:r>
              <w:rPr>
                <w:rFonts w:hint="eastAsia" w:ascii="宋体" w:hAnsi="宋体" w:eastAsia="宋体"/>
                <w:kern w:val="0"/>
                <w:sz w:val="24"/>
                <w:szCs w:val="24"/>
              </w:rPr>
              <w:t>服务年限</w:t>
            </w:r>
          </w:p>
        </w:tc>
      </w:tr>
      <w:tr w14:paraId="24F14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68D1CFAF">
            <w:pPr>
              <w:pStyle w:val="16"/>
              <w:numPr>
                <w:ilvl w:val="0"/>
                <w:numId w:val="2"/>
              </w:numPr>
              <w:spacing w:line="312" w:lineRule="auto"/>
              <w:ind w:left="0" w:firstLine="0" w:firstLineChars="0"/>
              <w:jc w:val="center"/>
              <w:rPr>
                <w:rFonts w:hint="eastAsia" w:ascii="宋体" w:hAnsi="宋体" w:eastAsia="宋体"/>
                <w:kern w:val="0"/>
                <w:sz w:val="24"/>
                <w:szCs w:val="24"/>
              </w:rPr>
            </w:pPr>
          </w:p>
        </w:tc>
        <w:tc>
          <w:tcPr>
            <w:tcW w:w="2126" w:type="dxa"/>
            <w:vAlign w:val="center"/>
          </w:tcPr>
          <w:p w14:paraId="54196429">
            <w:pPr>
              <w:spacing w:line="312" w:lineRule="auto"/>
              <w:jc w:val="center"/>
              <w:rPr>
                <w:rFonts w:hint="eastAsia" w:ascii="宋体" w:hAnsi="宋体" w:eastAsia="宋体"/>
                <w:kern w:val="0"/>
                <w:sz w:val="24"/>
                <w:szCs w:val="24"/>
              </w:rPr>
            </w:pPr>
            <w:r>
              <w:rPr>
                <w:rFonts w:hint="eastAsia" w:ascii="宋体" w:hAnsi="宋体" w:eastAsia="宋体"/>
                <w:kern w:val="0"/>
                <w:sz w:val="24"/>
                <w:szCs w:val="24"/>
              </w:rPr>
              <w:t>技术保障服务</w:t>
            </w:r>
          </w:p>
        </w:tc>
        <w:tc>
          <w:tcPr>
            <w:tcW w:w="4536" w:type="dxa"/>
            <w:vAlign w:val="center"/>
          </w:tcPr>
          <w:p w14:paraId="6D244ED6">
            <w:pPr>
              <w:spacing w:line="312" w:lineRule="auto"/>
              <w:rPr>
                <w:rFonts w:hint="eastAsia" w:ascii="宋体" w:hAnsi="宋体" w:eastAsia="宋体"/>
                <w:kern w:val="0"/>
                <w:sz w:val="24"/>
                <w:szCs w:val="24"/>
              </w:rPr>
            </w:pPr>
            <w:r>
              <w:rPr>
                <w:rFonts w:hint="eastAsia" w:ascii="宋体" w:hAnsi="宋体" w:eastAsia="宋体"/>
                <w:kern w:val="0"/>
                <w:sz w:val="24"/>
                <w:szCs w:val="24"/>
              </w:rPr>
              <w:t>紧急故障修复服务、本地备份和云备份服务、容量管理、合规与安全性服务</w:t>
            </w:r>
          </w:p>
        </w:tc>
        <w:tc>
          <w:tcPr>
            <w:tcW w:w="1276" w:type="dxa"/>
            <w:vMerge w:val="restart"/>
            <w:vAlign w:val="center"/>
          </w:tcPr>
          <w:p w14:paraId="09BB5146">
            <w:pPr>
              <w:spacing w:line="312" w:lineRule="auto"/>
              <w:jc w:val="center"/>
              <w:rPr>
                <w:rFonts w:hint="eastAsia" w:ascii="宋体" w:hAnsi="宋体" w:eastAsia="宋体"/>
                <w:kern w:val="0"/>
                <w:sz w:val="24"/>
                <w:szCs w:val="24"/>
              </w:rPr>
            </w:pPr>
            <w:r>
              <w:rPr>
                <w:rFonts w:hint="eastAsia" w:ascii="宋体" w:hAnsi="宋体" w:eastAsia="宋体"/>
                <w:kern w:val="0"/>
                <w:sz w:val="24"/>
                <w:szCs w:val="24"/>
              </w:rPr>
              <w:t>2年</w:t>
            </w:r>
          </w:p>
        </w:tc>
      </w:tr>
      <w:tr w14:paraId="178F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285AAEA2">
            <w:pPr>
              <w:pStyle w:val="16"/>
              <w:numPr>
                <w:ilvl w:val="0"/>
                <w:numId w:val="2"/>
              </w:numPr>
              <w:spacing w:line="312" w:lineRule="auto"/>
              <w:ind w:firstLineChars="0"/>
              <w:jc w:val="center"/>
              <w:rPr>
                <w:rFonts w:hint="eastAsia" w:ascii="宋体" w:hAnsi="宋体" w:eastAsia="宋体"/>
                <w:kern w:val="0"/>
                <w:sz w:val="24"/>
                <w:szCs w:val="24"/>
              </w:rPr>
            </w:pPr>
          </w:p>
        </w:tc>
        <w:tc>
          <w:tcPr>
            <w:tcW w:w="2126" w:type="dxa"/>
            <w:vAlign w:val="center"/>
          </w:tcPr>
          <w:p w14:paraId="39EA3B58">
            <w:pPr>
              <w:spacing w:line="312" w:lineRule="auto"/>
              <w:jc w:val="center"/>
              <w:rPr>
                <w:rFonts w:hint="eastAsia" w:ascii="宋体" w:hAnsi="宋体" w:eastAsia="宋体"/>
                <w:kern w:val="0"/>
                <w:sz w:val="24"/>
                <w:szCs w:val="24"/>
              </w:rPr>
            </w:pPr>
            <w:r>
              <w:rPr>
                <w:rFonts w:hint="eastAsia" w:ascii="宋体" w:hAnsi="宋体" w:eastAsia="宋体"/>
                <w:kern w:val="0"/>
                <w:sz w:val="24"/>
                <w:szCs w:val="24"/>
              </w:rPr>
              <w:t>数据保障服务</w:t>
            </w:r>
          </w:p>
        </w:tc>
        <w:tc>
          <w:tcPr>
            <w:tcW w:w="4536" w:type="dxa"/>
            <w:vAlign w:val="center"/>
          </w:tcPr>
          <w:p w14:paraId="69F3652D">
            <w:pPr>
              <w:spacing w:line="312" w:lineRule="auto"/>
              <w:rPr>
                <w:rFonts w:hint="eastAsia" w:ascii="宋体" w:hAnsi="宋体" w:eastAsia="宋体"/>
                <w:kern w:val="0"/>
                <w:sz w:val="24"/>
                <w:szCs w:val="24"/>
              </w:rPr>
            </w:pPr>
            <w:r>
              <w:rPr>
                <w:rFonts w:hint="eastAsia" w:ascii="宋体" w:hAnsi="宋体" w:eastAsia="宋体"/>
                <w:kern w:val="0"/>
                <w:sz w:val="24"/>
                <w:szCs w:val="24"/>
              </w:rPr>
              <w:t>数据迁移服务、数据恢复服务</w:t>
            </w:r>
          </w:p>
        </w:tc>
        <w:tc>
          <w:tcPr>
            <w:tcW w:w="1276" w:type="dxa"/>
            <w:vMerge w:val="continue"/>
            <w:vAlign w:val="center"/>
          </w:tcPr>
          <w:p w14:paraId="397D50C1">
            <w:pPr>
              <w:spacing w:line="312" w:lineRule="auto"/>
              <w:rPr>
                <w:rFonts w:hint="eastAsia" w:ascii="宋体" w:hAnsi="宋体" w:eastAsia="宋体"/>
                <w:kern w:val="0"/>
                <w:sz w:val="24"/>
                <w:szCs w:val="24"/>
              </w:rPr>
            </w:pPr>
          </w:p>
        </w:tc>
      </w:tr>
      <w:tr w14:paraId="1BC3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4DFAF04E">
            <w:pPr>
              <w:pStyle w:val="16"/>
              <w:numPr>
                <w:ilvl w:val="0"/>
                <w:numId w:val="2"/>
              </w:numPr>
              <w:spacing w:line="312" w:lineRule="auto"/>
              <w:ind w:firstLineChars="0"/>
              <w:jc w:val="center"/>
              <w:rPr>
                <w:rFonts w:hint="eastAsia" w:ascii="宋体" w:hAnsi="宋体" w:eastAsia="宋体"/>
                <w:kern w:val="0"/>
                <w:sz w:val="24"/>
                <w:szCs w:val="24"/>
              </w:rPr>
            </w:pPr>
          </w:p>
        </w:tc>
        <w:tc>
          <w:tcPr>
            <w:tcW w:w="2126" w:type="dxa"/>
            <w:vAlign w:val="center"/>
          </w:tcPr>
          <w:p w14:paraId="2EE1C86A">
            <w:pPr>
              <w:spacing w:line="312" w:lineRule="auto"/>
              <w:jc w:val="center"/>
              <w:rPr>
                <w:rFonts w:hint="eastAsia" w:ascii="宋体" w:hAnsi="宋体" w:eastAsia="宋体"/>
                <w:kern w:val="0"/>
                <w:sz w:val="24"/>
                <w:szCs w:val="24"/>
              </w:rPr>
            </w:pPr>
            <w:r>
              <w:rPr>
                <w:rFonts w:hint="eastAsia" w:ascii="宋体" w:hAnsi="宋体" w:eastAsia="宋体"/>
                <w:kern w:val="0"/>
                <w:sz w:val="24"/>
                <w:szCs w:val="24"/>
              </w:rPr>
              <w:t>产品增值服务</w:t>
            </w:r>
          </w:p>
        </w:tc>
        <w:tc>
          <w:tcPr>
            <w:tcW w:w="4536" w:type="dxa"/>
            <w:vAlign w:val="center"/>
          </w:tcPr>
          <w:p w14:paraId="26D24973">
            <w:pPr>
              <w:spacing w:line="312" w:lineRule="auto"/>
              <w:rPr>
                <w:rFonts w:hint="eastAsia" w:ascii="宋体" w:hAnsi="宋体" w:eastAsia="宋体"/>
                <w:kern w:val="0"/>
                <w:sz w:val="24"/>
                <w:szCs w:val="24"/>
              </w:rPr>
            </w:pPr>
            <w:r>
              <w:rPr>
                <w:rFonts w:hint="eastAsia" w:ascii="宋体" w:hAnsi="宋体" w:eastAsia="宋体"/>
                <w:kern w:val="0"/>
                <w:sz w:val="24"/>
                <w:szCs w:val="24"/>
              </w:rPr>
              <w:t>手机短信服务、人脸识别服务、软件版本升级、平台运行及使用报告服务</w:t>
            </w:r>
          </w:p>
        </w:tc>
        <w:tc>
          <w:tcPr>
            <w:tcW w:w="1276" w:type="dxa"/>
            <w:vMerge w:val="continue"/>
            <w:vAlign w:val="center"/>
          </w:tcPr>
          <w:p w14:paraId="6C588A6E">
            <w:pPr>
              <w:spacing w:line="312" w:lineRule="auto"/>
              <w:rPr>
                <w:rFonts w:hint="eastAsia" w:ascii="宋体" w:hAnsi="宋体" w:eastAsia="宋体"/>
                <w:kern w:val="0"/>
                <w:sz w:val="24"/>
                <w:szCs w:val="24"/>
              </w:rPr>
            </w:pPr>
          </w:p>
        </w:tc>
      </w:tr>
      <w:tr w14:paraId="2CD3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6697BC0B">
            <w:pPr>
              <w:pStyle w:val="16"/>
              <w:numPr>
                <w:ilvl w:val="0"/>
                <w:numId w:val="2"/>
              </w:numPr>
              <w:spacing w:line="312" w:lineRule="auto"/>
              <w:ind w:firstLineChars="0"/>
              <w:jc w:val="center"/>
              <w:rPr>
                <w:rFonts w:hint="eastAsia" w:ascii="宋体" w:hAnsi="宋体" w:eastAsia="宋体"/>
                <w:kern w:val="0"/>
                <w:sz w:val="24"/>
                <w:szCs w:val="24"/>
              </w:rPr>
            </w:pPr>
          </w:p>
        </w:tc>
        <w:tc>
          <w:tcPr>
            <w:tcW w:w="2126" w:type="dxa"/>
            <w:vAlign w:val="center"/>
          </w:tcPr>
          <w:p w14:paraId="6615E7A2">
            <w:pPr>
              <w:spacing w:line="312" w:lineRule="auto"/>
              <w:jc w:val="center"/>
              <w:rPr>
                <w:rFonts w:hint="eastAsia" w:ascii="宋体" w:hAnsi="宋体" w:eastAsia="宋体"/>
                <w:kern w:val="0"/>
                <w:sz w:val="24"/>
                <w:szCs w:val="24"/>
              </w:rPr>
            </w:pPr>
            <w:r>
              <w:rPr>
                <w:rFonts w:hint="eastAsia" w:ascii="宋体" w:hAnsi="宋体" w:eastAsia="宋体"/>
                <w:kern w:val="0"/>
                <w:sz w:val="24"/>
                <w:szCs w:val="24"/>
              </w:rPr>
              <w:t>咨询与技术支持</w:t>
            </w:r>
          </w:p>
        </w:tc>
        <w:tc>
          <w:tcPr>
            <w:tcW w:w="4536" w:type="dxa"/>
            <w:vAlign w:val="center"/>
          </w:tcPr>
          <w:p w14:paraId="7164126E">
            <w:pPr>
              <w:spacing w:line="312" w:lineRule="auto"/>
              <w:rPr>
                <w:rFonts w:hint="eastAsia" w:ascii="宋体" w:hAnsi="宋体" w:eastAsia="宋体"/>
                <w:kern w:val="0"/>
                <w:sz w:val="24"/>
                <w:szCs w:val="24"/>
              </w:rPr>
            </w:pPr>
            <w:r>
              <w:rPr>
                <w:rFonts w:hint="eastAsia" w:ascii="宋体" w:hAnsi="宋体" w:eastAsia="宋体"/>
                <w:kern w:val="0"/>
                <w:sz w:val="24"/>
                <w:szCs w:val="24"/>
              </w:rPr>
              <w:t>人工咨询服务、技术支持</w:t>
            </w:r>
          </w:p>
        </w:tc>
        <w:tc>
          <w:tcPr>
            <w:tcW w:w="1276" w:type="dxa"/>
            <w:vMerge w:val="continue"/>
            <w:vAlign w:val="center"/>
          </w:tcPr>
          <w:p w14:paraId="27240B56">
            <w:pPr>
              <w:spacing w:line="312" w:lineRule="auto"/>
              <w:rPr>
                <w:rFonts w:hint="eastAsia" w:ascii="宋体" w:hAnsi="宋体" w:eastAsia="宋体"/>
                <w:kern w:val="0"/>
                <w:sz w:val="24"/>
                <w:szCs w:val="24"/>
              </w:rPr>
            </w:pPr>
          </w:p>
        </w:tc>
      </w:tr>
    </w:tbl>
    <w:p w14:paraId="73C32CED">
      <w:pPr>
        <w:pStyle w:val="16"/>
        <w:numPr>
          <w:ilvl w:val="0"/>
          <w:numId w:val="1"/>
        </w:numPr>
        <w:spacing w:line="312" w:lineRule="auto"/>
        <w:ind w:firstLineChars="0"/>
        <w:outlineLvl w:val="0"/>
        <w:rPr>
          <w:rFonts w:hint="eastAsia" w:ascii="黑体" w:hAnsi="黑体" w:eastAsia="黑体" w:cs="黑体"/>
          <w:sz w:val="32"/>
          <w:szCs w:val="32"/>
        </w:rPr>
      </w:pPr>
      <w:r>
        <w:rPr>
          <w:rFonts w:hint="eastAsia" w:ascii="黑体" w:hAnsi="黑体" w:eastAsia="黑体" w:cs="黑体"/>
          <w:sz w:val="32"/>
          <w:szCs w:val="32"/>
        </w:rPr>
        <w:t>详细技术（服务）要求</w:t>
      </w:r>
    </w:p>
    <w:p w14:paraId="09473155">
      <w:pPr>
        <w:pStyle w:val="16"/>
        <w:numPr>
          <w:ilvl w:val="0"/>
          <w:numId w:val="3"/>
        </w:numPr>
        <w:spacing w:line="360" w:lineRule="auto"/>
        <w:ind w:firstLineChars="0"/>
        <w:outlineLvl w:val="2"/>
        <w:rPr>
          <w:rFonts w:hint="eastAsia" w:ascii="仿宋" w:hAnsi="仿宋" w:eastAsia="仿宋" w:cs="楷体"/>
          <w:b/>
          <w:bCs/>
          <w:sz w:val="32"/>
          <w:szCs w:val="32"/>
        </w:rPr>
      </w:pPr>
      <w:r>
        <w:rPr>
          <w:rFonts w:hint="eastAsia" w:ascii="仿宋" w:hAnsi="仿宋" w:eastAsia="仿宋" w:cs="楷体"/>
          <w:b/>
          <w:bCs/>
          <w:sz w:val="32"/>
          <w:szCs w:val="32"/>
        </w:rPr>
        <w:t>技术保障服务</w:t>
      </w:r>
    </w:p>
    <w:tbl>
      <w:tblPr>
        <w:tblStyle w:val="1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43"/>
        <w:gridCol w:w="6237"/>
      </w:tblGrid>
      <w:tr w14:paraId="3961E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B3C4D78">
            <w:pPr>
              <w:spacing w:line="312" w:lineRule="auto"/>
              <w:jc w:val="center"/>
              <w:rPr>
                <w:rFonts w:hint="eastAsia" w:ascii="宋体" w:hAnsi="宋体" w:eastAsia="宋体"/>
                <w:kern w:val="0"/>
                <w:sz w:val="24"/>
                <w:szCs w:val="24"/>
              </w:rPr>
            </w:pPr>
            <w:bookmarkStart w:id="0" w:name="_Hlk181034117"/>
            <w:r>
              <w:rPr>
                <w:rFonts w:hint="eastAsia" w:ascii="宋体" w:hAnsi="宋体" w:eastAsia="宋体"/>
                <w:kern w:val="0"/>
                <w:sz w:val="24"/>
                <w:szCs w:val="24"/>
              </w:rPr>
              <w:t>序号</w:t>
            </w:r>
          </w:p>
        </w:tc>
        <w:tc>
          <w:tcPr>
            <w:tcW w:w="1843" w:type="dxa"/>
          </w:tcPr>
          <w:p w14:paraId="2374A1ED">
            <w:pPr>
              <w:spacing w:line="312" w:lineRule="auto"/>
              <w:jc w:val="center"/>
              <w:rPr>
                <w:rFonts w:hint="eastAsia" w:ascii="宋体" w:hAnsi="宋体" w:eastAsia="宋体"/>
                <w:kern w:val="0"/>
                <w:sz w:val="24"/>
                <w:szCs w:val="24"/>
              </w:rPr>
            </w:pPr>
            <w:r>
              <w:rPr>
                <w:rFonts w:hint="eastAsia" w:ascii="宋体" w:hAnsi="宋体" w:eastAsia="宋体"/>
                <w:kern w:val="0"/>
                <w:sz w:val="24"/>
                <w:szCs w:val="24"/>
              </w:rPr>
              <w:t>项目</w:t>
            </w:r>
          </w:p>
        </w:tc>
        <w:tc>
          <w:tcPr>
            <w:tcW w:w="6237" w:type="dxa"/>
          </w:tcPr>
          <w:p w14:paraId="4C74D6D1">
            <w:pPr>
              <w:spacing w:line="312" w:lineRule="auto"/>
              <w:ind w:firstLine="420"/>
              <w:jc w:val="center"/>
              <w:rPr>
                <w:rFonts w:hint="eastAsia" w:ascii="宋体" w:hAnsi="宋体" w:eastAsia="宋体"/>
                <w:kern w:val="0"/>
                <w:sz w:val="24"/>
                <w:szCs w:val="24"/>
              </w:rPr>
            </w:pPr>
            <w:r>
              <w:rPr>
                <w:rFonts w:hint="eastAsia" w:ascii="宋体" w:hAnsi="宋体" w:eastAsia="宋体"/>
                <w:kern w:val="0"/>
                <w:sz w:val="24"/>
                <w:szCs w:val="24"/>
              </w:rPr>
              <w:t>技术（服务）要求</w:t>
            </w:r>
          </w:p>
        </w:tc>
      </w:tr>
      <w:tr w14:paraId="277D6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B26E352">
            <w:pPr>
              <w:pStyle w:val="16"/>
              <w:numPr>
                <w:ilvl w:val="0"/>
                <w:numId w:val="4"/>
              </w:numPr>
              <w:spacing w:line="312" w:lineRule="auto"/>
              <w:ind w:left="0" w:firstLine="0" w:firstLineChars="0"/>
              <w:jc w:val="center"/>
              <w:rPr>
                <w:rFonts w:hint="eastAsia" w:ascii="宋体" w:hAnsi="宋体" w:eastAsia="宋体"/>
                <w:kern w:val="0"/>
                <w:sz w:val="24"/>
                <w:szCs w:val="24"/>
              </w:rPr>
            </w:pPr>
          </w:p>
        </w:tc>
        <w:tc>
          <w:tcPr>
            <w:tcW w:w="1843" w:type="dxa"/>
            <w:vAlign w:val="center"/>
          </w:tcPr>
          <w:p w14:paraId="1DEBC723">
            <w:pPr>
              <w:spacing w:line="312" w:lineRule="auto"/>
              <w:jc w:val="center"/>
              <w:rPr>
                <w:rFonts w:hint="eastAsia" w:ascii="宋体" w:hAnsi="宋体" w:eastAsia="宋体"/>
                <w:kern w:val="0"/>
                <w:sz w:val="24"/>
                <w:szCs w:val="24"/>
              </w:rPr>
            </w:pPr>
            <w:r>
              <w:rPr>
                <w:rFonts w:hint="eastAsia" w:ascii="宋体" w:hAnsi="宋体" w:eastAsia="宋体"/>
                <w:kern w:val="0"/>
                <w:sz w:val="24"/>
                <w:szCs w:val="24"/>
              </w:rPr>
              <w:t>紧急故障修复服务</w:t>
            </w:r>
          </w:p>
        </w:tc>
        <w:tc>
          <w:tcPr>
            <w:tcW w:w="6237" w:type="dxa"/>
          </w:tcPr>
          <w:p w14:paraId="7943576A">
            <w:pPr>
              <w:spacing w:line="312" w:lineRule="auto"/>
              <w:rPr>
                <w:rFonts w:hint="eastAsia" w:ascii="宋体" w:hAnsi="宋体" w:eastAsia="宋体"/>
                <w:kern w:val="0"/>
                <w:sz w:val="24"/>
                <w:szCs w:val="24"/>
              </w:rPr>
            </w:pPr>
            <w:r>
              <w:rPr>
                <w:rFonts w:hint="eastAsia" w:ascii="宋体" w:hAnsi="宋体" w:eastAsia="宋体"/>
                <w:kern w:val="0"/>
                <w:sz w:val="24"/>
                <w:szCs w:val="24"/>
              </w:rPr>
              <w:t>提供智慧校园平台紧急故障修复服务，如断电异常关机、用户环境、网络配置等突发事件导致系统重大故障的修复。要求供应商在学校平台遭遇重大故障时，能够快速恢复系统功能，将故障对学校业务的影响降到最低。服务期内每年提供不少于</w:t>
            </w:r>
            <w:r>
              <w:rPr>
                <w:rFonts w:ascii="宋体" w:hAnsi="宋体" w:eastAsia="宋体"/>
                <w:kern w:val="0"/>
                <w:sz w:val="24"/>
                <w:szCs w:val="24"/>
              </w:rPr>
              <w:t>1次</w:t>
            </w:r>
            <w:r>
              <w:rPr>
                <w:rFonts w:hint="eastAsia" w:ascii="宋体" w:hAnsi="宋体" w:eastAsia="宋体"/>
                <w:kern w:val="0"/>
                <w:sz w:val="24"/>
                <w:szCs w:val="24"/>
              </w:rPr>
              <w:t>的</w:t>
            </w:r>
            <w:r>
              <w:rPr>
                <w:rFonts w:ascii="宋体" w:hAnsi="宋体" w:eastAsia="宋体"/>
                <w:kern w:val="0"/>
                <w:sz w:val="24"/>
                <w:szCs w:val="24"/>
              </w:rPr>
              <w:t>平台紧急故障修复</w:t>
            </w:r>
            <w:r>
              <w:rPr>
                <w:rFonts w:hint="eastAsia" w:ascii="宋体" w:hAnsi="宋体" w:eastAsia="宋体"/>
                <w:kern w:val="0"/>
                <w:sz w:val="24"/>
                <w:szCs w:val="24"/>
              </w:rPr>
              <w:t>服务。</w:t>
            </w:r>
          </w:p>
        </w:tc>
      </w:tr>
      <w:tr w14:paraId="0B8B2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0A08B15">
            <w:pPr>
              <w:pStyle w:val="16"/>
              <w:numPr>
                <w:ilvl w:val="0"/>
                <w:numId w:val="4"/>
              </w:numPr>
              <w:spacing w:line="312" w:lineRule="auto"/>
              <w:ind w:firstLineChars="0"/>
              <w:jc w:val="center"/>
              <w:rPr>
                <w:rFonts w:hint="eastAsia" w:ascii="宋体" w:hAnsi="宋体" w:eastAsia="宋体"/>
                <w:kern w:val="0"/>
                <w:sz w:val="24"/>
                <w:szCs w:val="24"/>
              </w:rPr>
            </w:pPr>
          </w:p>
        </w:tc>
        <w:tc>
          <w:tcPr>
            <w:tcW w:w="1843" w:type="dxa"/>
            <w:vAlign w:val="center"/>
          </w:tcPr>
          <w:p w14:paraId="7A045C86">
            <w:pPr>
              <w:spacing w:line="312" w:lineRule="auto"/>
              <w:jc w:val="center"/>
              <w:rPr>
                <w:rFonts w:hint="eastAsia" w:ascii="宋体" w:hAnsi="宋体" w:eastAsia="宋体"/>
                <w:kern w:val="0"/>
                <w:sz w:val="24"/>
                <w:szCs w:val="24"/>
              </w:rPr>
            </w:pPr>
            <w:r>
              <w:rPr>
                <w:rFonts w:hint="eastAsia" w:ascii="宋体" w:hAnsi="宋体" w:eastAsia="宋体"/>
                <w:kern w:val="0"/>
                <w:sz w:val="24"/>
                <w:szCs w:val="24"/>
              </w:rPr>
              <w:t>本地备份和云备份服务</w:t>
            </w:r>
          </w:p>
        </w:tc>
        <w:tc>
          <w:tcPr>
            <w:tcW w:w="6237" w:type="dxa"/>
          </w:tcPr>
          <w:p w14:paraId="1D1642C5">
            <w:pPr>
              <w:spacing w:line="312" w:lineRule="auto"/>
              <w:rPr>
                <w:rFonts w:hint="eastAsia" w:ascii="宋体" w:hAnsi="宋体" w:eastAsia="宋体"/>
                <w:kern w:val="0"/>
                <w:sz w:val="24"/>
                <w:szCs w:val="24"/>
              </w:rPr>
            </w:pPr>
            <w:r>
              <w:rPr>
                <w:rFonts w:hint="eastAsia" w:ascii="宋体" w:hAnsi="宋体" w:eastAsia="宋体"/>
                <w:kern w:val="0"/>
                <w:sz w:val="24"/>
                <w:szCs w:val="24"/>
              </w:rPr>
              <w:t>1.提供数据本地备份和云备份服务。要求云备份服务可靠性达9</w:t>
            </w:r>
            <w:r>
              <w:rPr>
                <w:rFonts w:ascii="宋体" w:hAnsi="宋体" w:eastAsia="宋体"/>
                <w:kern w:val="0"/>
                <w:sz w:val="24"/>
                <w:szCs w:val="24"/>
              </w:rPr>
              <w:t>9.99%</w:t>
            </w:r>
            <w:r>
              <w:rPr>
                <w:rFonts w:hint="eastAsia" w:ascii="宋体" w:hAnsi="宋体" w:eastAsia="宋体"/>
                <w:kern w:val="0"/>
                <w:sz w:val="24"/>
                <w:szCs w:val="24"/>
              </w:rPr>
              <w:t>，并满足等保三级的要求。</w:t>
            </w:r>
          </w:p>
          <w:p w14:paraId="3D24E1D8">
            <w:pPr>
              <w:spacing w:line="312" w:lineRule="auto"/>
              <w:rPr>
                <w:rFonts w:hint="eastAsia" w:ascii="宋体" w:hAnsi="宋体" w:eastAsia="宋体"/>
                <w:kern w:val="0"/>
                <w:sz w:val="24"/>
                <w:szCs w:val="24"/>
              </w:rPr>
            </w:pPr>
            <w:r>
              <w:rPr>
                <w:rFonts w:hint="eastAsia" w:ascii="宋体" w:hAnsi="宋体" w:eastAsia="宋体"/>
                <w:kern w:val="0"/>
                <w:sz w:val="24"/>
                <w:szCs w:val="24"/>
              </w:rPr>
              <w:t>2</w:t>
            </w:r>
            <w:r>
              <w:rPr>
                <w:rFonts w:ascii="宋体" w:hAnsi="宋体" w:eastAsia="宋体"/>
                <w:kern w:val="0"/>
                <w:sz w:val="24"/>
                <w:szCs w:val="24"/>
              </w:rPr>
              <w:t>.</w:t>
            </w:r>
            <w:r>
              <w:rPr>
                <w:rFonts w:hint="eastAsia" w:ascii="宋体" w:hAnsi="宋体" w:eastAsia="宋体"/>
                <w:kern w:val="0"/>
                <w:sz w:val="24"/>
                <w:szCs w:val="24"/>
              </w:rPr>
              <w:t>本地备份的服务器及存储空间由采购人提供。</w:t>
            </w:r>
          </w:p>
          <w:p w14:paraId="05A910B3">
            <w:pPr>
              <w:spacing w:line="312" w:lineRule="auto"/>
              <w:rPr>
                <w:rFonts w:hint="eastAsia" w:ascii="宋体" w:hAnsi="宋体" w:eastAsia="宋体"/>
                <w:kern w:val="0"/>
                <w:sz w:val="24"/>
                <w:szCs w:val="24"/>
              </w:rPr>
            </w:pPr>
            <w:r>
              <w:rPr>
                <w:rFonts w:ascii="宋体" w:hAnsi="宋体" w:eastAsia="宋体"/>
                <w:kern w:val="0"/>
                <w:sz w:val="24"/>
                <w:szCs w:val="24"/>
              </w:rPr>
              <w:t>3.</w:t>
            </w:r>
            <w:r>
              <w:rPr>
                <w:rFonts w:hint="eastAsia" w:ascii="宋体" w:hAnsi="宋体" w:eastAsia="宋体"/>
                <w:kern w:val="0"/>
                <w:sz w:val="24"/>
                <w:szCs w:val="24"/>
              </w:rPr>
              <w:t>云备份服务：供应商</w:t>
            </w:r>
            <w:r>
              <w:rPr>
                <w:rFonts w:ascii="宋体" w:hAnsi="宋体" w:eastAsia="宋体"/>
                <w:kern w:val="0"/>
                <w:sz w:val="24"/>
                <w:szCs w:val="24"/>
              </w:rPr>
              <w:t>为</w:t>
            </w:r>
            <w:r>
              <w:rPr>
                <w:rFonts w:hint="eastAsia" w:ascii="宋体" w:hAnsi="宋体" w:eastAsia="宋体"/>
                <w:kern w:val="0"/>
                <w:sz w:val="24"/>
                <w:szCs w:val="24"/>
              </w:rPr>
              <w:t>采购人</w:t>
            </w:r>
            <w:r>
              <w:rPr>
                <w:rFonts w:ascii="宋体" w:hAnsi="宋体" w:eastAsia="宋体"/>
                <w:kern w:val="0"/>
                <w:sz w:val="24"/>
                <w:szCs w:val="24"/>
              </w:rPr>
              <w:t>提供专属存储空间，</w:t>
            </w:r>
            <w:r>
              <w:rPr>
                <w:rFonts w:hint="eastAsia" w:ascii="宋体" w:hAnsi="宋体" w:eastAsia="宋体"/>
                <w:kern w:val="0"/>
                <w:sz w:val="24"/>
                <w:szCs w:val="24"/>
              </w:rPr>
              <w:t>用于存储学校的私有数据和用户文件。云备份数据仅保留近六个月内的数据，云备份数据量不超过</w:t>
            </w:r>
            <w:r>
              <w:rPr>
                <w:rFonts w:ascii="宋体" w:hAnsi="宋体" w:eastAsia="宋体"/>
                <w:kern w:val="0"/>
                <w:sz w:val="24"/>
                <w:szCs w:val="24"/>
              </w:rPr>
              <w:t>4TB。</w:t>
            </w:r>
          </w:p>
          <w:p w14:paraId="41F267F6">
            <w:pPr>
              <w:spacing w:line="312" w:lineRule="auto"/>
              <w:rPr>
                <w:rFonts w:hint="eastAsia" w:ascii="宋体" w:hAnsi="宋体" w:eastAsia="宋体"/>
                <w:kern w:val="0"/>
                <w:sz w:val="24"/>
                <w:szCs w:val="24"/>
              </w:rPr>
            </w:pPr>
            <w:r>
              <w:rPr>
                <w:rFonts w:ascii="宋体" w:hAnsi="宋体" w:eastAsia="宋体"/>
                <w:kern w:val="0"/>
                <w:sz w:val="24"/>
                <w:szCs w:val="24"/>
              </w:rPr>
              <w:t>4.</w:t>
            </w:r>
            <w:r>
              <w:rPr>
                <w:rFonts w:hint="eastAsia" w:ascii="宋体" w:hAnsi="宋体" w:eastAsia="宋体"/>
                <w:kern w:val="0"/>
                <w:sz w:val="24"/>
                <w:szCs w:val="24"/>
              </w:rPr>
              <w:t>本地备份和云备份均</w:t>
            </w:r>
            <w:r>
              <w:rPr>
                <w:rFonts w:ascii="宋体" w:hAnsi="宋体" w:eastAsia="宋体"/>
                <w:kern w:val="0"/>
                <w:sz w:val="24"/>
                <w:szCs w:val="24"/>
              </w:rPr>
              <w:t>由</w:t>
            </w:r>
            <w:r>
              <w:rPr>
                <w:rFonts w:hint="eastAsia" w:ascii="宋体" w:hAnsi="宋体" w:eastAsia="宋体"/>
                <w:kern w:val="0"/>
                <w:sz w:val="24"/>
                <w:szCs w:val="24"/>
              </w:rPr>
              <w:t>供应商</w:t>
            </w:r>
            <w:r>
              <w:rPr>
                <w:rFonts w:ascii="宋体" w:hAnsi="宋体" w:eastAsia="宋体"/>
                <w:kern w:val="0"/>
                <w:sz w:val="24"/>
                <w:szCs w:val="24"/>
              </w:rPr>
              <w:t>统一管理并设置备份时间和策略</w:t>
            </w:r>
            <w:r>
              <w:rPr>
                <w:rFonts w:hint="eastAsia" w:ascii="宋体" w:hAnsi="宋体" w:eastAsia="宋体"/>
                <w:kern w:val="0"/>
                <w:sz w:val="24"/>
                <w:szCs w:val="24"/>
              </w:rPr>
              <w:t>。</w:t>
            </w:r>
          </w:p>
        </w:tc>
      </w:tr>
      <w:tr w14:paraId="33F49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44D15AE">
            <w:pPr>
              <w:pStyle w:val="16"/>
              <w:numPr>
                <w:ilvl w:val="0"/>
                <w:numId w:val="4"/>
              </w:numPr>
              <w:spacing w:line="312" w:lineRule="auto"/>
              <w:ind w:firstLineChars="0"/>
              <w:jc w:val="center"/>
              <w:rPr>
                <w:rFonts w:hint="eastAsia" w:ascii="宋体" w:hAnsi="宋体" w:eastAsia="宋体"/>
                <w:kern w:val="0"/>
                <w:sz w:val="24"/>
                <w:szCs w:val="24"/>
              </w:rPr>
            </w:pPr>
          </w:p>
        </w:tc>
        <w:tc>
          <w:tcPr>
            <w:tcW w:w="1843" w:type="dxa"/>
            <w:vAlign w:val="center"/>
          </w:tcPr>
          <w:p w14:paraId="4C45B35D">
            <w:pPr>
              <w:spacing w:line="312" w:lineRule="auto"/>
              <w:jc w:val="center"/>
              <w:rPr>
                <w:rFonts w:hint="eastAsia" w:ascii="宋体" w:hAnsi="宋体" w:eastAsia="宋体"/>
                <w:kern w:val="0"/>
                <w:sz w:val="24"/>
                <w:szCs w:val="24"/>
              </w:rPr>
            </w:pPr>
            <w:r>
              <w:rPr>
                <w:rFonts w:hint="eastAsia" w:ascii="宋体" w:hAnsi="宋体" w:eastAsia="宋体"/>
                <w:kern w:val="0"/>
                <w:sz w:val="24"/>
                <w:szCs w:val="24"/>
              </w:rPr>
              <w:t>容量管理</w:t>
            </w:r>
          </w:p>
        </w:tc>
        <w:tc>
          <w:tcPr>
            <w:tcW w:w="6237" w:type="dxa"/>
          </w:tcPr>
          <w:p w14:paraId="28FEDA11">
            <w:pPr>
              <w:spacing w:line="312" w:lineRule="auto"/>
              <w:rPr>
                <w:rFonts w:hint="eastAsia" w:ascii="宋体" w:hAnsi="宋体" w:eastAsia="宋体"/>
                <w:kern w:val="0"/>
                <w:sz w:val="24"/>
                <w:szCs w:val="24"/>
              </w:rPr>
            </w:pPr>
            <w:r>
              <w:rPr>
                <w:rFonts w:hint="eastAsia" w:ascii="宋体" w:hAnsi="宋体" w:eastAsia="宋体"/>
                <w:kern w:val="0"/>
                <w:sz w:val="24"/>
                <w:szCs w:val="24"/>
              </w:rPr>
              <w:t>1</w:t>
            </w:r>
            <w:r>
              <w:rPr>
                <w:rFonts w:ascii="宋体" w:hAnsi="宋体" w:eastAsia="宋体"/>
                <w:kern w:val="0"/>
                <w:sz w:val="24"/>
                <w:szCs w:val="24"/>
              </w:rPr>
              <w:t>.</w:t>
            </w:r>
            <w:r>
              <w:rPr>
                <w:rFonts w:hint="eastAsia" w:ascii="宋体" w:hAnsi="宋体" w:eastAsia="宋体"/>
                <w:kern w:val="0"/>
                <w:sz w:val="24"/>
                <w:szCs w:val="24"/>
              </w:rPr>
              <w:t>提供计算容量的监控服务，当计算或存储资源不能承载用户负载时，学校自行完成硬件资源的升级（更换物理/虚拟机CPU、增加内存容量等）。升级完成后，供应商应给予相应的扩容服务支持：调整应用状态，使其将物理</w:t>
            </w:r>
            <w:r>
              <w:rPr>
                <w:rFonts w:ascii="宋体" w:hAnsi="宋体" w:eastAsia="宋体"/>
                <w:kern w:val="0"/>
                <w:sz w:val="24"/>
                <w:szCs w:val="24"/>
              </w:rPr>
              <w:t>/虚拟机性能充分利用</w:t>
            </w:r>
            <w:r>
              <w:rPr>
                <w:rFonts w:hint="eastAsia" w:ascii="宋体" w:hAnsi="宋体" w:eastAsia="宋体"/>
                <w:kern w:val="0"/>
                <w:sz w:val="24"/>
                <w:szCs w:val="24"/>
              </w:rPr>
              <w:t>，从而</w:t>
            </w:r>
            <w:r>
              <w:rPr>
                <w:rFonts w:ascii="宋体" w:hAnsi="宋体" w:eastAsia="宋体"/>
                <w:kern w:val="0"/>
                <w:sz w:val="24"/>
                <w:szCs w:val="24"/>
              </w:rPr>
              <w:t>支撑更多的用户负载</w:t>
            </w:r>
            <w:r>
              <w:rPr>
                <w:rFonts w:hint="eastAsia" w:ascii="宋体" w:hAnsi="宋体" w:eastAsia="宋体"/>
                <w:kern w:val="0"/>
                <w:sz w:val="24"/>
                <w:szCs w:val="24"/>
              </w:rPr>
              <w:t>。</w:t>
            </w:r>
          </w:p>
          <w:p w14:paraId="6C229E08">
            <w:pPr>
              <w:spacing w:line="312" w:lineRule="auto"/>
              <w:rPr>
                <w:rFonts w:hint="eastAsia" w:ascii="宋体" w:hAnsi="宋体" w:eastAsia="宋体"/>
                <w:kern w:val="0"/>
                <w:sz w:val="24"/>
                <w:szCs w:val="24"/>
              </w:rPr>
            </w:pPr>
            <w:r>
              <w:rPr>
                <w:rFonts w:hint="eastAsia" w:ascii="宋体" w:hAnsi="宋体" w:eastAsia="宋体"/>
                <w:kern w:val="0"/>
                <w:sz w:val="24"/>
                <w:szCs w:val="24"/>
              </w:rPr>
              <w:t>2</w:t>
            </w:r>
            <w:r>
              <w:rPr>
                <w:rFonts w:ascii="宋体" w:hAnsi="宋体" w:eastAsia="宋体"/>
                <w:kern w:val="0"/>
                <w:sz w:val="24"/>
                <w:szCs w:val="24"/>
              </w:rPr>
              <w:t>.</w:t>
            </w:r>
            <w:r>
              <w:rPr>
                <w:rFonts w:hint="eastAsia" w:ascii="宋体" w:hAnsi="宋体" w:eastAsia="宋体"/>
                <w:kern w:val="0"/>
                <w:sz w:val="24"/>
                <w:szCs w:val="24"/>
              </w:rPr>
              <w:t>服务时间：7*24全天候监控。</w:t>
            </w:r>
          </w:p>
          <w:p w14:paraId="54008B80">
            <w:pPr>
              <w:spacing w:line="312" w:lineRule="auto"/>
              <w:rPr>
                <w:rFonts w:hint="eastAsia" w:ascii="宋体" w:hAnsi="宋体" w:eastAsia="宋体"/>
                <w:kern w:val="0"/>
                <w:sz w:val="24"/>
                <w:szCs w:val="24"/>
              </w:rPr>
            </w:pPr>
            <w:r>
              <w:rPr>
                <w:rFonts w:hint="eastAsia" w:ascii="宋体" w:hAnsi="宋体" w:eastAsia="宋体"/>
                <w:kern w:val="0"/>
                <w:sz w:val="24"/>
                <w:szCs w:val="24"/>
              </w:rPr>
              <w:t>3</w:t>
            </w:r>
            <w:r>
              <w:rPr>
                <w:rFonts w:ascii="宋体" w:hAnsi="宋体" w:eastAsia="宋体"/>
                <w:kern w:val="0"/>
                <w:sz w:val="24"/>
                <w:szCs w:val="24"/>
              </w:rPr>
              <w:t>.</w:t>
            </w:r>
            <w:r>
              <w:rPr>
                <w:rFonts w:hint="eastAsia" w:ascii="宋体" w:hAnsi="宋体" w:eastAsia="宋体"/>
                <w:kern w:val="0"/>
                <w:sz w:val="24"/>
                <w:szCs w:val="24"/>
              </w:rPr>
              <w:t>要求供应商在学校有扩容需求时，每年提供1次扩容支持服务。</w:t>
            </w:r>
          </w:p>
        </w:tc>
      </w:tr>
      <w:tr w14:paraId="61C6A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FB075EE">
            <w:pPr>
              <w:pStyle w:val="16"/>
              <w:numPr>
                <w:ilvl w:val="0"/>
                <w:numId w:val="4"/>
              </w:numPr>
              <w:spacing w:line="312" w:lineRule="auto"/>
              <w:ind w:firstLineChars="0"/>
              <w:jc w:val="center"/>
              <w:rPr>
                <w:rFonts w:hint="eastAsia" w:ascii="宋体" w:hAnsi="宋体" w:eastAsia="宋体"/>
                <w:kern w:val="0"/>
                <w:sz w:val="24"/>
                <w:szCs w:val="24"/>
              </w:rPr>
            </w:pPr>
          </w:p>
        </w:tc>
        <w:tc>
          <w:tcPr>
            <w:tcW w:w="1843" w:type="dxa"/>
            <w:vAlign w:val="center"/>
          </w:tcPr>
          <w:p w14:paraId="0FA92380">
            <w:pPr>
              <w:spacing w:line="312" w:lineRule="auto"/>
              <w:jc w:val="center"/>
              <w:rPr>
                <w:rFonts w:hint="eastAsia" w:ascii="宋体" w:hAnsi="宋体" w:eastAsia="宋体"/>
                <w:kern w:val="0"/>
                <w:sz w:val="24"/>
                <w:szCs w:val="24"/>
              </w:rPr>
            </w:pPr>
            <w:r>
              <w:rPr>
                <w:rFonts w:hint="eastAsia" w:ascii="宋体" w:hAnsi="宋体" w:eastAsia="宋体"/>
                <w:kern w:val="0"/>
                <w:sz w:val="24"/>
                <w:szCs w:val="24"/>
              </w:rPr>
              <w:t>合规与安全性服务</w:t>
            </w:r>
          </w:p>
        </w:tc>
        <w:tc>
          <w:tcPr>
            <w:tcW w:w="6237" w:type="dxa"/>
          </w:tcPr>
          <w:p w14:paraId="78BF4144">
            <w:pPr>
              <w:spacing w:line="312" w:lineRule="auto"/>
              <w:rPr>
                <w:rFonts w:hint="eastAsia" w:ascii="宋体" w:hAnsi="宋体" w:eastAsia="宋体"/>
                <w:kern w:val="0"/>
                <w:sz w:val="24"/>
                <w:szCs w:val="24"/>
              </w:rPr>
            </w:pPr>
            <w:r>
              <w:rPr>
                <w:rFonts w:ascii="宋体" w:hAnsi="宋体" w:eastAsia="宋体"/>
                <w:kern w:val="0"/>
                <w:sz w:val="24"/>
                <w:szCs w:val="24"/>
              </w:rPr>
              <w:t>1.</w:t>
            </w:r>
            <w:r>
              <w:rPr>
                <w:rFonts w:hint="eastAsia" w:ascii="宋体" w:hAnsi="宋体" w:eastAsia="宋体"/>
                <w:kern w:val="0"/>
                <w:sz w:val="24"/>
                <w:szCs w:val="24"/>
              </w:rPr>
              <w:t>供应商应每学期提供1次病毒检查报告，1次入侵检测报告。</w:t>
            </w:r>
          </w:p>
          <w:p w14:paraId="5C37BFD1">
            <w:pPr>
              <w:spacing w:line="312" w:lineRule="auto"/>
              <w:rPr>
                <w:rFonts w:hint="eastAsia" w:ascii="宋体" w:hAnsi="宋体" w:eastAsia="宋体"/>
                <w:kern w:val="0"/>
                <w:sz w:val="24"/>
                <w:szCs w:val="24"/>
              </w:rPr>
            </w:pPr>
            <w:r>
              <w:rPr>
                <w:rFonts w:ascii="宋体" w:hAnsi="宋体" w:eastAsia="宋体"/>
                <w:kern w:val="0"/>
                <w:sz w:val="24"/>
                <w:szCs w:val="24"/>
              </w:rPr>
              <w:t>2.</w:t>
            </w:r>
            <w:r>
              <w:rPr>
                <w:rFonts w:hint="eastAsia" w:ascii="宋体" w:hAnsi="宋体" w:eastAsia="宋体"/>
                <w:kern w:val="0"/>
                <w:sz w:val="24"/>
                <w:szCs w:val="24"/>
              </w:rPr>
              <w:t>服务期内，学校需要做智慧校园平台等保测评时（根据《信息安全等级保护管理办法》规定的测评周期：等保二级两年一次，等保三级每年一次），供应商应协助学校等保测评机构进行1次全面的合规性检查包括软件应用的安全特性和操作系统环境的安全配置，并整改。</w:t>
            </w:r>
          </w:p>
        </w:tc>
      </w:tr>
      <w:bookmarkEnd w:id="0"/>
    </w:tbl>
    <w:p w14:paraId="7F76DAFE">
      <w:pPr>
        <w:pStyle w:val="16"/>
        <w:numPr>
          <w:ilvl w:val="0"/>
          <w:numId w:val="3"/>
        </w:numPr>
        <w:spacing w:line="360" w:lineRule="auto"/>
        <w:ind w:firstLineChars="0"/>
        <w:outlineLvl w:val="2"/>
        <w:rPr>
          <w:rFonts w:hint="eastAsia" w:ascii="仿宋" w:hAnsi="仿宋" w:eastAsia="仿宋" w:cs="楷体"/>
          <w:b/>
          <w:bCs/>
          <w:sz w:val="32"/>
          <w:szCs w:val="32"/>
        </w:rPr>
      </w:pPr>
      <w:r>
        <w:rPr>
          <w:rFonts w:hint="eastAsia" w:ascii="仿宋" w:hAnsi="仿宋" w:eastAsia="仿宋" w:cs="楷体"/>
          <w:b/>
          <w:bCs/>
          <w:sz w:val="32"/>
          <w:szCs w:val="32"/>
        </w:rPr>
        <w:t>数据保障服务</w:t>
      </w:r>
    </w:p>
    <w:tbl>
      <w:tblPr>
        <w:tblStyle w:val="1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701"/>
        <w:gridCol w:w="6237"/>
      </w:tblGrid>
      <w:tr w14:paraId="428D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248E37A8">
            <w:pPr>
              <w:spacing w:line="312" w:lineRule="auto"/>
              <w:jc w:val="center"/>
              <w:rPr>
                <w:rFonts w:hint="eastAsia" w:ascii="宋体" w:hAnsi="宋体" w:eastAsia="宋体"/>
                <w:kern w:val="0"/>
                <w:sz w:val="24"/>
                <w:szCs w:val="24"/>
              </w:rPr>
            </w:pPr>
            <w:r>
              <w:rPr>
                <w:rFonts w:hint="eastAsia" w:ascii="宋体" w:hAnsi="宋体" w:eastAsia="宋体"/>
                <w:kern w:val="0"/>
                <w:sz w:val="24"/>
                <w:szCs w:val="24"/>
              </w:rPr>
              <w:t>序号</w:t>
            </w:r>
          </w:p>
        </w:tc>
        <w:tc>
          <w:tcPr>
            <w:tcW w:w="1701" w:type="dxa"/>
          </w:tcPr>
          <w:p w14:paraId="7EF9F727">
            <w:pPr>
              <w:spacing w:line="312" w:lineRule="auto"/>
              <w:jc w:val="center"/>
              <w:rPr>
                <w:rFonts w:hint="eastAsia" w:ascii="宋体" w:hAnsi="宋体" w:eastAsia="宋体"/>
                <w:kern w:val="0"/>
                <w:sz w:val="24"/>
                <w:szCs w:val="24"/>
              </w:rPr>
            </w:pPr>
            <w:r>
              <w:rPr>
                <w:rFonts w:hint="eastAsia" w:ascii="宋体" w:hAnsi="宋体" w:eastAsia="宋体"/>
                <w:kern w:val="0"/>
                <w:sz w:val="24"/>
                <w:szCs w:val="24"/>
              </w:rPr>
              <w:t>项目</w:t>
            </w:r>
          </w:p>
        </w:tc>
        <w:tc>
          <w:tcPr>
            <w:tcW w:w="6237" w:type="dxa"/>
          </w:tcPr>
          <w:p w14:paraId="568B8C2D">
            <w:pPr>
              <w:spacing w:line="312" w:lineRule="auto"/>
              <w:ind w:firstLine="420"/>
              <w:jc w:val="center"/>
              <w:rPr>
                <w:rFonts w:hint="eastAsia" w:ascii="宋体" w:hAnsi="宋体" w:eastAsia="宋体"/>
                <w:kern w:val="0"/>
                <w:sz w:val="24"/>
                <w:szCs w:val="24"/>
              </w:rPr>
            </w:pPr>
            <w:r>
              <w:rPr>
                <w:rFonts w:hint="eastAsia" w:ascii="宋体" w:hAnsi="宋体" w:eastAsia="宋体"/>
                <w:kern w:val="0"/>
                <w:sz w:val="24"/>
                <w:szCs w:val="24"/>
              </w:rPr>
              <w:t>技术（服务）要求</w:t>
            </w:r>
          </w:p>
        </w:tc>
      </w:tr>
      <w:tr w14:paraId="41945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9B48FD5">
            <w:pPr>
              <w:pStyle w:val="16"/>
              <w:numPr>
                <w:ilvl w:val="0"/>
                <w:numId w:val="5"/>
              </w:numPr>
              <w:spacing w:line="312" w:lineRule="auto"/>
              <w:ind w:left="0" w:firstLine="0" w:firstLineChars="0"/>
              <w:jc w:val="center"/>
              <w:rPr>
                <w:rFonts w:hint="eastAsia" w:ascii="宋体" w:hAnsi="宋体" w:eastAsia="宋体"/>
                <w:kern w:val="0"/>
                <w:sz w:val="24"/>
                <w:szCs w:val="24"/>
              </w:rPr>
            </w:pPr>
          </w:p>
        </w:tc>
        <w:tc>
          <w:tcPr>
            <w:tcW w:w="1701" w:type="dxa"/>
            <w:vAlign w:val="center"/>
          </w:tcPr>
          <w:p w14:paraId="2EFEAAE2">
            <w:pPr>
              <w:spacing w:line="312" w:lineRule="auto"/>
              <w:jc w:val="center"/>
              <w:rPr>
                <w:rFonts w:hint="eastAsia" w:ascii="宋体" w:hAnsi="宋体" w:eastAsia="宋体"/>
                <w:kern w:val="0"/>
                <w:sz w:val="24"/>
                <w:szCs w:val="24"/>
              </w:rPr>
            </w:pPr>
            <w:r>
              <w:rPr>
                <w:rFonts w:hint="eastAsia" w:ascii="宋体" w:hAnsi="宋体" w:eastAsia="宋体"/>
                <w:kern w:val="0"/>
                <w:sz w:val="24"/>
                <w:szCs w:val="24"/>
              </w:rPr>
              <w:t>数据迁移服务</w:t>
            </w:r>
          </w:p>
        </w:tc>
        <w:tc>
          <w:tcPr>
            <w:tcW w:w="6237" w:type="dxa"/>
          </w:tcPr>
          <w:p w14:paraId="157CC6B0">
            <w:pPr>
              <w:spacing w:line="312" w:lineRule="auto"/>
              <w:rPr>
                <w:rFonts w:hint="eastAsia" w:ascii="宋体" w:hAnsi="宋体" w:eastAsia="宋体"/>
                <w:kern w:val="0"/>
                <w:sz w:val="24"/>
                <w:szCs w:val="24"/>
              </w:rPr>
            </w:pPr>
            <w:r>
              <w:rPr>
                <w:rFonts w:hint="eastAsia" w:ascii="宋体" w:hAnsi="宋体" w:eastAsia="宋体"/>
                <w:kern w:val="0"/>
                <w:sz w:val="24"/>
                <w:szCs w:val="24"/>
              </w:rPr>
              <w:t>1</w:t>
            </w:r>
            <w:r>
              <w:rPr>
                <w:rFonts w:ascii="宋体" w:hAnsi="宋体" w:eastAsia="宋体"/>
                <w:kern w:val="0"/>
                <w:sz w:val="24"/>
                <w:szCs w:val="24"/>
              </w:rPr>
              <w:t>.</w:t>
            </w:r>
            <w:r>
              <w:rPr>
                <w:rFonts w:hint="eastAsia" w:ascii="宋体" w:hAnsi="宋体" w:eastAsia="宋体"/>
                <w:kern w:val="0"/>
                <w:sz w:val="24"/>
                <w:szCs w:val="24"/>
              </w:rPr>
              <w:t>在学校因业务变化需要时，协助学校提供智慧校园平台的迁移服务，迁移情形包括本地服务器迁移、本地迁移到第三方云、第三方云迁移到本地，学校可再根据需求选择迁移方式。</w:t>
            </w:r>
          </w:p>
          <w:p w14:paraId="2B5985E5">
            <w:pPr>
              <w:spacing w:line="312" w:lineRule="auto"/>
              <w:rPr>
                <w:rFonts w:hint="eastAsia" w:ascii="宋体" w:hAnsi="宋体" w:eastAsia="宋体"/>
                <w:kern w:val="0"/>
                <w:sz w:val="24"/>
                <w:szCs w:val="24"/>
              </w:rPr>
            </w:pPr>
            <w:r>
              <w:rPr>
                <w:rFonts w:hint="eastAsia" w:ascii="宋体" w:hAnsi="宋体" w:eastAsia="宋体"/>
                <w:kern w:val="0"/>
                <w:sz w:val="24"/>
                <w:szCs w:val="24"/>
              </w:rPr>
              <w:t>说明：第三方云指政务云、华为云、天翼云、移动云、阿里云等。</w:t>
            </w:r>
          </w:p>
          <w:p w14:paraId="6C2AD0AD">
            <w:pPr>
              <w:spacing w:line="312" w:lineRule="auto"/>
              <w:rPr>
                <w:rFonts w:hint="eastAsia" w:ascii="宋体" w:hAnsi="宋体" w:eastAsia="宋体"/>
                <w:kern w:val="0"/>
                <w:sz w:val="24"/>
                <w:szCs w:val="24"/>
              </w:rPr>
            </w:pPr>
            <w:r>
              <w:rPr>
                <w:rFonts w:hint="eastAsia" w:ascii="宋体" w:hAnsi="宋体" w:eastAsia="宋体"/>
                <w:kern w:val="0"/>
                <w:sz w:val="24"/>
                <w:szCs w:val="24"/>
              </w:rPr>
              <w:t>2</w:t>
            </w:r>
            <w:r>
              <w:rPr>
                <w:rFonts w:ascii="宋体" w:hAnsi="宋体" w:eastAsia="宋体"/>
                <w:kern w:val="0"/>
                <w:sz w:val="24"/>
                <w:szCs w:val="24"/>
              </w:rPr>
              <w:t>.</w:t>
            </w:r>
            <w:r>
              <w:rPr>
                <w:rFonts w:hint="eastAsia" w:ascii="宋体" w:hAnsi="宋体" w:eastAsia="宋体"/>
                <w:kern w:val="0"/>
                <w:sz w:val="24"/>
                <w:szCs w:val="24"/>
              </w:rPr>
              <w:t>供应商负责</w:t>
            </w:r>
            <w:r>
              <w:rPr>
                <w:rFonts w:ascii="宋体" w:hAnsi="宋体" w:eastAsia="宋体"/>
                <w:kern w:val="0"/>
                <w:sz w:val="24"/>
                <w:szCs w:val="24"/>
              </w:rPr>
              <w:t>前期调研，制定</w:t>
            </w:r>
            <w:r>
              <w:rPr>
                <w:rFonts w:hint="eastAsia" w:ascii="宋体" w:hAnsi="宋体" w:eastAsia="宋体"/>
                <w:kern w:val="0"/>
                <w:sz w:val="24"/>
                <w:szCs w:val="24"/>
              </w:rPr>
              <w:t>平台</w:t>
            </w:r>
            <w:r>
              <w:rPr>
                <w:rFonts w:ascii="宋体" w:hAnsi="宋体" w:eastAsia="宋体"/>
                <w:kern w:val="0"/>
                <w:sz w:val="24"/>
                <w:szCs w:val="24"/>
              </w:rPr>
              <w:t>迁移方案</w:t>
            </w:r>
            <w:r>
              <w:rPr>
                <w:rFonts w:hint="eastAsia" w:ascii="宋体" w:hAnsi="宋体" w:eastAsia="宋体"/>
                <w:kern w:val="0"/>
                <w:sz w:val="24"/>
                <w:szCs w:val="24"/>
              </w:rPr>
              <w:t>。学校负责目标迁移环境操作系统、</w:t>
            </w:r>
            <w:r>
              <w:rPr>
                <w:rFonts w:ascii="宋体" w:hAnsi="宋体" w:eastAsia="宋体"/>
                <w:kern w:val="0"/>
                <w:sz w:val="24"/>
                <w:szCs w:val="24"/>
              </w:rPr>
              <w:t>虚拟机</w:t>
            </w:r>
            <w:r>
              <w:rPr>
                <w:rFonts w:hint="eastAsia" w:ascii="宋体" w:hAnsi="宋体" w:eastAsia="宋体"/>
                <w:kern w:val="0"/>
                <w:sz w:val="24"/>
                <w:szCs w:val="24"/>
              </w:rPr>
              <w:t>、</w:t>
            </w:r>
            <w:r>
              <w:rPr>
                <w:rFonts w:ascii="宋体" w:hAnsi="宋体" w:eastAsia="宋体"/>
                <w:kern w:val="0"/>
                <w:sz w:val="24"/>
                <w:szCs w:val="24"/>
              </w:rPr>
              <w:t>网络</w:t>
            </w:r>
            <w:r>
              <w:rPr>
                <w:rFonts w:hint="eastAsia" w:ascii="宋体" w:hAnsi="宋体" w:eastAsia="宋体"/>
                <w:kern w:val="0"/>
                <w:sz w:val="24"/>
                <w:szCs w:val="24"/>
              </w:rPr>
              <w:t>、</w:t>
            </w:r>
            <w:r>
              <w:rPr>
                <w:rFonts w:ascii="宋体" w:hAnsi="宋体" w:eastAsia="宋体"/>
                <w:kern w:val="0"/>
                <w:sz w:val="24"/>
                <w:szCs w:val="24"/>
              </w:rPr>
              <w:t>存储</w:t>
            </w:r>
            <w:r>
              <w:rPr>
                <w:rFonts w:hint="eastAsia" w:ascii="宋体" w:hAnsi="宋体" w:eastAsia="宋体"/>
                <w:kern w:val="0"/>
                <w:sz w:val="24"/>
                <w:szCs w:val="24"/>
              </w:rPr>
              <w:t>等的</w:t>
            </w:r>
            <w:r>
              <w:rPr>
                <w:rFonts w:ascii="宋体" w:hAnsi="宋体" w:eastAsia="宋体"/>
                <w:kern w:val="0"/>
                <w:sz w:val="24"/>
                <w:szCs w:val="24"/>
              </w:rPr>
              <w:t>搭建，满足平台安装部署要求后</w:t>
            </w:r>
            <w:r>
              <w:rPr>
                <w:rFonts w:hint="eastAsia" w:ascii="宋体" w:hAnsi="宋体" w:eastAsia="宋体"/>
                <w:kern w:val="0"/>
                <w:sz w:val="24"/>
                <w:szCs w:val="24"/>
              </w:rPr>
              <w:t>，供应商实施平台</w:t>
            </w:r>
            <w:r>
              <w:rPr>
                <w:rFonts w:ascii="宋体" w:hAnsi="宋体" w:eastAsia="宋体"/>
                <w:kern w:val="0"/>
                <w:sz w:val="24"/>
                <w:szCs w:val="24"/>
              </w:rPr>
              <w:t>迁移</w:t>
            </w:r>
            <w:r>
              <w:rPr>
                <w:rFonts w:hint="eastAsia" w:ascii="宋体" w:hAnsi="宋体" w:eastAsia="宋体"/>
                <w:kern w:val="0"/>
                <w:sz w:val="24"/>
                <w:szCs w:val="24"/>
              </w:rPr>
              <w:t>及测试</w:t>
            </w:r>
            <w:r>
              <w:rPr>
                <w:rFonts w:ascii="宋体" w:hAnsi="宋体" w:eastAsia="宋体"/>
                <w:kern w:val="0"/>
                <w:sz w:val="24"/>
                <w:szCs w:val="24"/>
              </w:rPr>
              <w:t>。</w:t>
            </w:r>
          </w:p>
          <w:p w14:paraId="12767DC6">
            <w:pPr>
              <w:spacing w:line="312" w:lineRule="auto"/>
              <w:rPr>
                <w:rFonts w:hint="eastAsia" w:ascii="宋体" w:hAnsi="宋体" w:eastAsia="宋体"/>
                <w:kern w:val="0"/>
                <w:sz w:val="24"/>
                <w:szCs w:val="24"/>
              </w:rPr>
            </w:pPr>
            <w:r>
              <w:rPr>
                <w:rFonts w:hint="eastAsia" w:ascii="宋体" w:hAnsi="宋体" w:eastAsia="宋体"/>
                <w:kern w:val="0"/>
                <w:sz w:val="24"/>
                <w:szCs w:val="24"/>
              </w:rPr>
              <w:t>3.若学校有平台迁移需求，供应商每年提供1次平台迁移服务。</w:t>
            </w:r>
          </w:p>
        </w:tc>
      </w:tr>
      <w:tr w14:paraId="11E8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1F9AC260">
            <w:pPr>
              <w:pStyle w:val="16"/>
              <w:numPr>
                <w:ilvl w:val="0"/>
                <w:numId w:val="5"/>
              </w:numPr>
              <w:spacing w:line="312" w:lineRule="auto"/>
              <w:ind w:firstLineChars="0"/>
              <w:jc w:val="center"/>
              <w:rPr>
                <w:rFonts w:hint="eastAsia" w:ascii="宋体" w:hAnsi="宋体" w:eastAsia="宋体"/>
                <w:kern w:val="0"/>
                <w:sz w:val="24"/>
                <w:szCs w:val="24"/>
              </w:rPr>
            </w:pPr>
          </w:p>
        </w:tc>
        <w:tc>
          <w:tcPr>
            <w:tcW w:w="1701" w:type="dxa"/>
            <w:vAlign w:val="center"/>
          </w:tcPr>
          <w:p w14:paraId="0F1F9154">
            <w:pPr>
              <w:spacing w:line="312" w:lineRule="auto"/>
              <w:jc w:val="center"/>
              <w:rPr>
                <w:rFonts w:hint="eastAsia" w:ascii="宋体" w:hAnsi="宋体" w:eastAsia="宋体"/>
                <w:kern w:val="0"/>
                <w:sz w:val="24"/>
                <w:szCs w:val="24"/>
              </w:rPr>
            </w:pPr>
            <w:r>
              <w:rPr>
                <w:rFonts w:hint="eastAsia" w:ascii="宋体" w:hAnsi="宋体" w:eastAsia="宋体"/>
                <w:kern w:val="0"/>
                <w:sz w:val="24"/>
                <w:szCs w:val="24"/>
              </w:rPr>
              <w:t>数据恢复服务</w:t>
            </w:r>
          </w:p>
        </w:tc>
        <w:tc>
          <w:tcPr>
            <w:tcW w:w="6237" w:type="dxa"/>
          </w:tcPr>
          <w:p w14:paraId="4916FCB0">
            <w:pPr>
              <w:spacing w:line="312" w:lineRule="auto"/>
              <w:rPr>
                <w:rFonts w:hint="eastAsia" w:ascii="宋体" w:hAnsi="宋体" w:eastAsia="宋体"/>
                <w:kern w:val="0"/>
                <w:sz w:val="24"/>
                <w:szCs w:val="24"/>
              </w:rPr>
            </w:pPr>
            <w:r>
              <w:rPr>
                <w:rFonts w:hint="eastAsia" w:ascii="宋体" w:hAnsi="宋体" w:eastAsia="宋体"/>
                <w:kern w:val="0"/>
                <w:sz w:val="24"/>
                <w:szCs w:val="24"/>
              </w:rPr>
              <w:t>若学校遇到用户误操作造成数据丢失或损坏等紧急情况，供应商每年提供2次数据恢复服务，最大限度地减少数据丢失给学校造成的影响。</w:t>
            </w:r>
          </w:p>
        </w:tc>
      </w:tr>
    </w:tbl>
    <w:p w14:paraId="4417567D">
      <w:pPr>
        <w:pStyle w:val="16"/>
        <w:numPr>
          <w:ilvl w:val="0"/>
          <w:numId w:val="3"/>
        </w:numPr>
        <w:spacing w:line="360" w:lineRule="auto"/>
        <w:ind w:firstLineChars="0"/>
        <w:outlineLvl w:val="2"/>
        <w:rPr>
          <w:rFonts w:hint="eastAsia" w:ascii="仿宋" w:hAnsi="仿宋" w:eastAsia="仿宋" w:cs="楷体"/>
          <w:b/>
          <w:bCs/>
          <w:sz w:val="32"/>
          <w:szCs w:val="32"/>
        </w:rPr>
      </w:pPr>
      <w:r>
        <w:rPr>
          <w:rFonts w:hint="eastAsia" w:ascii="仿宋" w:hAnsi="仿宋" w:eastAsia="仿宋" w:cs="楷体"/>
          <w:b/>
          <w:bCs/>
          <w:sz w:val="32"/>
          <w:szCs w:val="32"/>
        </w:rPr>
        <w:t>产品增值服务</w:t>
      </w:r>
    </w:p>
    <w:tbl>
      <w:tblPr>
        <w:tblStyle w:val="1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701"/>
        <w:gridCol w:w="6237"/>
      </w:tblGrid>
      <w:tr w14:paraId="28717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4E5DD56C">
            <w:pPr>
              <w:spacing w:line="312" w:lineRule="auto"/>
              <w:jc w:val="center"/>
              <w:rPr>
                <w:rFonts w:hint="eastAsia" w:ascii="宋体" w:hAnsi="宋体" w:eastAsia="宋体"/>
                <w:kern w:val="0"/>
                <w:sz w:val="24"/>
                <w:szCs w:val="24"/>
              </w:rPr>
            </w:pPr>
            <w:r>
              <w:rPr>
                <w:rFonts w:hint="eastAsia" w:ascii="宋体" w:hAnsi="宋体" w:eastAsia="宋体"/>
                <w:kern w:val="0"/>
                <w:sz w:val="24"/>
                <w:szCs w:val="24"/>
              </w:rPr>
              <w:t>序号</w:t>
            </w:r>
          </w:p>
        </w:tc>
        <w:tc>
          <w:tcPr>
            <w:tcW w:w="1701" w:type="dxa"/>
          </w:tcPr>
          <w:p w14:paraId="00D16C2D">
            <w:pPr>
              <w:spacing w:line="312" w:lineRule="auto"/>
              <w:jc w:val="center"/>
              <w:rPr>
                <w:rFonts w:hint="eastAsia" w:ascii="宋体" w:hAnsi="宋体" w:eastAsia="宋体"/>
                <w:kern w:val="0"/>
                <w:sz w:val="24"/>
                <w:szCs w:val="24"/>
              </w:rPr>
            </w:pPr>
            <w:r>
              <w:rPr>
                <w:rFonts w:hint="eastAsia" w:ascii="宋体" w:hAnsi="宋体" w:eastAsia="宋体"/>
                <w:kern w:val="0"/>
                <w:sz w:val="24"/>
                <w:szCs w:val="24"/>
              </w:rPr>
              <w:t>项目</w:t>
            </w:r>
          </w:p>
        </w:tc>
        <w:tc>
          <w:tcPr>
            <w:tcW w:w="6237" w:type="dxa"/>
          </w:tcPr>
          <w:p w14:paraId="7D2FA8F3">
            <w:pPr>
              <w:spacing w:line="312" w:lineRule="auto"/>
              <w:jc w:val="center"/>
              <w:rPr>
                <w:rFonts w:hint="eastAsia" w:ascii="宋体" w:hAnsi="宋体" w:eastAsia="宋体"/>
                <w:kern w:val="0"/>
                <w:sz w:val="24"/>
                <w:szCs w:val="24"/>
              </w:rPr>
            </w:pPr>
            <w:r>
              <w:rPr>
                <w:rFonts w:hint="eastAsia" w:ascii="宋体" w:hAnsi="宋体" w:eastAsia="宋体"/>
                <w:kern w:val="0"/>
                <w:sz w:val="24"/>
                <w:szCs w:val="24"/>
              </w:rPr>
              <w:t>技术（服务）要求</w:t>
            </w:r>
          </w:p>
        </w:tc>
      </w:tr>
      <w:tr w14:paraId="5873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324F744">
            <w:pPr>
              <w:pStyle w:val="16"/>
              <w:numPr>
                <w:ilvl w:val="0"/>
                <w:numId w:val="6"/>
              </w:numPr>
              <w:spacing w:line="312" w:lineRule="auto"/>
              <w:ind w:left="0" w:firstLine="0" w:firstLineChars="0"/>
              <w:jc w:val="center"/>
              <w:rPr>
                <w:rFonts w:hint="eastAsia" w:ascii="宋体" w:hAnsi="宋体" w:eastAsia="宋体"/>
                <w:kern w:val="0"/>
                <w:sz w:val="24"/>
                <w:szCs w:val="24"/>
              </w:rPr>
            </w:pPr>
          </w:p>
        </w:tc>
        <w:tc>
          <w:tcPr>
            <w:tcW w:w="1701" w:type="dxa"/>
            <w:vAlign w:val="center"/>
          </w:tcPr>
          <w:p w14:paraId="5C2EA77F">
            <w:pPr>
              <w:spacing w:line="312" w:lineRule="auto"/>
              <w:jc w:val="center"/>
              <w:rPr>
                <w:rFonts w:hint="eastAsia" w:ascii="宋体" w:hAnsi="宋体" w:eastAsia="宋体"/>
                <w:kern w:val="0"/>
                <w:sz w:val="24"/>
                <w:szCs w:val="24"/>
              </w:rPr>
            </w:pPr>
            <w:r>
              <w:rPr>
                <w:rFonts w:hint="eastAsia" w:ascii="宋体" w:hAnsi="宋体" w:eastAsia="宋体"/>
                <w:kern w:val="0"/>
                <w:sz w:val="24"/>
                <w:szCs w:val="24"/>
              </w:rPr>
              <w:t>手机短信服务</w:t>
            </w:r>
          </w:p>
        </w:tc>
        <w:tc>
          <w:tcPr>
            <w:tcW w:w="6237" w:type="dxa"/>
          </w:tcPr>
          <w:p w14:paraId="04DC8B08">
            <w:pPr>
              <w:spacing w:line="312" w:lineRule="auto"/>
              <w:rPr>
                <w:rFonts w:hint="eastAsia" w:ascii="宋体" w:hAnsi="宋体" w:eastAsia="宋体"/>
                <w:kern w:val="0"/>
                <w:sz w:val="24"/>
                <w:szCs w:val="24"/>
              </w:rPr>
            </w:pPr>
            <w:r>
              <w:rPr>
                <w:rFonts w:hint="eastAsia" w:ascii="宋体" w:hAnsi="宋体" w:eastAsia="宋体"/>
                <w:kern w:val="0"/>
                <w:sz w:val="24"/>
                <w:szCs w:val="24"/>
              </w:rPr>
              <w:t>1</w:t>
            </w:r>
            <w:r>
              <w:rPr>
                <w:rFonts w:ascii="宋体" w:hAnsi="宋体" w:eastAsia="宋体"/>
                <w:kern w:val="0"/>
                <w:sz w:val="24"/>
                <w:szCs w:val="24"/>
              </w:rPr>
              <w:t>.</w:t>
            </w:r>
            <w:r>
              <w:rPr>
                <w:rFonts w:hint="eastAsia" w:ascii="宋体" w:hAnsi="宋体" w:eastAsia="宋体"/>
                <w:kern w:val="0"/>
                <w:sz w:val="24"/>
                <w:szCs w:val="24"/>
              </w:rPr>
              <w:t>提供短信服务，支持根据业务触发规则自动发送短信。支持通过智慧校园平台相应功能模块手动发送手机短信，如节假日祝福、生日祝福，学校请假放行时短信通知班主任和家长等。支持手机短信验证码登录平台，平台发送验证码延迟不超过5s</w:t>
            </w:r>
            <w:bookmarkStart w:id="1" w:name="_Hlk196665042"/>
            <w:r>
              <w:rPr>
                <w:rFonts w:hint="eastAsia" w:ascii="宋体" w:hAnsi="宋体" w:eastAsia="宋体"/>
                <w:kern w:val="0"/>
                <w:sz w:val="24"/>
                <w:szCs w:val="24"/>
              </w:rPr>
              <w:t>（师生手机终端及网络问题引起的除外）</w:t>
            </w:r>
            <w:bookmarkEnd w:id="1"/>
            <w:r>
              <w:rPr>
                <w:rFonts w:hint="eastAsia" w:ascii="宋体" w:hAnsi="宋体" w:eastAsia="宋体"/>
                <w:kern w:val="0"/>
                <w:sz w:val="24"/>
                <w:szCs w:val="24"/>
              </w:rPr>
              <w:t>。</w:t>
            </w:r>
          </w:p>
          <w:p w14:paraId="1BCE67DB">
            <w:pPr>
              <w:spacing w:line="312" w:lineRule="auto"/>
              <w:rPr>
                <w:rFonts w:hint="eastAsia" w:ascii="宋体" w:hAnsi="宋体" w:eastAsia="宋体"/>
                <w:kern w:val="0"/>
                <w:sz w:val="24"/>
                <w:szCs w:val="24"/>
              </w:rPr>
            </w:pPr>
            <w:r>
              <w:rPr>
                <w:rFonts w:hint="eastAsia" w:ascii="宋体" w:hAnsi="宋体" w:eastAsia="宋体"/>
                <w:kern w:val="0"/>
                <w:sz w:val="24"/>
                <w:szCs w:val="24"/>
              </w:rPr>
              <w:t>2</w:t>
            </w:r>
            <w:r>
              <w:rPr>
                <w:rFonts w:ascii="宋体" w:hAnsi="宋体" w:eastAsia="宋体"/>
                <w:kern w:val="0"/>
                <w:sz w:val="24"/>
                <w:szCs w:val="24"/>
              </w:rPr>
              <w:t>.</w:t>
            </w:r>
            <w:r>
              <w:rPr>
                <w:rFonts w:hint="eastAsia" w:ascii="宋体" w:hAnsi="宋体" w:eastAsia="宋体"/>
                <w:kern w:val="0"/>
                <w:sz w:val="24"/>
                <w:szCs w:val="24"/>
              </w:rPr>
              <w:t>若学校正常使用短信服务功能，供应商每年提供不少于5</w:t>
            </w:r>
            <w:r>
              <w:rPr>
                <w:rFonts w:ascii="宋体" w:hAnsi="宋体" w:eastAsia="宋体"/>
                <w:kern w:val="0"/>
                <w:sz w:val="24"/>
                <w:szCs w:val="24"/>
              </w:rPr>
              <w:t>000</w:t>
            </w:r>
            <w:r>
              <w:rPr>
                <w:rFonts w:hint="eastAsia" w:ascii="宋体" w:hAnsi="宋体" w:eastAsia="宋体"/>
                <w:kern w:val="0"/>
                <w:sz w:val="24"/>
                <w:szCs w:val="24"/>
              </w:rPr>
              <w:t>条手机短信。</w:t>
            </w:r>
          </w:p>
        </w:tc>
      </w:tr>
      <w:tr w14:paraId="72335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516ED662">
            <w:pPr>
              <w:pStyle w:val="16"/>
              <w:numPr>
                <w:ilvl w:val="0"/>
                <w:numId w:val="6"/>
              </w:numPr>
              <w:spacing w:line="312" w:lineRule="auto"/>
              <w:ind w:firstLineChars="0"/>
              <w:jc w:val="center"/>
              <w:rPr>
                <w:rFonts w:hint="eastAsia" w:ascii="宋体" w:hAnsi="宋体" w:eastAsia="宋体"/>
                <w:kern w:val="0"/>
                <w:sz w:val="24"/>
                <w:szCs w:val="24"/>
              </w:rPr>
            </w:pPr>
          </w:p>
        </w:tc>
        <w:tc>
          <w:tcPr>
            <w:tcW w:w="1701" w:type="dxa"/>
            <w:vAlign w:val="center"/>
          </w:tcPr>
          <w:p w14:paraId="24236138">
            <w:pPr>
              <w:spacing w:line="312" w:lineRule="auto"/>
              <w:jc w:val="center"/>
              <w:rPr>
                <w:rFonts w:hint="eastAsia" w:ascii="宋体" w:hAnsi="宋体" w:eastAsia="宋体"/>
                <w:kern w:val="0"/>
                <w:sz w:val="24"/>
                <w:szCs w:val="24"/>
              </w:rPr>
            </w:pPr>
            <w:r>
              <w:rPr>
                <w:rFonts w:hint="eastAsia" w:ascii="宋体" w:hAnsi="宋体" w:eastAsia="宋体"/>
                <w:kern w:val="0"/>
                <w:sz w:val="24"/>
                <w:szCs w:val="24"/>
              </w:rPr>
              <w:t>人脸识别服务</w:t>
            </w:r>
          </w:p>
        </w:tc>
        <w:tc>
          <w:tcPr>
            <w:tcW w:w="6237" w:type="dxa"/>
          </w:tcPr>
          <w:p w14:paraId="570BA08B">
            <w:pPr>
              <w:spacing w:line="312" w:lineRule="auto"/>
              <w:rPr>
                <w:rFonts w:hint="eastAsia" w:ascii="宋体" w:hAnsi="宋体" w:eastAsia="宋体"/>
                <w:kern w:val="0"/>
                <w:sz w:val="24"/>
                <w:szCs w:val="24"/>
              </w:rPr>
            </w:pPr>
            <w:r>
              <w:rPr>
                <w:rFonts w:hint="eastAsia" w:ascii="宋体" w:hAnsi="宋体" w:eastAsia="宋体"/>
                <w:kern w:val="0"/>
                <w:sz w:val="24"/>
                <w:szCs w:val="24"/>
              </w:rPr>
              <w:t>1</w:t>
            </w:r>
            <w:r>
              <w:rPr>
                <w:rFonts w:ascii="宋体" w:hAnsi="宋体" w:eastAsia="宋体"/>
                <w:kern w:val="0"/>
                <w:sz w:val="24"/>
                <w:szCs w:val="24"/>
              </w:rPr>
              <w:t>.</w:t>
            </w:r>
            <w:r>
              <w:rPr>
                <w:rFonts w:hint="eastAsia" w:ascii="宋体" w:hAnsi="宋体" w:eastAsia="宋体"/>
                <w:kern w:val="0"/>
                <w:sz w:val="24"/>
                <w:szCs w:val="24"/>
              </w:rPr>
              <w:t>学校在使用智慧校园平台的</w:t>
            </w:r>
            <w:r>
              <w:rPr>
                <w:rFonts w:ascii="宋体" w:hAnsi="宋体" w:eastAsia="宋体"/>
                <w:kern w:val="0"/>
                <w:sz w:val="24"/>
                <w:szCs w:val="24"/>
              </w:rPr>
              <w:t>GPS打卡考勤、学生请假等功能</w:t>
            </w:r>
            <w:r>
              <w:rPr>
                <w:rFonts w:hint="eastAsia" w:ascii="宋体" w:hAnsi="宋体" w:eastAsia="宋体"/>
                <w:kern w:val="0"/>
                <w:sz w:val="24"/>
                <w:szCs w:val="24"/>
              </w:rPr>
              <w:t>时，可使用人脸识别服务进行身份验证。</w:t>
            </w:r>
          </w:p>
          <w:p w14:paraId="6620DB93">
            <w:pPr>
              <w:spacing w:line="312" w:lineRule="auto"/>
              <w:rPr>
                <w:rFonts w:hint="eastAsia" w:ascii="宋体" w:hAnsi="宋体" w:eastAsia="宋体"/>
                <w:kern w:val="0"/>
                <w:sz w:val="24"/>
                <w:szCs w:val="24"/>
              </w:rPr>
            </w:pPr>
            <w:r>
              <w:rPr>
                <w:rFonts w:ascii="宋体" w:hAnsi="宋体" w:eastAsia="宋体"/>
                <w:kern w:val="0"/>
                <w:sz w:val="24"/>
                <w:szCs w:val="24"/>
              </w:rPr>
              <w:t>人脸底库采集及管理由学校在平台中自行完成，采集方式支持师生自行采集上报，管理人员审核</w:t>
            </w:r>
            <w:r>
              <w:rPr>
                <w:rFonts w:hint="eastAsia" w:ascii="宋体" w:hAnsi="宋体" w:eastAsia="宋体"/>
                <w:kern w:val="0"/>
                <w:sz w:val="24"/>
                <w:szCs w:val="24"/>
              </w:rPr>
              <w:t>；</w:t>
            </w:r>
            <w:r>
              <w:rPr>
                <w:rFonts w:ascii="宋体" w:hAnsi="宋体" w:eastAsia="宋体"/>
                <w:kern w:val="0"/>
                <w:sz w:val="24"/>
                <w:szCs w:val="24"/>
              </w:rPr>
              <w:t>也支持通过专用工具实现快速统一采集</w:t>
            </w:r>
            <w:r>
              <w:rPr>
                <w:rFonts w:hint="eastAsia" w:ascii="宋体" w:hAnsi="宋体" w:eastAsia="宋体"/>
                <w:kern w:val="0"/>
                <w:sz w:val="24"/>
                <w:szCs w:val="24"/>
              </w:rPr>
              <w:t>。</w:t>
            </w:r>
            <w:r>
              <w:rPr>
                <w:rFonts w:ascii="宋体" w:hAnsi="宋体" w:eastAsia="宋体"/>
                <w:kern w:val="0"/>
                <w:sz w:val="24"/>
                <w:szCs w:val="24"/>
              </w:rPr>
              <w:t>供应商需负责学校人脸底库的安全管理。</w:t>
            </w:r>
          </w:p>
          <w:p w14:paraId="7C555F3B">
            <w:pPr>
              <w:spacing w:line="312" w:lineRule="auto"/>
              <w:rPr>
                <w:rFonts w:hint="eastAsia" w:ascii="宋体" w:hAnsi="宋体" w:eastAsia="宋体"/>
                <w:kern w:val="0"/>
                <w:sz w:val="24"/>
                <w:szCs w:val="24"/>
              </w:rPr>
            </w:pPr>
            <w:r>
              <w:rPr>
                <w:rFonts w:hint="eastAsia" w:ascii="宋体" w:hAnsi="宋体" w:eastAsia="宋体"/>
                <w:kern w:val="0"/>
                <w:sz w:val="24"/>
                <w:szCs w:val="24"/>
              </w:rPr>
              <w:t>2</w:t>
            </w:r>
            <w:r>
              <w:rPr>
                <w:rFonts w:ascii="宋体" w:hAnsi="宋体" w:eastAsia="宋体"/>
                <w:kern w:val="0"/>
                <w:sz w:val="24"/>
                <w:szCs w:val="24"/>
              </w:rPr>
              <w:t>.</w:t>
            </w:r>
            <w:r>
              <w:rPr>
                <w:rFonts w:hint="eastAsia" w:ascii="宋体" w:hAnsi="宋体" w:eastAsia="宋体"/>
                <w:kern w:val="0"/>
                <w:sz w:val="24"/>
                <w:szCs w:val="24"/>
              </w:rPr>
              <w:t>若学校正常使用人脸识别服务功能，供应商应每年提供人脸识别服务不少于</w:t>
            </w:r>
            <w:r>
              <w:rPr>
                <w:rFonts w:ascii="宋体" w:hAnsi="宋体" w:eastAsia="宋体"/>
                <w:kern w:val="0"/>
                <w:sz w:val="24"/>
                <w:szCs w:val="24"/>
              </w:rPr>
              <w:t>10万次</w:t>
            </w:r>
            <w:r>
              <w:rPr>
                <w:rFonts w:hint="eastAsia" w:ascii="宋体" w:hAnsi="宋体" w:eastAsia="宋体"/>
                <w:kern w:val="0"/>
                <w:sz w:val="24"/>
                <w:szCs w:val="24"/>
              </w:rPr>
              <w:t>。</w:t>
            </w:r>
          </w:p>
        </w:tc>
      </w:tr>
      <w:tr w14:paraId="5C7A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75CAEA2">
            <w:pPr>
              <w:pStyle w:val="16"/>
              <w:numPr>
                <w:ilvl w:val="0"/>
                <w:numId w:val="6"/>
              </w:numPr>
              <w:spacing w:line="312" w:lineRule="auto"/>
              <w:ind w:firstLineChars="0"/>
              <w:jc w:val="center"/>
              <w:rPr>
                <w:rFonts w:hint="eastAsia" w:ascii="宋体" w:hAnsi="宋体" w:eastAsia="宋体"/>
                <w:kern w:val="0"/>
                <w:sz w:val="24"/>
                <w:szCs w:val="24"/>
              </w:rPr>
            </w:pPr>
          </w:p>
        </w:tc>
        <w:tc>
          <w:tcPr>
            <w:tcW w:w="1701" w:type="dxa"/>
            <w:vAlign w:val="center"/>
          </w:tcPr>
          <w:p w14:paraId="79A45FD4">
            <w:pPr>
              <w:spacing w:line="312" w:lineRule="auto"/>
              <w:jc w:val="center"/>
              <w:rPr>
                <w:rFonts w:hint="eastAsia" w:ascii="宋体" w:hAnsi="宋体" w:eastAsia="宋体"/>
                <w:kern w:val="0"/>
                <w:sz w:val="24"/>
                <w:szCs w:val="24"/>
              </w:rPr>
            </w:pPr>
            <w:r>
              <w:rPr>
                <w:rFonts w:hint="eastAsia" w:ascii="宋体" w:hAnsi="宋体" w:eastAsia="宋体"/>
                <w:kern w:val="0"/>
                <w:sz w:val="24"/>
                <w:szCs w:val="24"/>
              </w:rPr>
              <w:t>软件版本升级</w:t>
            </w:r>
          </w:p>
        </w:tc>
        <w:tc>
          <w:tcPr>
            <w:tcW w:w="6237" w:type="dxa"/>
          </w:tcPr>
          <w:p w14:paraId="766411F8">
            <w:pPr>
              <w:spacing w:line="312" w:lineRule="auto"/>
              <w:rPr>
                <w:rFonts w:hint="eastAsia" w:ascii="宋体" w:hAnsi="宋体" w:eastAsia="宋体"/>
                <w:kern w:val="0"/>
                <w:sz w:val="24"/>
                <w:szCs w:val="24"/>
              </w:rPr>
            </w:pPr>
            <w:r>
              <w:rPr>
                <w:rFonts w:hint="eastAsia" w:ascii="宋体" w:hAnsi="宋体" w:eastAsia="宋体"/>
                <w:kern w:val="0"/>
                <w:sz w:val="24"/>
                <w:szCs w:val="24"/>
              </w:rPr>
              <w:t>1</w:t>
            </w:r>
            <w:r>
              <w:rPr>
                <w:rFonts w:ascii="宋体" w:hAnsi="宋体" w:eastAsia="宋体"/>
                <w:kern w:val="0"/>
                <w:sz w:val="24"/>
                <w:szCs w:val="24"/>
              </w:rPr>
              <w:t>.</w:t>
            </w:r>
            <w:r>
              <w:rPr>
                <w:rFonts w:hint="eastAsia" w:ascii="宋体" w:hAnsi="宋体" w:eastAsia="宋体"/>
                <w:kern w:val="0"/>
                <w:sz w:val="24"/>
                <w:szCs w:val="24"/>
              </w:rPr>
              <w:t>针对学校当前软硬件基础设施、智慧校园平台运行和使用情况，给出当前平台最新版本优化升级建议。若经评估满足平台升级部署的条件，供应商应对学校平台进行优化升级。</w:t>
            </w:r>
          </w:p>
          <w:p w14:paraId="31FD4632">
            <w:pPr>
              <w:spacing w:line="312" w:lineRule="auto"/>
              <w:rPr>
                <w:rFonts w:hint="eastAsia" w:ascii="宋体" w:hAnsi="宋体" w:eastAsia="宋体"/>
                <w:kern w:val="0"/>
                <w:sz w:val="24"/>
                <w:szCs w:val="24"/>
              </w:rPr>
            </w:pPr>
            <w:r>
              <w:rPr>
                <w:rFonts w:hint="eastAsia" w:ascii="宋体" w:hAnsi="宋体" w:eastAsia="宋体"/>
                <w:kern w:val="0"/>
                <w:sz w:val="24"/>
                <w:szCs w:val="24"/>
              </w:rPr>
              <w:t>2</w:t>
            </w:r>
            <w:r>
              <w:rPr>
                <w:rFonts w:ascii="宋体" w:hAnsi="宋体" w:eastAsia="宋体"/>
                <w:kern w:val="0"/>
                <w:sz w:val="24"/>
                <w:szCs w:val="24"/>
              </w:rPr>
              <w:t>.</w:t>
            </w:r>
            <w:r>
              <w:rPr>
                <w:rFonts w:hint="eastAsia" w:ascii="宋体" w:hAnsi="宋体" w:eastAsia="宋体"/>
                <w:kern w:val="0"/>
                <w:sz w:val="24"/>
                <w:szCs w:val="24"/>
              </w:rPr>
              <w:t>供应商需承诺为学校提供持续的平台升级服务，学校使用的同一主版本免费升级。</w:t>
            </w:r>
          </w:p>
        </w:tc>
      </w:tr>
      <w:tr w14:paraId="706D9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6C5E6DCB">
            <w:pPr>
              <w:pStyle w:val="16"/>
              <w:numPr>
                <w:ilvl w:val="0"/>
                <w:numId w:val="6"/>
              </w:numPr>
              <w:spacing w:line="312" w:lineRule="auto"/>
              <w:ind w:firstLineChars="0"/>
              <w:jc w:val="center"/>
              <w:rPr>
                <w:rFonts w:hint="eastAsia" w:ascii="宋体" w:hAnsi="宋体" w:eastAsia="宋体"/>
                <w:kern w:val="0"/>
                <w:sz w:val="24"/>
                <w:szCs w:val="24"/>
              </w:rPr>
            </w:pPr>
          </w:p>
        </w:tc>
        <w:tc>
          <w:tcPr>
            <w:tcW w:w="1701" w:type="dxa"/>
            <w:vAlign w:val="center"/>
          </w:tcPr>
          <w:p w14:paraId="7DA6EF37">
            <w:pPr>
              <w:spacing w:line="312" w:lineRule="auto"/>
              <w:jc w:val="center"/>
              <w:rPr>
                <w:rFonts w:hint="eastAsia" w:ascii="宋体" w:hAnsi="宋体" w:eastAsia="宋体"/>
                <w:kern w:val="0"/>
                <w:sz w:val="24"/>
                <w:szCs w:val="24"/>
              </w:rPr>
            </w:pPr>
            <w:r>
              <w:rPr>
                <w:rFonts w:hint="eastAsia" w:ascii="宋体" w:hAnsi="宋体" w:eastAsia="宋体"/>
                <w:kern w:val="0"/>
                <w:sz w:val="24"/>
                <w:szCs w:val="24"/>
              </w:rPr>
              <w:t>平台运行及使用报告服务</w:t>
            </w:r>
          </w:p>
        </w:tc>
        <w:tc>
          <w:tcPr>
            <w:tcW w:w="6237" w:type="dxa"/>
          </w:tcPr>
          <w:p w14:paraId="08341588">
            <w:pPr>
              <w:spacing w:line="312" w:lineRule="auto"/>
              <w:rPr>
                <w:rFonts w:hint="eastAsia" w:ascii="宋体" w:hAnsi="宋体" w:eastAsia="宋体"/>
                <w:kern w:val="0"/>
                <w:sz w:val="24"/>
                <w:szCs w:val="24"/>
              </w:rPr>
            </w:pPr>
            <w:r>
              <w:rPr>
                <w:rFonts w:hint="eastAsia" w:ascii="宋体" w:hAnsi="宋体" w:eastAsia="宋体"/>
                <w:kern w:val="0"/>
                <w:sz w:val="24"/>
                <w:szCs w:val="24"/>
              </w:rPr>
              <w:t>1</w:t>
            </w:r>
            <w:r>
              <w:rPr>
                <w:rFonts w:ascii="宋体" w:hAnsi="宋体" w:eastAsia="宋体"/>
                <w:kern w:val="0"/>
                <w:sz w:val="24"/>
                <w:szCs w:val="24"/>
              </w:rPr>
              <w:t>.</w:t>
            </w:r>
            <w:r>
              <w:rPr>
                <w:rFonts w:hint="eastAsia" w:ascii="宋体" w:hAnsi="宋体" w:eastAsia="宋体"/>
                <w:kern w:val="0"/>
                <w:sz w:val="24"/>
                <w:szCs w:val="24"/>
              </w:rPr>
              <w:t>通过规范的信息化手段实时监控学校智慧校园平台的运行状态，对智慧校园平台运行状态进行检查和分析，及时发现故障。</w:t>
            </w:r>
          </w:p>
          <w:p w14:paraId="66EBF708">
            <w:pPr>
              <w:spacing w:line="312" w:lineRule="auto"/>
              <w:rPr>
                <w:rFonts w:hint="eastAsia" w:ascii="宋体" w:hAnsi="宋体" w:eastAsia="宋体"/>
                <w:kern w:val="0"/>
                <w:sz w:val="24"/>
                <w:szCs w:val="24"/>
              </w:rPr>
            </w:pPr>
            <w:r>
              <w:rPr>
                <w:rFonts w:hint="eastAsia" w:ascii="宋体" w:hAnsi="宋体" w:eastAsia="宋体"/>
                <w:kern w:val="0"/>
                <w:sz w:val="24"/>
                <w:szCs w:val="24"/>
              </w:rPr>
              <w:t>2</w:t>
            </w:r>
            <w:r>
              <w:rPr>
                <w:rFonts w:ascii="宋体" w:hAnsi="宋体" w:eastAsia="宋体"/>
                <w:kern w:val="0"/>
                <w:sz w:val="24"/>
                <w:szCs w:val="24"/>
              </w:rPr>
              <w:t>.</w:t>
            </w:r>
            <w:r>
              <w:rPr>
                <w:rFonts w:hint="eastAsia" w:ascii="宋体" w:hAnsi="宋体" w:eastAsia="宋体"/>
                <w:kern w:val="0"/>
                <w:sz w:val="24"/>
                <w:szCs w:val="24"/>
              </w:rPr>
              <w:t>提供平台运行状况和使用情况的定期报告，涵盖运维和应用（性能指标、系统负载、系统容量）。</w:t>
            </w:r>
          </w:p>
          <w:p w14:paraId="512AC252">
            <w:pPr>
              <w:spacing w:line="312" w:lineRule="auto"/>
              <w:rPr>
                <w:rFonts w:hint="eastAsia" w:ascii="宋体" w:hAnsi="宋体" w:eastAsia="宋体"/>
                <w:kern w:val="0"/>
                <w:sz w:val="24"/>
                <w:szCs w:val="24"/>
              </w:rPr>
            </w:pPr>
            <w:r>
              <w:rPr>
                <w:rFonts w:hint="eastAsia" w:ascii="宋体" w:hAnsi="宋体" w:eastAsia="宋体"/>
                <w:kern w:val="0"/>
                <w:sz w:val="24"/>
                <w:szCs w:val="24"/>
              </w:rPr>
              <w:t>3</w:t>
            </w:r>
            <w:r>
              <w:rPr>
                <w:rFonts w:ascii="宋体" w:hAnsi="宋体" w:eastAsia="宋体"/>
                <w:kern w:val="0"/>
                <w:sz w:val="24"/>
                <w:szCs w:val="24"/>
              </w:rPr>
              <w:t>.</w:t>
            </w:r>
            <w:r>
              <w:rPr>
                <w:rFonts w:hint="eastAsia" w:ascii="宋体" w:hAnsi="宋体" w:eastAsia="宋体"/>
                <w:kern w:val="0"/>
                <w:sz w:val="24"/>
                <w:szCs w:val="24"/>
              </w:rPr>
              <w:t>若学校需要供应商提供相关报告，供应商可每学期向学校提供1次平台运行及使用报告。</w:t>
            </w:r>
          </w:p>
        </w:tc>
      </w:tr>
    </w:tbl>
    <w:p w14:paraId="6BE5A0AF">
      <w:pPr>
        <w:pStyle w:val="16"/>
        <w:numPr>
          <w:ilvl w:val="0"/>
          <w:numId w:val="3"/>
        </w:numPr>
        <w:spacing w:line="360" w:lineRule="auto"/>
        <w:ind w:firstLineChars="0"/>
        <w:outlineLvl w:val="2"/>
        <w:rPr>
          <w:rFonts w:hint="eastAsia" w:ascii="仿宋" w:hAnsi="仿宋" w:eastAsia="仿宋" w:cs="楷体"/>
          <w:b/>
          <w:bCs/>
          <w:sz w:val="32"/>
          <w:szCs w:val="32"/>
        </w:rPr>
      </w:pPr>
      <w:r>
        <w:rPr>
          <w:rFonts w:hint="eastAsia" w:ascii="仿宋" w:hAnsi="仿宋" w:eastAsia="仿宋" w:cs="楷体"/>
          <w:b/>
          <w:bCs/>
          <w:sz w:val="32"/>
          <w:szCs w:val="32"/>
        </w:rPr>
        <w:t>咨询与技术支持服务</w:t>
      </w:r>
    </w:p>
    <w:tbl>
      <w:tblPr>
        <w:tblStyle w:val="1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701"/>
        <w:gridCol w:w="6237"/>
      </w:tblGrid>
      <w:tr w14:paraId="6FAC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35217724">
            <w:pPr>
              <w:spacing w:line="312" w:lineRule="auto"/>
              <w:jc w:val="center"/>
              <w:rPr>
                <w:rFonts w:hint="eastAsia" w:ascii="宋体" w:hAnsi="宋体" w:eastAsia="宋体"/>
                <w:kern w:val="0"/>
                <w:sz w:val="24"/>
                <w:szCs w:val="24"/>
              </w:rPr>
            </w:pPr>
            <w:r>
              <w:rPr>
                <w:rFonts w:hint="eastAsia" w:ascii="宋体" w:hAnsi="宋体" w:eastAsia="宋体"/>
                <w:kern w:val="0"/>
                <w:sz w:val="24"/>
                <w:szCs w:val="24"/>
              </w:rPr>
              <w:t>序号</w:t>
            </w:r>
          </w:p>
        </w:tc>
        <w:tc>
          <w:tcPr>
            <w:tcW w:w="1701" w:type="dxa"/>
          </w:tcPr>
          <w:p w14:paraId="5FE4690F">
            <w:pPr>
              <w:spacing w:line="312" w:lineRule="auto"/>
              <w:jc w:val="center"/>
              <w:rPr>
                <w:rFonts w:hint="eastAsia" w:ascii="宋体" w:hAnsi="宋体" w:eastAsia="宋体"/>
                <w:kern w:val="0"/>
                <w:sz w:val="24"/>
                <w:szCs w:val="24"/>
              </w:rPr>
            </w:pPr>
            <w:r>
              <w:rPr>
                <w:rFonts w:hint="eastAsia" w:ascii="宋体" w:hAnsi="宋体" w:eastAsia="宋体"/>
                <w:kern w:val="0"/>
                <w:sz w:val="24"/>
                <w:szCs w:val="24"/>
              </w:rPr>
              <w:t>项目</w:t>
            </w:r>
          </w:p>
        </w:tc>
        <w:tc>
          <w:tcPr>
            <w:tcW w:w="6237" w:type="dxa"/>
          </w:tcPr>
          <w:p w14:paraId="589F3B24">
            <w:pPr>
              <w:spacing w:line="312" w:lineRule="auto"/>
              <w:ind w:firstLine="420"/>
              <w:jc w:val="center"/>
              <w:rPr>
                <w:rFonts w:hint="eastAsia" w:ascii="宋体" w:hAnsi="宋体" w:eastAsia="宋体"/>
                <w:kern w:val="0"/>
                <w:sz w:val="24"/>
                <w:szCs w:val="24"/>
              </w:rPr>
            </w:pPr>
            <w:r>
              <w:rPr>
                <w:rFonts w:hint="eastAsia" w:ascii="宋体" w:hAnsi="宋体" w:eastAsia="宋体"/>
                <w:kern w:val="0"/>
                <w:sz w:val="24"/>
                <w:szCs w:val="24"/>
              </w:rPr>
              <w:t>技术（服务）要求</w:t>
            </w:r>
          </w:p>
        </w:tc>
      </w:tr>
      <w:tr w14:paraId="447EC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F81B791">
            <w:pPr>
              <w:pStyle w:val="16"/>
              <w:numPr>
                <w:ilvl w:val="0"/>
                <w:numId w:val="7"/>
              </w:numPr>
              <w:spacing w:line="312" w:lineRule="auto"/>
              <w:ind w:left="0" w:firstLine="0" w:firstLineChars="0"/>
              <w:jc w:val="center"/>
              <w:rPr>
                <w:rFonts w:hint="eastAsia" w:ascii="宋体" w:hAnsi="宋体" w:eastAsia="宋体"/>
                <w:kern w:val="0"/>
                <w:sz w:val="24"/>
                <w:szCs w:val="24"/>
              </w:rPr>
            </w:pPr>
          </w:p>
        </w:tc>
        <w:tc>
          <w:tcPr>
            <w:tcW w:w="1701" w:type="dxa"/>
            <w:vAlign w:val="center"/>
          </w:tcPr>
          <w:p w14:paraId="3E6C1A9B">
            <w:pPr>
              <w:spacing w:line="312" w:lineRule="auto"/>
              <w:jc w:val="center"/>
              <w:rPr>
                <w:rFonts w:hint="eastAsia" w:ascii="宋体" w:hAnsi="宋体" w:eastAsia="宋体"/>
                <w:kern w:val="0"/>
                <w:sz w:val="24"/>
                <w:szCs w:val="24"/>
              </w:rPr>
            </w:pPr>
            <w:r>
              <w:rPr>
                <w:rFonts w:hint="eastAsia" w:ascii="宋体" w:hAnsi="宋体" w:eastAsia="宋体"/>
                <w:kern w:val="0"/>
                <w:sz w:val="24"/>
                <w:szCs w:val="24"/>
              </w:rPr>
              <w:t>人工咨询服务</w:t>
            </w:r>
          </w:p>
        </w:tc>
        <w:tc>
          <w:tcPr>
            <w:tcW w:w="6237" w:type="dxa"/>
          </w:tcPr>
          <w:p w14:paraId="19CF65BD">
            <w:pPr>
              <w:spacing w:line="312" w:lineRule="auto"/>
              <w:rPr>
                <w:rFonts w:hint="eastAsia" w:ascii="宋体" w:hAnsi="宋体" w:eastAsia="宋体"/>
                <w:kern w:val="0"/>
                <w:sz w:val="24"/>
                <w:szCs w:val="24"/>
              </w:rPr>
            </w:pPr>
            <w:r>
              <w:rPr>
                <w:rFonts w:hint="eastAsia" w:ascii="宋体" w:hAnsi="宋体" w:eastAsia="宋体"/>
                <w:kern w:val="0"/>
                <w:sz w:val="24"/>
                <w:szCs w:val="24"/>
              </w:rPr>
              <w:t>提供人工咨询服务，通过智慧校园平台在线客服、客服热线电话、客户微信群等方式解答学校遇到的平台功能及使用等问题。</w:t>
            </w:r>
          </w:p>
        </w:tc>
      </w:tr>
      <w:tr w14:paraId="6472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DDAA1E7">
            <w:pPr>
              <w:pStyle w:val="16"/>
              <w:numPr>
                <w:ilvl w:val="0"/>
                <w:numId w:val="7"/>
              </w:numPr>
              <w:spacing w:line="312" w:lineRule="auto"/>
              <w:ind w:firstLineChars="0"/>
              <w:jc w:val="center"/>
              <w:rPr>
                <w:rFonts w:hint="eastAsia" w:ascii="宋体" w:hAnsi="宋体" w:eastAsia="宋体"/>
                <w:kern w:val="0"/>
                <w:sz w:val="24"/>
                <w:szCs w:val="24"/>
              </w:rPr>
            </w:pPr>
          </w:p>
        </w:tc>
        <w:tc>
          <w:tcPr>
            <w:tcW w:w="1701" w:type="dxa"/>
            <w:vAlign w:val="center"/>
          </w:tcPr>
          <w:p w14:paraId="0781E4BA">
            <w:pPr>
              <w:spacing w:line="312" w:lineRule="auto"/>
              <w:jc w:val="center"/>
              <w:rPr>
                <w:rFonts w:hint="eastAsia" w:ascii="宋体" w:hAnsi="宋体" w:eastAsia="宋体"/>
                <w:kern w:val="0"/>
                <w:sz w:val="24"/>
                <w:szCs w:val="24"/>
              </w:rPr>
            </w:pPr>
            <w:r>
              <w:rPr>
                <w:rFonts w:hint="eastAsia" w:ascii="宋体" w:hAnsi="宋体" w:eastAsia="宋体"/>
                <w:kern w:val="0"/>
                <w:sz w:val="24"/>
                <w:szCs w:val="24"/>
              </w:rPr>
              <w:t>技术支持</w:t>
            </w:r>
          </w:p>
        </w:tc>
        <w:tc>
          <w:tcPr>
            <w:tcW w:w="6237" w:type="dxa"/>
          </w:tcPr>
          <w:p w14:paraId="1D3063D4">
            <w:pPr>
              <w:spacing w:line="312" w:lineRule="auto"/>
              <w:rPr>
                <w:rFonts w:hint="eastAsia" w:ascii="宋体" w:hAnsi="宋体" w:eastAsia="宋体"/>
                <w:kern w:val="0"/>
                <w:sz w:val="24"/>
                <w:szCs w:val="24"/>
              </w:rPr>
            </w:pPr>
            <w:r>
              <w:rPr>
                <w:rFonts w:hint="eastAsia" w:ascii="宋体" w:hAnsi="宋体" w:eastAsia="宋体"/>
                <w:kern w:val="0"/>
                <w:sz w:val="24"/>
                <w:szCs w:val="24"/>
              </w:rPr>
              <w:t>通过企业微信、远程协助、语音等方式提供平台故障排除、性能优化、数据备份恢复和IT规划建议等技术支持服务。</w:t>
            </w:r>
          </w:p>
        </w:tc>
      </w:tr>
    </w:tbl>
    <w:p w14:paraId="65A16DA9">
      <w:pPr>
        <w:pStyle w:val="16"/>
        <w:numPr>
          <w:ilvl w:val="0"/>
          <w:numId w:val="1"/>
        </w:numPr>
        <w:spacing w:line="312" w:lineRule="auto"/>
        <w:ind w:firstLineChars="0"/>
        <w:outlineLvl w:val="0"/>
        <w:rPr>
          <w:rFonts w:hint="eastAsia" w:ascii="黑体" w:hAnsi="黑体" w:eastAsia="黑体" w:cs="黑体"/>
          <w:sz w:val="32"/>
          <w:szCs w:val="32"/>
        </w:rPr>
      </w:pPr>
      <w:r>
        <w:rPr>
          <w:rFonts w:hint="eastAsia" w:ascii="黑体" w:hAnsi="黑体" w:eastAsia="黑体" w:cs="黑体"/>
          <w:sz w:val="32"/>
          <w:szCs w:val="32"/>
        </w:rPr>
        <w:t>考核标准及付款方式</w:t>
      </w:r>
    </w:p>
    <w:p w14:paraId="22F27E4D">
      <w:pPr>
        <w:pStyle w:val="16"/>
        <w:numPr>
          <w:ilvl w:val="0"/>
          <w:numId w:val="8"/>
        </w:numPr>
        <w:spacing w:line="560" w:lineRule="exact"/>
        <w:ind w:firstLineChars="0"/>
        <w:outlineLvl w:val="1"/>
        <w:rPr>
          <w:rFonts w:hint="eastAsia" w:ascii="楷体" w:hAnsi="楷体" w:eastAsia="楷体" w:cs="楷体"/>
          <w:b/>
          <w:bCs/>
          <w:sz w:val="32"/>
          <w:szCs w:val="32"/>
        </w:rPr>
      </w:pPr>
      <w:r>
        <w:rPr>
          <w:rFonts w:hint="eastAsia" w:ascii="楷体" w:hAnsi="楷体" w:eastAsia="楷体" w:cs="楷体"/>
          <w:b/>
          <w:bCs/>
          <w:sz w:val="32"/>
          <w:szCs w:val="32"/>
        </w:rPr>
        <w:t>考核标准</w:t>
      </w:r>
    </w:p>
    <w:p w14:paraId="2A7781B8">
      <w:pPr>
        <w:pStyle w:val="16"/>
        <w:numPr>
          <w:ilvl w:val="0"/>
          <w:numId w:val="9"/>
        </w:numPr>
        <w:ind w:firstLineChars="0"/>
        <w:outlineLvl w:val="2"/>
        <w:rPr>
          <w:rFonts w:hint="eastAsia" w:ascii="仿宋" w:hAnsi="仿宋" w:eastAsia="仿宋"/>
          <w:b/>
          <w:bCs/>
          <w:sz w:val="32"/>
        </w:rPr>
      </w:pPr>
      <w:r>
        <w:rPr>
          <w:rFonts w:ascii="仿宋" w:hAnsi="仿宋" w:eastAsia="仿宋"/>
          <w:b/>
          <w:bCs/>
          <w:sz w:val="32"/>
        </w:rPr>
        <w:t>响应时效性考核</w:t>
      </w:r>
    </w:p>
    <w:p w14:paraId="45B83F0B">
      <w:pPr>
        <w:numPr>
          <w:ilvl w:val="0"/>
          <w:numId w:val="10"/>
        </w:numPr>
        <w:outlineLvl w:val="3"/>
        <w:rPr>
          <w:rFonts w:hint="eastAsia" w:ascii="仿宋" w:hAnsi="仿宋" w:eastAsia="仿宋"/>
          <w:sz w:val="32"/>
        </w:rPr>
      </w:pPr>
      <w:r>
        <w:rPr>
          <w:rFonts w:ascii="仿宋" w:hAnsi="仿宋" w:eastAsia="仿宋"/>
          <w:b/>
          <w:bCs/>
          <w:sz w:val="32"/>
        </w:rPr>
        <w:t>问题响应时间</w:t>
      </w:r>
    </w:p>
    <w:p w14:paraId="4857629C">
      <w:pPr>
        <w:ind w:firstLine="640" w:firstLineChars="200"/>
        <w:rPr>
          <w:rFonts w:hint="eastAsia" w:ascii="仿宋" w:hAnsi="仿宋" w:eastAsia="仿宋"/>
          <w:sz w:val="32"/>
        </w:rPr>
      </w:pPr>
      <w:r>
        <w:rPr>
          <w:rFonts w:ascii="仿宋" w:hAnsi="仿宋" w:eastAsia="仿宋"/>
          <w:sz w:val="32"/>
        </w:rPr>
        <w:t>供应商需在2小时内对学校提出的问题做出响应，并提供解决方案建议。</w:t>
      </w:r>
    </w:p>
    <w:p w14:paraId="473FE73A">
      <w:pPr>
        <w:numPr>
          <w:ilvl w:val="0"/>
          <w:numId w:val="11"/>
        </w:numPr>
        <w:outlineLvl w:val="3"/>
        <w:rPr>
          <w:rFonts w:hint="eastAsia" w:ascii="仿宋" w:hAnsi="仿宋" w:eastAsia="仿宋"/>
          <w:sz w:val="32"/>
        </w:rPr>
      </w:pPr>
      <w:r>
        <w:rPr>
          <w:rFonts w:ascii="仿宋" w:hAnsi="仿宋" w:eastAsia="仿宋"/>
          <w:b/>
          <w:bCs/>
          <w:sz w:val="32"/>
        </w:rPr>
        <w:t>紧急故障处理</w:t>
      </w:r>
    </w:p>
    <w:p w14:paraId="7996692B">
      <w:pPr>
        <w:tabs>
          <w:tab w:val="left" w:pos="1440"/>
        </w:tabs>
        <w:ind w:firstLine="640" w:firstLineChars="200"/>
        <w:rPr>
          <w:rFonts w:hint="eastAsia" w:ascii="仿宋" w:hAnsi="仿宋" w:eastAsia="仿宋"/>
          <w:sz w:val="32"/>
        </w:rPr>
      </w:pPr>
      <w:r>
        <w:rPr>
          <w:rFonts w:hint="eastAsia" w:ascii="仿宋" w:hAnsi="仿宋" w:eastAsia="仿宋"/>
          <w:sz w:val="32"/>
        </w:rPr>
        <w:t>软件自身功能问题，</w:t>
      </w:r>
      <w:r>
        <w:rPr>
          <w:rFonts w:ascii="仿宋" w:hAnsi="仿宋" w:eastAsia="仿宋"/>
          <w:sz w:val="32"/>
        </w:rPr>
        <w:t>提供7×24小时应急处理机制，</w:t>
      </w:r>
      <w:r>
        <w:rPr>
          <w:rFonts w:hint="eastAsia" w:ascii="仿宋" w:hAnsi="仿宋" w:eastAsia="仿宋"/>
          <w:sz w:val="32"/>
        </w:rPr>
        <w:t>若远程无法处理的</w:t>
      </w:r>
      <w:r>
        <w:rPr>
          <w:rFonts w:ascii="仿宋" w:hAnsi="仿宋" w:eastAsia="仿宋"/>
          <w:sz w:val="32"/>
        </w:rPr>
        <w:t>重大故障需与学校协商现场处理时限。</w:t>
      </w:r>
    </w:p>
    <w:p w14:paraId="2C994EAF">
      <w:pPr>
        <w:pStyle w:val="16"/>
        <w:numPr>
          <w:ilvl w:val="0"/>
          <w:numId w:val="9"/>
        </w:numPr>
        <w:ind w:firstLineChars="0"/>
        <w:outlineLvl w:val="2"/>
        <w:rPr>
          <w:rFonts w:hint="eastAsia" w:ascii="仿宋" w:hAnsi="仿宋" w:eastAsia="仿宋"/>
          <w:b/>
          <w:bCs/>
          <w:sz w:val="32"/>
        </w:rPr>
      </w:pPr>
      <w:r>
        <w:rPr>
          <w:rFonts w:ascii="仿宋" w:hAnsi="仿宋" w:eastAsia="仿宋"/>
          <w:b/>
          <w:bCs/>
          <w:sz w:val="32"/>
        </w:rPr>
        <w:t>技术保障服务考核</w:t>
      </w:r>
    </w:p>
    <w:p w14:paraId="106C4C32">
      <w:pPr>
        <w:numPr>
          <w:ilvl w:val="0"/>
          <w:numId w:val="12"/>
        </w:numPr>
        <w:outlineLvl w:val="3"/>
        <w:rPr>
          <w:rFonts w:hint="eastAsia" w:ascii="仿宋" w:hAnsi="仿宋" w:eastAsia="仿宋"/>
          <w:sz w:val="32"/>
        </w:rPr>
      </w:pPr>
      <w:r>
        <w:rPr>
          <w:rFonts w:ascii="仿宋" w:hAnsi="仿宋" w:eastAsia="仿宋"/>
          <w:b/>
          <w:bCs/>
          <w:sz w:val="32"/>
        </w:rPr>
        <w:t>紧急故障修复服务</w:t>
      </w:r>
    </w:p>
    <w:p w14:paraId="25B3CB9E">
      <w:pPr>
        <w:tabs>
          <w:tab w:val="left" w:pos="1440"/>
        </w:tabs>
        <w:ind w:firstLine="640" w:firstLineChars="200"/>
        <w:rPr>
          <w:rFonts w:hint="eastAsia" w:ascii="仿宋" w:hAnsi="仿宋" w:eastAsia="仿宋"/>
          <w:sz w:val="32"/>
        </w:rPr>
      </w:pPr>
      <w:r>
        <w:rPr>
          <w:rFonts w:ascii="仿宋" w:hAnsi="仿宋" w:eastAsia="仿宋"/>
          <w:sz w:val="32"/>
        </w:rPr>
        <w:t>每年至少提供1次紧急故障修复服务，故障恢复时间不超过4小时</w:t>
      </w:r>
      <w:r>
        <w:rPr>
          <w:rFonts w:hint="eastAsia" w:ascii="仿宋" w:hAnsi="仿宋" w:eastAsia="仿宋"/>
          <w:sz w:val="32"/>
        </w:rPr>
        <w:t>（重大故障除外，如存储损坏、停电数据损坏等）</w:t>
      </w:r>
      <w:r>
        <w:rPr>
          <w:rFonts w:ascii="仿宋" w:hAnsi="仿宋" w:eastAsia="仿宋"/>
          <w:sz w:val="32"/>
        </w:rPr>
        <w:t>。</w:t>
      </w:r>
    </w:p>
    <w:p w14:paraId="2EC1EB98">
      <w:pPr>
        <w:numPr>
          <w:ilvl w:val="0"/>
          <w:numId w:val="12"/>
        </w:numPr>
        <w:outlineLvl w:val="3"/>
        <w:rPr>
          <w:rFonts w:hint="eastAsia" w:ascii="仿宋" w:hAnsi="仿宋" w:eastAsia="仿宋"/>
          <w:b/>
          <w:bCs/>
          <w:sz w:val="32"/>
        </w:rPr>
      </w:pPr>
      <w:r>
        <w:rPr>
          <w:rFonts w:ascii="仿宋" w:hAnsi="仿宋" w:eastAsia="仿宋"/>
          <w:b/>
          <w:bCs/>
          <w:sz w:val="32"/>
        </w:rPr>
        <w:t>备份服务</w:t>
      </w:r>
    </w:p>
    <w:p w14:paraId="6077EA7A">
      <w:pPr>
        <w:tabs>
          <w:tab w:val="left" w:pos="1440"/>
        </w:tabs>
        <w:ind w:firstLine="640" w:firstLineChars="200"/>
        <w:rPr>
          <w:rFonts w:hint="eastAsia" w:ascii="仿宋" w:hAnsi="仿宋" w:eastAsia="仿宋"/>
          <w:sz w:val="32"/>
        </w:rPr>
      </w:pPr>
      <w:r>
        <w:rPr>
          <w:rFonts w:ascii="仿宋" w:hAnsi="仿宋" w:eastAsia="仿宋"/>
          <w:sz w:val="32"/>
        </w:rPr>
        <w:t>云备份服务可靠性需达99.99%，数据保留6个月内，容量不超过4TB。</w:t>
      </w:r>
    </w:p>
    <w:p w14:paraId="73118B23">
      <w:pPr>
        <w:numPr>
          <w:ilvl w:val="0"/>
          <w:numId w:val="12"/>
        </w:numPr>
        <w:outlineLvl w:val="3"/>
        <w:rPr>
          <w:rFonts w:hint="eastAsia" w:ascii="仿宋" w:hAnsi="仿宋" w:eastAsia="仿宋"/>
          <w:b/>
          <w:bCs/>
          <w:sz w:val="32"/>
        </w:rPr>
      </w:pPr>
      <w:r>
        <w:rPr>
          <w:rFonts w:ascii="仿宋" w:hAnsi="仿宋" w:eastAsia="仿宋"/>
          <w:b/>
          <w:bCs/>
          <w:sz w:val="32"/>
        </w:rPr>
        <w:t>容量管理</w:t>
      </w:r>
    </w:p>
    <w:p w14:paraId="0313B993">
      <w:pPr>
        <w:tabs>
          <w:tab w:val="left" w:pos="1440"/>
        </w:tabs>
        <w:ind w:firstLine="640" w:firstLineChars="200"/>
        <w:rPr>
          <w:rFonts w:hint="eastAsia" w:ascii="仿宋" w:hAnsi="仿宋" w:eastAsia="仿宋"/>
          <w:sz w:val="32"/>
        </w:rPr>
      </w:pPr>
      <w:r>
        <w:rPr>
          <w:rFonts w:ascii="仿宋" w:hAnsi="仿宋" w:eastAsia="仿宋"/>
          <w:sz w:val="32"/>
        </w:rPr>
        <w:t>7×24小时监控资源使用情况，每年提供1次扩容支持服务。</w:t>
      </w:r>
    </w:p>
    <w:p w14:paraId="20EF0B9A">
      <w:pPr>
        <w:numPr>
          <w:ilvl w:val="0"/>
          <w:numId w:val="12"/>
        </w:numPr>
        <w:outlineLvl w:val="3"/>
        <w:rPr>
          <w:rFonts w:hint="eastAsia" w:ascii="仿宋" w:hAnsi="仿宋" w:eastAsia="仿宋"/>
          <w:b/>
          <w:bCs/>
          <w:sz w:val="32"/>
        </w:rPr>
      </w:pPr>
      <w:r>
        <w:rPr>
          <w:rFonts w:ascii="仿宋" w:hAnsi="仿宋" w:eastAsia="仿宋"/>
          <w:b/>
          <w:bCs/>
          <w:sz w:val="32"/>
        </w:rPr>
        <w:t>合规与安全性</w:t>
      </w:r>
    </w:p>
    <w:p w14:paraId="54BC06CB">
      <w:pPr>
        <w:tabs>
          <w:tab w:val="left" w:pos="1440"/>
        </w:tabs>
        <w:ind w:firstLine="640" w:firstLineChars="200"/>
        <w:rPr>
          <w:rFonts w:hint="eastAsia" w:ascii="仿宋" w:hAnsi="仿宋" w:eastAsia="仿宋"/>
          <w:sz w:val="32"/>
        </w:rPr>
      </w:pPr>
      <w:r>
        <w:rPr>
          <w:rFonts w:ascii="仿宋" w:hAnsi="仿宋" w:eastAsia="仿宋"/>
          <w:sz w:val="32"/>
        </w:rPr>
        <w:t>每学期提供1次病毒检查报告和入侵检测报告，协助完成等保测评。</w:t>
      </w:r>
    </w:p>
    <w:p w14:paraId="4C5D6C64">
      <w:pPr>
        <w:pStyle w:val="16"/>
        <w:numPr>
          <w:ilvl w:val="0"/>
          <w:numId w:val="9"/>
        </w:numPr>
        <w:ind w:firstLineChars="0"/>
        <w:outlineLvl w:val="2"/>
        <w:rPr>
          <w:rFonts w:hint="eastAsia" w:ascii="仿宋" w:hAnsi="仿宋" w:eastAsia="仿宋"/>
          <w:b/>
          <w:bCs/>
          <w:sz w:val="32"/>
        </w:rPr>
      </w:pPr>
      <w:r>
        <w:rPr>
          <w:rFonts w:ascii="仿宋" w:hAnsi="仿宋" w:eastAsia="仿宋"/>
          <w:b/>
          <w:bCs/>
          <w:sz w:val="32"/>
        </w:rPr>
        <w:t>数据保障服务考核</w:t>
      </w:r>
    </w:p>
    <w:p w14:paraId="37141F95">
      <w:pPr>
        <w:numPr>
          <w:ilvl w:val="0"/>
          <w:numId w:val="13"/>
        </w:numPr>
        <w:outlineLvl w:val="3"/>
        <w:rPr>
          <w:rFonts w:hint="eastAsia" w:ascii="仿宋" w:hAnsi="仿宋" w:eastAsia="仿宋"/>
          <w:sz w:val="32"/>
        </w:rPr>
      </w:pPr>
      <w:r>
        <w:rPr>
          <w:rFonts w:ascii="仿宋" w:hAnsi="仿宋" w:eastAsia="仿宋"/>
          <w:b/>
          <w:bCs/>
          <w:sz w:val="32"/>
        </w:rPr>
        <w:t>数据迁移服务</w:t>
      </w:r>
    </w:p>
    <w:p w14:paraId="1A0C5625">
      <w:pPr>
        <w:tabs>
          <w:tab w:val="left" w:pos="1440"/>
        </w:tabs>
        <w:ind w:firstLine="640" w:firstLineChars="200"/>
        <w:rPr>
          <w:rFonts w:hint="eastAsia" w:ascii="仿宋" w:hAnsi="仿宋" w:eastAsia="仿宋"/>
          <w:sz w:val="32"/>
        </w:rPr>
      </w:pPr>
      <w:r>
        <w:rPr>
          <w:rFonts w:ascii="仿宋" w:hAnsi="仿宋" w:eastAsia="仿宋"/>
          <w:sz w:val="32"/>
        </w:rPr>
        <w:t>每年提供1次迁移服务，迁移后系统需正常运行。</w:t>
      </w:r>
    </w:p>
    <w:p w14:paraId="639042BC">
      <w:pPr>
        <w:numPr>
          <w:ilvl w:val="0"/>
          <w:numId w:val="13"/>
        </w:numPr>
        <w:outlineLvl w:val="3"/>
        <w:rPr>
          <w:rFonts w:hint="eastAsia" w:ascii="仿宋" w:hAnsi="仿宋" w:eastAsia="仿宋"/>
          <w:b/>
          <w:bCs/>
          <w:sz w:val="32"/>
        </w:rPr>
      </w:pPr>
      <w:r>
        <w:rPr>
          <w:rFonts w:ascii="仿宋" w:hAnsi="仿宋" w:eastAsia="仿宋"/>
          <w:b/>
          <w:bCs/>
          <w:sz w:val="32"/>
        </w:rPr>
        <w:t>数据恢复服务</w:t>
      </w:r>
    </w:p>
    <w:p w14:paraId="1F651A18">
      <w:pPr>
        <w:tabs>
          <w:tab w:val="left" w:pos="1440"/>
        </w:tabs>
        <w:ind w:firstLine="640" w:firstLineChars="200"/>
        <w:rPr>
          <w:rFonts w:hint="eastAsia" w:ascii="仿宋" w:hAnsi="仿宋" w:eastAsia="仿宋"/>
          <w:sz w:val="32"/>
        </w:rPr>
      </w:pPr>
      <w:r>
        <w:rPr>
          <w:rFonts w:ascii="仿宋" w:hAnsi="仿宋" w:eastAsia="仿宋"/>
          <w:sz w:val="32"/>
        </w:rPr>
        <w:t>每年提供2次数据恢复服务，</w:t>
      </w:r>
      <w:r>
        <w:rPr>
          <w:rFonts w:hint="eastAsia" w:ascii="仿宋" w:hAnsi="仿宋" w:eastAsia="仿宋"/>
          <w:sz w:val="32"/>
        </w:rPr>
        <w:t>在学校网络正常，目标服务器网络、存储正常情况下，</w:t>
      </w:r>
      <w:r>
        <w:rPr>
          <w:rFonts w:ascii="仿宋" w:hAnsi="仿宋" w:eastAsia="仿宋"/>
          <w:sz w:val="32"/>
        </w:rPr>
        <w:t>恢复成功率需达100%。</w:t>
      </w:r>
    </w:p>
    <w:p w14:paraId="04A6D92C">
      <w:pPr>
        <w:pStyle w:val="16"/>
        <w:numPr>
          <w:ilvl w:val="0"/>
          <w:numId w:val="9"/>
        </w:numPr>
        <w:ind w:firstLineChars="0"/>
        <w:outlineLvl w:val="2"/>
        <w:rPr>
          <w:rFonts w:hint="eastAsia" w:ascii="仿宋" w:hAnsi="仿宋" w:eastAsia="仿宋"/>
          <w:b/>
          <w:bCs/>
          <w:sz w:val="32"/>
        </w:rPr>
      </w:pPr>
      <w:r>
        <w:rPr>
          <w:rFonts w:ascii="仿宋" w:hAnsi="仿宋" w:eastAsia="仿宋"/>
          <w:b/>
          <w:bCs/>
          <w:sz w:val="32"/>
        </w:rPr>
        <w:t>产品增值服务考核</w:t>
      </w:r>
    </w:p>
    <w:p w14:paraId="0FE62748">
      <w:pPr>
        <w:numPr>
          <w:ilvl w:val="0"/>
          <w:numId w:val="14"/>
        </w:numPr>
        <w:outlineLvl w:val="3"/>
        <w:rPr>
          <w:rFonts w:hint="eastAsia" w:ascii="仿宋" w:hAnsi="仿宋" w:eastAsia="仿宋"/>
          <w:sz w:val="32"/>
        </w:rPr>
      </w:pPr>
      <w:r>
        <w:rPr>
          <w:rFonts w:ascii="仿宋" w:hAnsi="仿宋" w:eastAsia="仿宋"/>
          <w:b/>
          <w:bCs/>
          <w:sz w:val="32"/>
        </w:rPr>
        <w:t>手机短信服务</w:t>
      </w:r>
    </w:p>
    <w:p w14:paraId="0B7DB4C6">
      <w:pPr>
        <w:tabs>
          <w:tab w:val="left" w:pos="1440"/>
        </w:tabs>
        <w:ind w:firstLine="640" w:firstLineChars="200"/>
        <w:rPr>
          <w:rFonts w:hint="eastAsia" w:ascii="仿宋" w:hAnsi="仿宋" w:eastAsia="仿宋"/>
          <w:sz w:val="32"/>
        </w:rPr>
      </w:pPr>
      <w:r>
        <w:rPr>
          <w:rFonts w:ascii="仿宋" w:hAnsi="仿宋" w:eastAsia="仿宋"/>
          <w:sz w:val="32"/>
        </w:rPr>
        <w:t>每年提供不少于5000条短信，验证码发送延迟不超过5秒</w:t>
      </w:r>
      <w:r>
        <w:rPr>
          <w:rFonts w:hint="eastAsia" w:ascii="仿宋" w:hAnsi="仿宋" w:eastAsia="仿宋"/>
          <w:sz w:val="32"/>
        </w:rPr>
        <w:t>（师生手机终端及网络问题引起的除外）</w:t>
      </w:r>
      <w:r>
        <w:rPr>
          <w:rFonts w:ascii="仿宋" w:hAnsi="仿宋" w:eastAsia="仿宋"/>
          <w:sz w:val="32"/>
        </w:rPr>
        <w:t>。</w:t>
      </w:r>
    </w:p>
    <w:p w14:paraId="646A905B">
      <w:pPr>
        <w:numPr>
          <w:ilvl w:val="0"/>
          <w:numId w:val="14"/>
        </w:numPr>
        <w:outlineLvl w:val="3"/>
        <w:rPr>
          <w:rFonts w:hint="eastAsia" w:ascii="仿宋" w:hAnsi="仿宋" w:eastAsia="仿宋"/>
          <w:b/>
          <w:bCs/>
          <w:sz w:val="32"/>
        </w:rPr>
      </w:pPr>
      <w:r>
        <w:rPr>
          <w:rFonts w:ascii="仿宋" w:hAnsi="仿宋" w:eastAsia="仿宋"/>
          <w:b/>
          <w:bCs/>
          <w:sz w:val="32"/>
        </w:rPr>
        <w:t>人脸识别服务</w:t>
      </w:r>
    </w:p>
    <w:p w14:paraId="6730D7AF">
      <w:pPr>
        <w:tabs>
          <w:tab w:val="left" w:pos="1440"/>
        </w:tabs>
        <w:ind w:firstLine="640" w:firstLineChars="200"/>
        <w:rPr>
          <w:rFonts w:hint="eastAsia" w:ascii="仿宋" w:hAnsi="仿宋" w:eastAsia="仿宋"/>
          <w:sz w:val="32"/>
        </w:rPr>
      </w:pPr>
      <w:r>
        <w:rPr>
          <w:rFonts w:ascii="仿宋" w:hAnsi="仿宋" w:eastAsia="仿宋"/>
          <w:sz w:val="32"/>
        </w:rPr>
        <w:t>每年提供不少于10万次人脸识别服务，底库安全管理无泄露。</w:t>
      </w:r>
    </w:p>
    <w:p w14:paraId="47A0CBB7">
      <w:pPr>
        <w:numPr>
          <w:ilvl w:val="0"/>
          <w:numId w:val="14"/>
        </w:numPr>
        <w:outlineLvl w:val="3"/>
        <w:rPr>
          <w:rFonts w:hint="eastAsia" w:ascii="仿宋" w:hAnsi="仿宋" w:eastAsia="仿宋"/>
          <w:b/>
          <w:bCs/>
          <w:sz w:val="32"/>
        </w:rPr>
      </w:pPr>
      <w:r>
        <w:rPr>
          <w:rFonts w:ascii="仿宋" w:hAnsi="仿宋" w:eastAsia="仿宋"/>
          <w:b/>
          <w:bCs/>
          <w:sz w:val="32"/>
        </w:rPr>
        <w:t>软件版本升级</w:t>
      </w:r>
    </w:p>
    <w:p w14:paraId="7EB4094A">
      <w:pPr>
        <w:tabs>
          <w:tab w:val="left" w:pos="1440"/>
        </w:tabs>
        <w:ind w:firstLine="640" w:firstLineChars="200"/>
        <w:rPr>
          <w:rFonts w:hint="eastAsia" w:ascii="仿宋" w:hAnsi="仿宋" w:eastAsia="仿宋"/>
          <w:sz w:val="32"/>
        </w:rPr>
      </w:pPr>
      <w:r>
        <w:rPr>
          <w:rFonts w:ascii="仿宋" w:hAnsi="仿宋" w:eastAsia="仿宋"/>
          <w:sz w:val="32"/>
        </w:rPr>
        <w:t>同一主版本免费升级，升级后系统需稳定运行。</w:t>
      </w:r>
    </w:p>
    <w:p w14:paraId="1FDC308A">
      <w:pPr>
        <w:numPr>
          <w:ilvl w:val="0"/>
          <w:numId w:val="14"/>
        </w:numPr>
        <w:outlineLvl w:val="3"/>
        <w:rPr>
          <w:rFonts w:hint="eastAsia" w:ascii="仿宋" w:hAnsi="仿宋" w:eastAsia="仿宋"/>
          <w:b/>
          <w:bCs/>
          <w:sz w:val="32"/>
        </w:rPr>
      </w:pPr>
      <w:r>
        <w:rPr>
          <w:rFonts w:ascii="仿宋" w:hAnsi="仿宋" w:eastAsia="仿宋"/>
          <w:b/>
          <w:bCs/>
          <w:sz w:val="32"/>
        </w:rPr>
        <w:t>平台运行报告</w:t>
      </w:r>
    </w:p>
    <w:p w14:paraId="4E21442A">
      <w:pPr>
        <w:tabs>
          <w:tab w:val="left" w:pos="1440"/>
        </w:tabs>
        <w:ind w:firstLine="640" w:firstLineChars="200"/>
        <w:rPr>
          <w:rFonts w:hint="eastAsia" w:ascii="仿宋" w:hAnsi="仿宋" w:eastAsia="仿宋"/>
          <w:sz w:val="32"/>
        </w:rPr>
      </w:pPr>
      <w:r>
        <w:rPr>
          <w:rFonts w:ascii="仿宋" w:hAnsi="仿宋" w:eastAsia="仿宋"/>
          <w:sz w:val="32"/>
        </w:rPr>
        <w:t>每学期提供1次运行及使用报告，内容需涵盖性能指标和系统负载。</w:t>
      </w:r>
    </w:p>
    <w:p w14:paraId="6D40CCCE">
      <w:pPr>
        <w:pStyle w:val="16"/>
        <w:numPr>
          <w:ilvl w:val="0"/>
          <w:numId w:val="9"/>
        </w:numPr>
        <w:ind w:firstLineChars="0"/>
        <w:outlineLvl w:val="2"/>
        <w:rPr>
          <w:rFonts w:hint="eastAsia" w:ascii="仿宋" w:hAnsi="仿宋" w:eastAsia="仿宋"/>
          <w:b/>
          <w:bCs/>
          <w:sz w:val="32"/>
        </w:rPr>
      </w:pPr>
      <w:r>
        <w:rPr>
          <w:rFonts w:ascii="仿宋" w:hAnsi="仿宋" w:eastAsia="仿宋"/>
          <w:b/>
          <w:bCs/>
          <w:sz w:val="32"/>
        </w:rPr>
        <w:t>咨询与技术支持考核</w:t>
      </w:r>
    </w:p>
    <w:p w14:paraId="69FDFAF6">
      <w:pPr>
        <w:numPr>
          <w:ilvl w:val="0"/>
          <w:numId w:val="15"/>
        </w:numPr>
        <w:outlineLvl w:val="3"/>
        <w:rPr>
          <w:rFonts w:hint="eastAsia" w:ascii="仿宋" w:hAnsi="仿宋" w:eastAsia="仿宋"/>
          <w:sz w:val="32"/>
        </w:rPr>
      </w:pPr>
      <w:r>
        <w:rPr>
          <w:rFonts w:ascii="仿宋" w:hAnsi="仿宋" w:eastAsia="仿宋"/>
          <w:b/>
          <w:bCs/>
          <w:sz w:val="32"/>
        </w:rPr>
        <w:t>人工咨询服务</w:t>
      </w:r>
    </w:p>
    <w:p w14:paraId="4F91A095">
      <w:pPr>
        <w:tabs>
          <w:tab w:val="left" w:pos="1440"/>
        </w:tabs>
        <w:ind w:firstLine="640" w:firstLineChars="200"/>
        <w:rPr>
          <w:rFonts w:hint="eastAsia" w:ascii="仿宋" w:hAnsi="仿宋" w:eastAsia="仿宋"/>
          <w:sz w:val="32"/>
        </w:rPr>
      </w:pPr>
      <w:r>
        <w:rPr>
          <w:rFonts w:ascii="仿宋" w:hAnsi="仿宋" w:eastAsia="仿宋"/>
          <w:sz w:val="32"/>
        </w:rPr>
        <w:t>提供5×8小时在线客服，问题解答准确率不低于95%。</w:t>
      </w:r>
    </w:p>
    <w:p w14:paraId="0EC17661">
      <w:pPr>
        <w:numPr>
          <w:ilvl w:val="0"/>
          <w:numId w:val="15"/>
        </w:numPr>
        <w:outlineLvl w:val="3"/>
        <w:rPr>
          <w:rFonts w:hint="eastAsia" w:ascii="仿宋" w:hAnsi="仿宋" w:eastAsia="仿宋"/>
          <w:b/>
          <w:bCs/>
          <w:sz w:val="32"/>
        </w:rPr>
      </w:pPr>
      <w:r>
        <w:rPr>
          <w:rFonts w:ascii="仿宋" w:hAnsi="仿宋" w:eastAsia="仿宋"/>
          <w:b/>
          <w:bCs/>
          <w:sz w:val="32"/>
        </w:rPr>
        <w:t>技术支持</w:t>
      </w:r>
    </w:p>
    <w:p w14:paraId="56BF4F9E">
      <w:pPr>
        <w:tabs>
          <w:tab w:val="left" w:pos="1440"/>
        </w:tabs>
        <w:ind w:firstLine="640" w:firstLineChars="200"/>
        <w:rPr>
          <w:rFonts w:hint="eastAsia" w:ascii="仿宋" w:hAnsi="仿宋" w:eastAsia="仿宋"/>
          <w:sz w:val="32"/>
        </w:rPr>
      </w:pPr>
      <w:r>
        <w:rPr>
          <w:rFonts w:hint="eastAsia" w:ascii="仿宋" w:hAnsi="仿宋" w:eastAsia="仿宋"/>
          <w:sz w:val="32"/>
        </w:rPr>
        <w:t>常见或一般性故障</w:t>
      </w:r>
      <w:r>
        <w:rPr>
          <w:rFonts w:ascii="仿宋" w:hAnsi="仿宋" w:eastAsia="仿宋"/>
          <w:sz w:val="32"/>
        </w:rPr>
        <w:t>远程协助需在1小时内完成故障初步诊断。</w:t>
      </w:r>
      <w:r>
        <w:rPr>
          <w:rFonts w:hint="eastAsia" w:ascii="仿宋" w:hAnsi="仿宋" w:eastAsia="仿宋"/>
          <w:sz w:val="32"/>
        </w:rPr>
        <w:t>重大故障或复杂问题处理时限试具体情况而定。</w:t>
      </w:r>
    </w:p>
    <w:p w14:paraId="121E1C14">
      <w:pPr>
        <w:pStyle w:val="16"/>
        <w:numPr>
          <w:ilvl w:val="0"/>
          <w:numId w:val="8"/>
        </w:numPr>
        <w:spacing w:line="560" w:lineRule="exact"/>
        <w:ind w:firstLineChars="0"/>
        <w:outlineLvl w:val="1"/>
        <w:rPr>
          <w:rFonts w:hint="eastAsia" w:ascii="楷体" w:hAnsi="楷体" w:eastAsia="楷体" w:cs="楷体"/>
          <w:b/>
          <w:bCs/>
          <w:sz w:val="32"/>
          <w:szCs w:val="32"/>
        </w:rPr>
      </w:pPr>
      <w:r>
        <w:rPr>
          <w:rFonts w:hint="eastAsia" w:ascii="楷体" w:hAnsi="楷体" w:eastAsia="楷体" w:cs="楷体"/>
          <w:b/>
          <w:bCs/>
          <w:sz w:val="32"/>
          <w:szCs w:val="32"/>
        </w:rPr>
        <w:t>考核评分表及考核要求</w:t>
      </w:r>
    </w:p>
    <w:p w14:paraId="3D013E12">
      <w:pPr>
        <w:ind w:left="420" w:firstLine="320" w:firstLineChars="100"/>
        <w:rPr>
          <w:rFonts w:hint="eastAsia" w:ascii="仿宋" w:hAnsi="仿宋" w:eastAsia="仿宋"/>
          <w:sz w:val="32"/>
        </w:rPr>
      </w:pPr>
      <w:r>
        <w:rPr>
          <w:rFonts w:hint="eastAsia" w:ascii="仿宋" w:hAnsi="仿宋" w:eastAsia="仿宋"/>
          <w:sz w:val="32"/>
        </w:rPr>
        <w:t>见附件1：考核评分表及考核要求</w:t>
      </w:r>
    </w:p>
    <w:p w14:paraId="4351FEB6">
      <w:pPr>
        <w:pStyle w:val="16"/>
        <w:numPr>
          <w:ilvl w:val="0"/>
          <w:numId w:val="8"/>
        </w:numPr>
        <w:spacing w:line="560" w:lineRule="exact"/>
        <w:ind w:firstLineChars="0"/>
        <w:outlineLvl w:val="1"/>
        <w:rPr>
          <w:rFonts w:hint="eastAsia" w:ascii="楷体" w:hAnsi="楷体" w:eastAsia="楷体" w:cs="楷体"/>
          <w:b/>
          <w:bCs/>
          <w:sz w:val="32"/>
          <w:szCs w:val="32"/>
        </w:rPr>
      </w:pPr>
      <w:r>
        <w:rPr>
          <w:rFonts w:hint="eastAsia" w:ascii="楷体" w:hAnsi="楷体" w:eastAsia="楷体" w:cs="楷体"/>
          <w:b/>
          <w:bCs/>
          <w:sz w:val="32"/>
          <w:szCs w:val="32"/>
        </w:rPr>
        <w:t>付款方式</w:t>
      </w: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68"/>
        <w:gridCol w:w="5290"/>
        <w:gridCol w:w="1044"/>
      </w:tblGrid>
      <w:tr w14:paraId="606F0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jc w:val="center"/>
        </w:trPr>
        <w:tc>
          <w:tcPr>
            <w:tcW w:w="1168" w:type="dxa"/>
            <w:tcBorders>
              <w:top w:val="nil"/>
              <w:left w:val="nil"/>
              <w:bottom w:val="single" w:color="BBBBBB" w:sz="4" w:space="0"/>
              <w:right w:val="nil"/>
            </w:tcBorders>
            <w:shd w:val="clear" w:color="auto" w:fill="auto"/>
            <w:tcMar>
              <w:top w:w="120" w:type="dxa"/>
              <w:left w:w="0" w:type="dxa"/>
              <w:bottom w:w="120" w:type="dxa"/>
              <w:right w:w="120" w:type="dxa"/>
            </w:tcMar>
            <w:vAlign w:val="center"/>
          </w:tcPr>
          <w:p w14:paraId="748FA066">
            <w:pPr>
              <w:keepNext w:val="0"/>
              <w:keepLines w:val="0"/>
              <w:widowControl/>
              <w:suppressLineNumbers w:val="0"/>
              <w:spacing w:line="21" w:lineRule="atLeast"/>
              <w:jc w:val="center"/>
              <w:rPr>
                <w:b/>
                <w:bCs/>
                <w:color w:val="404040"/>
                <w:sz w:val="20"/>
                <w:szCs w:val="20"/>
              </w:rPr>
            </w:pPr>
            <w:r>
              <w:rPr>
                <w:rStyle w:val="14"/>
                <w:rFonts w:ascii="宋体" w:hAnsi="宋体" w:eastAsia="宋体" w:cs="宋体"/>
                <w:color w:val="404040"/>
                <w:kern w:val="0"/>
                <w:sz w:val="20"/>
                <w:szCs w:val="20"/>
                <w:lang w:val="en-US" w:eastAsia="zh-CN" w:bidi="ar"/>
              </w:rPr>
              <w:t>付款阶段</w:t>
            </w:r>
          </w:p>
        </w:tc>
        <w:tc>
          <w:tcPr>
            <w:tcW w:w="5290" w:type="dxa"/>
            <w:tcBorders>
              <w:top w:val="nil"/>
              <w:left w:val="nil"/>
              <w:bottom w:val="single" w:color="BBBBBB" w:sz="4" w:space="0"/>
              <w:right w:val="nil"/>
            </w:tcBorders>
            <w:shd w:val="clear" w:color="auto" w:fill="auto"/>
            <w:tcMar>
              <w:top w:w="120" w:type="dxa"/>
              <w:left w:w="120" w:type="dxa"/>
              <w:bottom w:w="120" w:type="dxa"/>
              <w:right w:w="120" w:type="dxa"/>
            </w:tcMar>
            <w:vAlign w:val="center"/>
          </w:tcPr>
          <w:p w14:paraId="4DD238FF">
            <w:pPr>
              <w:keepNext w:val="0"/>
              <w:keepLines w:val="0"/>
              <w:widowControl/>
              <w:suppressLineNumbers w:val="0"/>
              <w:spacing w:line="21" w:lineRule="atLeast"/>
              <w:jc w:val="center"/>
              <w:rPr>
                <w:b/>
                <w:bCs/>
                <w:color w:val="404040"/>
                <w:sz w:val="20"/>
                <w:szCs w:val="20"/>
              </w:rPr>
            </w:pPr>
            <w:r>
              <w:rPr>
                <w:rStyle w:val="14"/>
                <w:rFonts w:ascii="宋体" w:hAnsi="宋体" w:eastAsia="宋体" w:cs="宋体"/>
                <w:color w:val="404040"/>
                <w:kern w:val="0"/>
                <w:sz w:val="20"/>
                <w:szCs w:val="20"/>
                <w:lang w:val="en-US" w:eastAsia="zh-CN" w:bidi="ar"/>
              </w:rPr>
              <w:t>付款条件</w:t>
            </w:r>
          </w:p>
        </w:tc>
        <w:tc>
          <w:tcPr>
            <w:tcW w:w="1044" w:type="dxa"/>
            <w:tcBorders>
              <w:top w:val="nil"/>
              <w:left w:val="nil"/>
              <w:bottom w:val="single" w:color="BBBBBB" w:sz="4" w:space="0"/>
              <w:right w:val="nil"/>
            </w:tcBorders>
            <w:shd w:val="clear" w:color="auto" w:fill="auto"/>
            <w:tcMar>
              <w:top w:w="120" w:type="dxa"/>
              <w:left w:w="120" w:type="dxa"/>
              <w:bottom w:w="120" w:type="dxa"/>
              <w:right w:w="120" w:type="dxa"/>
            </w:tcMar>
            <w:vAlign w:val="center"/>
          </w:tcPr>
          <w:p w14:paraId="389A87CF">
            <w:pPr>
              <w:keepNext w:val="0"/>
              <w:keepLines w:val="0"/>
              <w:widowControl/>
              <w:suppressLineNumbers w:val="0"/>
              <w:spacing w:line="21" w:lineRule="atLeast"/>
              <w:jc w:val="center"/>
              <w:rPr>
                <w:b/>
                <w:bCs/>
                <w:color w:val="404040"/>
                <w:sz w:val="20"/>
                <w:szCs w:val="20"/>
              </w:rPr>
            </w:pPr>
            <w:r>
              <w:rPr>
                <w:rStyle w:val="14"/>
                <w:rFonts w:ascii="宋体" w:hAnsi="宋体" w:eastAsia="宋体" w:cs="宋体"/>
                <w:color w:val="404040"/>
                <w:kern w:val="0"/>
                <w:sz w:val="20"/>
                <w:szCs w:val="20"/>
                <w:lang w:val="en-US" w:eastAsia="zh-CN" w:bidi="ar"/>
              </w:rPr>
              <w:t>付款比例</w:t>
            </w:r>
          </w:p>
        </w:tc>
      </w:tr>
      <w:tr w14:paraId="7AEAA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168" w:type="dxa"/>
            <w:tcBorders>
              <w:top w:val="nil"/>
              <w:left w:val="nil"/>
              <w:bottom w:val="single" w:color="E5E5E5" w:sz="4" w:space="0"/>
              <w:right w:val="nil"/>
            </w:tcBorders>
            <w:shd w:val="clear" w:color="auto" w:fill="auto"/>
            <w:tcMar>
              <w:top w:w="120" w:type="dxa"/>
              <w:left w:w="0" w:type="dxa"/>
              <w:bottom w:w="120" w:type="dxa"/>
              <w:right w:w="120" w:type="dxa"/>
            </w:tcMar>
            <w:vAlign w:val="center"/>
          </w:tcPr>
          <w:p w14:paraId="7D6F3A11">
            <w:pPr>
              <w:keepNext w:val="0"/>
              <w:keepLines w:val="0"/>
              <w:widowControl/>
              <w:suppressLineNumbers w:val="0"/>
              <w:spacing w:line="21" w:lineRule="atLeast"/>
              <w:jc w:val="center"/>
              <w:rPr>
                <w:sz w:val="20"/>
                <w:szCs w:val="20"/>
              </w:rPr>
            </w:pPr>
            <w:r>
              <w:rPr>
                <w:rStyle w:val="14"/>
                <w:rFonts w:ascii="宋体" w:hAnsi="宋体" w:eastAsia="宋体" w:cs="宋体"/>
                <w:kern w:val="0"/>
                <w:sz w:val="20"/>
                <w:szCs w:val="20"/>
                <w:lang w:val="en-US" w:eastAsia="zh-CN" w:bidi="ar"/>
              </w:rPr>
              <w:t>合同签订后</w:t>
            </w:r>
          </w:p>
        </w:tc>
        <w:tc>
          <w:tcPr>
            <w:tcW w:w="5290" w:type="dxa"/>
            <w:tcBorders>
              <w:top w:val="nil"/>
              <w:left w:val="nil"/>
              <w:bottom w:val="single" w:color="E5E5E5" w:sz="4" w:space="0"/>
              <w:right w:val="nil"/>
            </w:tcBorders>
            <w:shd w:val="clear" w:color="auto" w:fill="auto"/>
            <w:tcMar>
              <w:top w:w="120" w:type="dxa"/>
              <w:left w:w="120" w:type="dxa"/>
              <w:bottom w:w="120" w:type="dxa"/>
              <w:right w:w="120" w:type="dxa"/>
            </w:tcMar>
            <w:vAlign w:val="center"/>
          </w:tcPr>
          <w:p w14:paraId="368FB15F">
            <w:pPr>
              <w:keepNext w:val="0"/>
              <w:keepLines w:val="0"/>
              <w:widowControl/>
              <w:suppressLineNumbers w:val="0"/>
              <w:spacing w:line="21" w:lineRule="atLeast"/>
              <w:jc w:val="center"/>
              <w:rPr>
                <w:sz w:val="20"/>
                <w:szCs w:val="20"/>
              </w:rPr>
            </w:pPr>
            <w:r>
              <w:rPr>
                <w:rFonts w:ascii="宋体" w:hAnsi="宋体" w:eastAsia="宋体" w:cs="宋体"/>
                <w:kern w:val="0"/>
                <w:sz w:val="20"/>
                <w:szCs w:val="20"/>
                <w:lang w:val="en-US" w:eastAsia="zh-CN" w:bidi="ar"/>
              </w:rPr>
              <w:t>双方盖章生效后</w:t>
            </w:r>
          </w:p>
        </w:tc>
        <w:tc>
          <w:tcPr>
            <w:tcW w:w="1044" w:type="dxa"/>
            <w:tcBorders>
              <w:top w:val="nil"/>
              <w:left w:val="nil"/>
              <w:bottom w:val="single" w:color="E5E5E5" w:sz="4" w:space="0"/>
              <w:right w:val="nil"/>
            </w:tcBorders>
            <w:shd w:val="clear" w:color="auto" w:fill="auto"/>
            <w:tcMar>
              <w:top w:w="120" w:type="dxa"/>
              <w:left w:w="120" w:type="dxa"/>
              <w:bottom w:w="120" w:type="dxa"/>
              <w:right w:w="120" w:type="dxa"/>
            </w:tcMar>
            <w:vAlign w:val="center"/>
          </w:tcPr>
          <w:p w14:paraId="58FF251F">
            <w:pPr>
              <w:keepNext w:val="0"/>
              <w:keepLines w:val="0"/>
              <w:widowControl/>
              <w:suppressLineNumbers w:val="0"/>
              <w:spacing w:line="21" w:lineRule="atLeast"/>
              <w:jc w:val="center"/>
              <w:rPr>
                <w:sz w:val="20"/>
                <w:szCs w:val="20"/>
              </w:rPr>
            </w:pPr>
            <w:r>
              <w:rPr>
                <w:rFonts w:ascii="宋体" w:hAnsi="宋体" w:eastAsia="宋体" w:cs="宋体"/>
                <w:kern w:val="0"/>
                <w:sz w:val="20"/>
                <w:szCs w:val="20"/>
                <w:lang w:val="en-US" w:eastAsia="zh-CN" w:bidi="ar"/>
              </w:rPr>
              <w:t>20%</w:t>
            </w:r>
          </w:p>
        </w:tc>
      </w:tr>
      <w:tr w14:paraId="24225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168" w:type="dxa"/>
            <w:tcBorders>
              <w:top w:val="nil"/>
              <w:left w:val="nil"/>
              <w:bottom w:val="single" w:color="E5E5E5" w:sz="4" w:space="0"/>
              <w:right w:val="nil"/>
            </w:tcBorders>
            <w:shd w:val="clear" w:color="auto" w:fill="auto"/>
            <w:tcMar>
              <w:top w:w="120" w:type="dxa"/>
              <w:left w:w="0" w:type="dxa"/>
              <w:bottom w:w="120" w:type="dxa"/>
              <w:right w:w="120" w:type="dxa"/>
            </w:tcMar>
            <w:vAlign w:val="center"/>
          </w:tcPr>
          <w:p w14:paraId="14F2885B">
            <w:pPr>
              <w:keepNext w:val="0"/>
              <w:keepLines w:val="0"/>
              <w:widowControl/>
              <w:suppressLineNumbers w:val="0"/>
              <w:spacing w:line="21" w:lineRule="atLeast"/>
              <w:jc w:val="center"/>
              <w:rPr>
                <w:sz w:val="20"/>
                <w:szCs w:val="20"/>
              </w:rPr>
            </w:pPr>
            <w:r>
              <w:rPr>
                <w:rStyle w:val="14"/>
                <w:rFonts w:ascii="宋体" w:hAnsi="宋体" w:eastAsia="宋体" w:cs="宋体"/>
                <w:kern w:val="0"/>
                <w:sz w:val="20"/>
                <w:szCs w:val="20"/>
                <w:lang w:val="en-US" w:eastAsia="zh-CN" w:bidi="ar"/>
              </w:rPr>
              <w:t>试运行期满</w:t>
            </w:r>
          </w:p>
        </w:tc>
        <w:tc>
          <w:tcPr>
            <w:tcW w:w="5290" w:type="dxa"/>
            <w:tcBorders>
              <w:top w:val="nil"/>
              <w:left w:val="nil"/>
              <w:bottom w:val="single" w:color="E5E5E5" w:sz="4" w:space="0"/>
              <w:right w:val="nil"/>
            </w:tcBorders>
            <w:shd w:val="clear" w:color="auto" w:fill="auto"/>
            <w:tcMar>
              <w:top w:w="120" w:type="dxa"/>
              <w:left w:w="120" w:type="dxa"/>
              <w:bottom w:w="120" w:type="dxa"/>
              <w:right w:w="120" w:type="dxa"/>
            </w:tcMar>
            <w:vAlign w:val="center"/>
          </w:tcPr>
          <w:p w14:paraId="532B7726">
            <w:pPr>
              <w:keepNext w:val="0"/>
              <w:keepLines w:val="0"/>
              <w:widowControl/>
              <w:suppressLineNumbers w:val="0"/>
              <w:spacing w:line="21" w:lineRule="atLeast"/>
              <w:jc w:val="center"/>
              <w:rPr>
                <w:sz w:val="20"/>
                <w:szCs w:val="20"/>
              </w:rPr>
            </w:pPr>
            <w:r>
              <w:rPr>
                <w:rFonts w:ascii="宋体" w:hAnsi="宋体" w:eastAsia="宋体" w:cs="宋体"/>
                <w:kern w:val="0"/>
                <w:sz w:val="20"/>
                <w:szCs w:val="20"/>
                <w:lang w:val="en-US" w:eastAsia="zh-CN" w:bidi="ar"/>
              </w:rPr>
              <w:t>稳定运行30天，无重大故障，提交《</w:t>
            </w:r>
            <w:r>
              <w:rPr>
                <w:rFonts w:hint="eastAsia" w:ascii="宋体" w:hAnsi="宋体" w:eastAsia="宋体" w:cs="宋体"/>
                <w:kern w:val="0"/>
                <w:sz w:val="20"/>
                <w:szCs w:val="20"/>
                <w:lang w:val="en-US" w:eastAsia="zh-CN" w:bidi="ar"/>
              </w:rPr>
              <w:t>平台运行及使用报告</w:t>
            </w:r>
            <w:r>
              <w:rPr>
                <w:rFonts w:ascii="宋体" w:hAnsi="宋体" w:eastAsia="宋体" w:cs="宋体"/>
                <w:kern w:val="0"/>
                <w:sz w:val="20"/>
                <w:szCs w:val="20"/>
                <w:lang w:val="en-US" w:eastAsia="zh-CN" w:bidi="ar"/>
              </w:rPr>
              <w:t>》</w:t>
            </w:r>
          </w:p>
        </w:tc>
        <w:tc>
          <w:tcPr>
            <w:tcW w:w="1044" w:type="dxa"/>
            <w:tcBorders>
              <w:top w:val="nil"/>
              <w:left w:val="nil"/>
              <w:bottom w:val="single" w:color="E5E5E5" w:sz="4" w:space="0"/>
              <w:right w:val="nil"/>
            </w:tcBorders>
            <w:shd w:val="clear" w:color="auto" w:fill="auto"/>
            <w:tcMar>
              <w:top w:w="120" w:type="dxa"/>
              <w:left w:w="120" w:type="dxa"/>
              <w:bottom w:w="120" w:type="dxa"/>
              <w:right w:w="120" w:type="dxa"/>
            </w:tcMar>
            <w:vAlign w:val="center"/>
          </w:tcPr>
          <w:p w14:paraId="4CA36F41">
            <w:pPr>
              <w:keepNext w:val="0"/>
              <w:keepLines w:val="0"/>
              <w:widowControl/>
              <w:suppressLineNumbers w:val="0"/>
              <w:spacing w:line="21" w:lineRule="atLeast"/>
              <w:jc w:val="center"/>
              <w:rPr>
                <w:sz w:val="20"/>
                <w:szCs w:val="20"/>
              </w:rPr>
            </w:pPr>
            <w:r>
              <w:rPr>
                <w:rFonts w:hint="eastAsia" w:ascii="宋体" w:hAnsi="宋体" w:eastAsia="宋体" w:cs="宋体"/>
                <w:kern w:val="0"/>
                <w:sz w:val="20"/>
                <w:szCs w:val="20"/>
                <w:lang w:val="en-US" w:eastAsia="zh-CN" w:bidi="ar"/>
              </w:rPr>
              <w:t>60</w:t>
            </w:r>
            <w:r>
              <w:rPr>
                <w:rFonts w:ascii="宋体" w:hAnsi="宋体" w:eastAsia="宋体" w:cs="宋体"/>
                <w:kern w:val="0"/>
                <w:sz w:val="20"/>
                <w:szCs w:val="20"/>
                <w:lang w:val="en-US" w:eastAsia="zh-CN" w:bidi="ar"/>
              </w:rPr>
              <w:t>%</w:t>
            </w:r>
          </w:p>
        </w:tc>
      </w:tr>
      <w:tr w14:paraId="271AF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168" w:type="dxa"/>
            <w:tcBorders>
              <w:top w:val="nil"/>
              <w:left w:val="nil"/>
              <w:bottom w:val="single" w:color="E5E5E5" w:sz="4" w:space="0"/>
              <w:right w:val="nil"/>
            </w:tcBorders>
            <w:shd w:val="clear" w:color="auto" w:fill="auto"/>
            <w:tcMar>
              <w:top w:w="120" w:type="dxa"/>
              <w:left w:w="0" w:type="dxa"/>
              <w:bottom w:w="120" w:type="dxa"/>
              <w:right w:w="120" w:type="dxa"/>
            </w:tcMar>
            <w:vAlign w:val="center"/>
          </w:tcPr>
          <w:p w14:paraId="73799BE9">
            <w:pPr>
              <w:keepNext w:val="0"/>
              <w:keepLines w:val="0"/>
              <w:widowControl/>
              <w:suppressLineNumbers w:val="0"/>
              <w:spacing w:line="21" w:lineRule="atLeast"/>
              <w:jc w:val="center"/>
              <w:rPr>
                <w:sz w:val="20"/>
                <w:szCs w:val="20"/>
              </w:rPr>
            </w:pPr>
            <w:r>
              <w:rPr>
                <w:rStyle w:val="14"/>
                <w:rFonts w:ascii="宋体" w:hAnsi="宋体" w:eastAsia="宋体" w:cs="宋体"/>
                <w:kern w:val="0"/>
                <w:sz w:val="20"/>
                <w:szCs w:val="20"/>
                <w:lang w:val="en-US" w:eastAsia="zh-CN" w:bidi="ar"/>
              </w:rPr>
              <w:t>最终验收后</w:t>
            </w:r>
          </w:p>
        </w:tc>
        <w:tc>
          <w:tcPr>
            <w:tcW w:w="5290" w:type="dxa"/>
            <w:tcBorders>
              <w:top w:val="nil"/>
              <w:left w:val="nil"/>
              <w:bottom w:val="single" w:color="E5E5E5" w:sz="4" w:space="0"/>
              <w:right w:val="nil"/>
            </w:tcBorders>
            <w:shd w:val="clear" w:color="auto" w:fill="auto"/>
            <w:tcMar>
              <w:top w:w="120" w:type="dxa"/>
              <w:left w:w="120" w:type="dxa"/>
              <w:bottom w:w="120" w:type="dxa"/>
              <w:right w:w="120" w:type="dxa"/>
            </w:tcMar>
            <w:vAlign w:val="center"/>
          </w:tcPr>
          <w:p w14:paraId="579AD650">
            <w:pPr>
              <w:keepNext w:val="0"/>
              <w:keepLines w:val="0"/>
              <w:widowControl/>
              <w:suppressLineNumbers w:val="0"/>
              <w:spacing w:line="21" w:lineRule="atLeast"/>
              <w:jc w:val="center"/>
              <w:rPr>
                <w:sz w:val="20"/>
                <w:szCs w:val="20"/>
              </w:rPr>
            </w:pPr>
            <w:r>
              <w:rPr>
                <w:rFonts w:hint="eastAsia" w:ascii="宋体" w:hAnsi="宋体" w:eastAsia="宋体" w:cs="宋体"/>
                <w:kern w:val="0"/>
                <w:sz w:val="20"/>
                <w:szCs w:val="20"/>
                <w:lang w:val="en-US" w:eastAsia="zh-CN" w:bidi="ar"/>
              </w:rPr>
              <w:t>签订合同满一年后，</w:t>
            </w:r>
            <w:r>
              <w:rPr>
                <w:rFonts w:ascii="宋体" w:hAnsi="宋体" w:eastAsia="宋体" w:cs="宋体"/>
                <w:kern w:val="0"/>
                <w:sz w:val="20"/>
                <w:szCs w:val="20"/>
                <w:lang w:val="en-US" w:eastAsia="zh-CN" w:bidi="ar"/>
              </w:rPr>
              <w:t>通过</w:t>
            </w:r>
            <w:r>
              <w:rPr>
                <w:rFonts w:hint="eastAsia" w:ascii="宋体" w:hAnsi="宋体" w:eastAsia="宋体" w:cs="宋体"/>
                <w:kern w:val="0"/>
                <w:sz w:val="20"/>
                <w:szCs w:val="20"/>
                <w:lang w:val="en-US" w:eastAsia="zh-CN" w:bidi="ar"/>
              </w:rPr>
              <w:t>学校考核</w:t>
            </w:r>
            <w:r>
              <w:rPr>
                <w:rFonts w:ascii="宋体" w:hAnsi="宋体" w:eastAsia="宋体" w:cs="宋体"/>
                <w:kern w:val="0"/>
                <w:sz w:val="20"/>
                <w:szCs w:val="20"/>
                <w:lang w:val="en-US" w:eastAsia="zh-CN" w:bidi="ar"/>
              </w:rPr>
              <w:t>，师生满意度≥85分</w:t>
            </w:r>
            <w:r>
              <w:rPr>
                <w:rFonts w:hint="eastAsia" w:ascii="宋体" w:hAnsi="宋体" w:eastAsia="宋体" w:cs="宋体"/>
                <w:kern w:val="0"/>
                <w:sz w:val="20"/>
                <w:szCs w:val="20"/>
                <w:lang w:val="en-US" w:eastAsia="zh-CN" w:bidi="ar"/>
              </w:rPr>
              <w:t>（考核表见附件1）</w:t>
            </w:r>
          </w:p>
        </w:tc>
        <w:tc>
          <w:tcPr>
            <w:tcW w:w="1044" w:type="dxa"/>
            <w:tcBorders>
              <w:top w:val="nil"/>
              <w:left w:val="nil"/>
              <w:bottom w:val="single" w:color="E5E5E5" w:sz="4" w:space="0"/>
              <w:right w:val="nil"/>
            </w:tcBorders>
            <w:shd w:val="clear" w:color="auto" w:fill="auto"/>
            <w:tcMar>
              <w:top w:w="120" w:type="dxa"/>
              <w:left w:w="120" w:type="dxa"/>
              <w:bottom w:w="120" w:type="dxa"/>
              <w:right w:w="120" w:type="dxa"/>
            </w:tcMar>
            <w:vAlign w:val="center"/>
          </w:tcPr>
          <w:p w14:paraId="29530AD3">
            <w:pPr>
              <w:keepNext w:val="0"/>
              <w:keepLines w:val="0"/>
              <w:widowControl/>
              <w:suppressLineNumbers w:val="0"/>
              <w:spacing w:line="21" w:lineRule="atLeast"/>
              <w:jc w:val="center"/>
              <w:rPr>
                <w:sz w:val="20"/>
                <w:szCs w:val="20"/>
              </w:rPr>
            </w:pPr>
            <w:r>
              <w:rPr>
                <w:rFonts w:ascii="宋体" w:hAnsi="宋体" w:eastAsia="宋体" w:cs="宋体"/>
                <w:kern w:val="0"/>
                <w:sz w:val="20"/>
                <w:szCs w:val="20"/>
                <w:lang w:val="en-US" w:eastAsia="zh-CN" w:bidi="ar"/>
              </w:rPr>
              <w:t>15%</w:t>
            </w:r>
          </w:p>
        </w:tc>
      </w:tr>
      <w:tr w14:paraId="0D571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168" w:type="dxa"/>
            <w:tcBorders>
              <w:top w:val="nil"/>
              <w:left w:val="nil"/>
              <w:bottom w:val="single" w:color="E5E5E5" w:sz="4" w:space="0"/>
              <w:right w:val="nil"/>
            </w:tcBorders>
            <w:shd w:val="clear" w:color="auto" w:fill="auto"/>
            <w:tcMar>
              <w:top w:w="120" w:type="dxa"/>
              <w:left w:w="0" w:type="dxa"/>
              <w:bottom w:w="120" w:type="dxa"/>
              <w:right w:w="120" w:type="dxa"/>
            </w:tcMar>
            <w:vAlign w:val="center"/>
          </w:tcPr>
          <w:p w14:paraId="55DCA901">
            <w:pPr>
              <w:keepNext w:val="0"/>
              <w:keepLines w:val="0"/>
              <w:widowControl/>
              <w:suppressLineNumbers w:val="0"/>
              <w:spacing w:line="21" w:lineRule="atLeast"/>
              <w:jc w:val="center"/>
              <w:rPr>
                <w:sz w:val="20"/>
                <w:szCs w:val="20"/>
              </w:rPr>
            </w:pPr>
            <w:r>
              <w:rPr>
                <w:rStyle w:val="14"/>
                <w:rFonts w:ascii="宋体" w:hAnsi="宋体" w:eastAsia="宋体" w:cs="宋体"/>
                <w:kern w:val="0"/>
                <w:sz w:val="20"/>
                <w:szCs w:val="20"/>
                <w:lang w:val="en-US" w:eastAsia="zh-CN" w:bidi="ar"/>
              </w:rPr>
              <w:t>质保金</w:t>
            </w:r>
          </w:p>
        </w:tc>
        <w:tc>
          <w:tcPr>
            <w:tcW w:w="5290" w:type="dxa"/>
            <w:tcBorders>
              <w:top w:val="nil"/>
              <w:left w:val="nil"/>
              <w:bottom w:val="single" w:color="E5E5E5" w:sz="4" w:space="0"/>
              <w:right w:val="nil"/>
            </w:tcBorders>
            <w:shd w:val="clear" w:color="auto" w:fill="auto"/>
            <w:tcMar>
              <w:top w:w="120" w:type="dxa"/>
              <w:left w:w="120" w:type="dxa"/>
              <w:bottom w:w="120" w:type="dxa"/>
              <w:right w:w="120" w:type="dxa"/>
            </w:tcMar>
            <w:vAlign w:val="center"/>
          </w:tcPr>
          <w:p w14:paraId="23D5E218">
            <w:pPr>
              <w:keepNext w:val="0"/>
              <w:keepLines w:val="0"/>
              <w:widowControl/>
              <w:suppressLineNumbers w:val="0"/>
              <w:spacing w:line="21" w:lineRule="atLeast"/>
              <w:jc w:val="center"/>
              <w:rPr>
                <w:sz w:val="20"/>
                <w:szCs w:val="20"/>
              </w:rPr>
            </w:pPr>
            <w:r>
              <w:rPr>
                <w:rFonts w:hint="eastAsia" w:ascii="宋体" w:hAnsi="宋体" w:eastAsia="宋体" w:cs="宋体"/>
                <w:kern w:val="0"/>
                <w:sz w:val="20"/>
                <w:szCs w:val="20"/>
                <w:lang w:val="en-US" w:eastAsia="zh-CN" w:bidi="ar"/>
              </w:rPr>
              <w:t>服务期</w:t>
            </w:r>
            <w:bookmarkStart w:id="2" w:name="_GoBack"/>
            <w:bookmarkEnd w:id="2"/>
            <w:r>
              <w:rPr>
                <w:rFonts w:hint="eastAsia" w:ascii="宋体" w:hAnsi="宋体" w:eastAsia="宋体" w:cs="宋体"/>
                <w:kern w:val="0"/>
                <w:sz w:val="20"/>
                <w:szCs w:val="20"/>
                <w:lang w:val="en-US" w:eastAsia="zh-CN" w:bidi="ar"/>
              </w:rPr>
              <w:t>满后</w:t>
            </w:r>
            <w:r>
              <w:rPr>
                <w:rFonts w:ascii="宋体" w:hAnsi="宋体" w:eastAsia="宋体" w:cs="宋体"/>
                <w:kern w:val="0"/>
                <w:sz w:val="20"/>
                <w:szCs w:val="20"/>
                <w:lang w:val="en-US" w:eastAsia="zh-CN" w:bidi="ar"/>
              </w:rPr>
              <w:t>无质量问题</w:t>
            </w:r>
          </w:p>
        </w:tc>
        <w:tc>
          <w:tcPr>
            <w:tcW w:w="1044" w:type="dxa"/>
            <w:tcBorders>
              <w:top w:val="nil"/>
              <w:left w:val="nil"/>
              <w:bottom w:val="single" w:color="E5E5E5" w:sz="4" w:space="0"/>
              <w:right w:val="nil"/>
            </w:tcBorders>
            <w:shd w:val="clear" w:color="auto" w:fill="auto"/>
            <w:tcMar>
              <w:top w:w="120" w:type="dxa"/>
              <w:left w:w="120" w:type="dxa"/>
              <w:bottom w:w="120" w:type="dxa"/>
              <w:right w:w="120" w:type="dxa"/>
            </w:tcMar>
            <w:vAlign w:val="center"/>
          </w:tcPr>
          <w:p w14:paraId="04C8585C">
            <w:pPr>
              <w:keepNext w:val="0"/>
              <w:keepLines w:val="0"/>
              <w:widowControl/>
              <w:suppressLineNumbers w:val="0"/>
              <w:spacing w:line="21" w:lineRule="atLeast"/>
              <w:jc w:val="center"/>
              <w:rPr>
                <w:sz w:val="20"/>
                <w:szCs w:val="20"/>
              </w:rPr>
            </w:pPr>
            <w:r>
              <w:rPr>
                <w:rFonts w:ascii="宋体" w:hAnsi="宋体" w:eastAsia="宋体" w:cs="宋体"/>
                <w:kern w:val="0"/>
                <w:sz w:val="20"/>
                <w:szCs w:val="20"/>
                <w:lang w:val="en-US" w:eastAsia="zh-CN" w:bidi="ar"/>
              </w:rPr>
              <w:t>5%</w:t>
            </w:r>
          </w:p>
        </w:tc>
      </w:tr>
    </w:tbl>
    <w:p w14:paraId="7FB4C695">
      <w:pPr>
        <w:keepNext w:val="0"/>
        <w:keepLines w:val="0"/>
        <w:pageBreakBefore w:val="0"/>
        <w:widowControl w:val="0"/>
        <w:tabs>
          <w:tab w:val="left" w:pos="1440"/>
        </w:tabs>
        <w:kinsoku/>
        <w:wordWrap/>
        <w:overflowPunct/>
        <w:topLinePunct w:val="0"/>
        <w:autoSpaceDE/>
        <w:autoSpaceDN/>
        <w:bidi w:val="0"/>
        <w:adjustRightInd/>
        <w:snapToGrid/>
        <w:ind w:firstLine="640" w:firstLineChars="200"/>
        <w:textAlignment w:val="auto"/>
        <w:rPr>
          <w:rFonts w:hint="eastAsia" w:ascii="仿宋" w:hAnsi="仿宋" w:eastAsia="仿宋"/>
          <w:sz w:val="32"/>
          <w:highlight w:val="yellow"/>
          <w:lang w:eastAsia="zh-CN"/>
        </w:rPr>
      </w:pPr>
      <w:r>
        <w:rPr>
          <w:rFonts w:hint="eastAsia" w:ascii="仿宋" w:hAnsi="仿宋" w:eastAsia="仿宋"/>
          <w:sz w:val="32"/>
          <w:highlight w:val="yellow"/>
        </w:rPr>
        <w:t>最终验收后，师生满意度≥85分</w:t>
      </w:r>
      <w:r>
        <w:rPr>
          <w:rFonts w:hint="eastAsia" w:ascii="仿宋" w:hAnsi="仿宋" w:eastAsia="仿宋"/>
          <w:sz w:val="32"/>
          <w:highlight w:val="yellow"/>
          <w:lang w:eastAsia="zh-CN"/>
        </w:rPr>
        <w:t>。</w:t>
      </w:r>
    </w:p>
    <w:p w14:paraId="5E914655">
      <w:pPr>
        <w:pStyle w:val="16"/>
        <w:numPr>
          <w:ilvl w:val="0"/>
          <w:numId w:val="1"/>
        </w:numPr>
        <w:spacing w:line="312" w:lineRule="auto"/>
        <w:ind w:firstLineChars="0"/>
        <w:outlineLvl w:val="0"/>
        <w:rPr>
          <w:rFonts w:hint="eastAsia" w:ascii="黑体" w:hAnsi="黑体" w:eastAsia="黑体" w:cs="黑体"/>
          <w:sz w:val="32"/>
          <w:szCs w:val="32"/>
        </w:rPr>
      </w:pPr>
      <w:r>
        <w:rPr>
          <w:rFonts w:hint="eastAsia" w:ascii="黑体" w:hAnsi="黑体" w:eastAsia="黑体" w:cs="黑体"/>
          <w:sz w:val="32"/>
          <w:szCs w:val="32"/>
        </w:rPr>
        <w:t>服务协议期限</w:t>
      </w:r>
    </w:p>
    <w:p w14:paraId="77F81595">
      <w:pPr>
        <w:snapToGrid w:val="0"/>
        <w:spacing w:line="560" w:lineRule="exact"/>
        <w:ind w:firstLine="640" w:firstLineChars="200"/>
        <w:contextualSpacing/>
        <w:rPr>
          <w:rFonts w:hint="eastAsia" w:ascii="仿宋" w:hAnsi="仿宋" w:eastAsia="仿宋" w:cs="仿宋_GB2312"/>
          <w:sz w:val="32"/>
          <w:szCs w:val="32"/>
        </w:rPr>
      </w:pPr>
      <w:r>
        <w:rPr>
          <w:rFonts w:hint="eastAsia" w:ascii="仿宋" w:hAnsi="仿宋" w:eastAsia="仿宋" w:cs="仿宋_GB2312"/>
          <w:sz w:val="32"/>
          <w:szCs w:val="32"/>
        </w:rPr>
        <w:t>本项目自合同双方签字或盖章之日起生效，有效期为两年。在服务期限内，双方应遵守相应的法律法规和约定，保证按时、按质量完成服务内容，确保服务质量和效果。</w:t>
      </w:r>
    </w:p>
    <w:p w14:paraId="1AFE52DA">
      <w:pPr>
        <w:pStyle w:val="16"/>
        <w:numPr>
          <w:ilvl w:val="0"/>
          <w:numId w:val="1"/>
        </w:numPr>
        <w:spacing w:line="312" w:lineRule="auto"/>
        <w:ind w:firstLineChars="0"/>
        <w:outlineLvl w:val="0"/>
        <w:rPr>
          <w:rFonts w:hint="eastAsia" w:ascii="黑体" w:hAnsi="黑体" w:eastAsia="黑体" w:cs="黑体"/>
          <w:sz w:val="32"/>
          <w:szCs w:val="32"/>
        </w:rPr>
      </w:pPr>
      <w:r>
        <w:rPr>
          <w:rFonts w:hint="eastAsia" w:ascii="黑体" w:hAnsi="黑体" w:eastAsia="黑体" w:cs="黑体"/>
          <w:bCs/>
          <w:sz w:val="32"/>
          <w:szCs w:val="32"/>
        </w:rPr>
        <w:t>商务要求</w:t>
      </w:r>
    </w:p>
    <w:p w14:paraId="3B1D9B55">
      <w:pPr>
        <w:pStyle w:val="16"/>
        <w:numPr>
          <w:ilvl w:val="0"/>
          <w:numId w:val="16"/>
        </w:numPr>
        <w:snapToGrid w:val="0"/>
        <w:spacing w:line="560" w:lineRule="exact"/>
        <w:ind w:firstLineChars="0"/>
        <w:contextualSpacing/>
        <w:outlineLvl w:val="2"/>
        <w:rPr>
          <w:rFonts w:hint="eastAsia" w:ascii="仿宋" w:hAnsi="仿宋" w:eastAsia="仿宋" w:cs="仿宋_GB2312"/>
          <w:sz w:val="32"/>
          <w:szCs w:val="32"/>
        </w:rPr>
      </w:pPr>
      <w:r>
        <w:rPr>
          <w:rFonts w:hint="eastAsia" w:ascii="仿宋" w:hAnsi="仿宋" w:eastAsia="仿宋" w:cs="仿宋_GB2312"/>
          <w:sz w:val="32"/>
          <w:szCs w:val="32"/>
        </w:rPr>
        <w:t>满足《中华人民共和国政府采购法》第二十二条规定</w:t>
      </w:r>
    </w:p>
    <w:p w14:paraId="7B76FDF9">
      <w:pPr>
        <w:pStyle w:val="16"/>
        <w:numPr>
          <w:ilvl w:val="0"/>
          <w:numId w:val="16"/>
        </w:numPr>
        <w:snapToGrid w:val="0"/>
        <w:spacing w:line="560" w:lineRule="exact"/>
        <w:ind w:firstLineChars="0"/>
        <w:contextualSpacing/>
        <w:outlineLvl w:val="2"/>
        <w:rPr>
          <w:rFonts w:hint="eastAsia" w:ascii="仿宋" w:hAnsi="仿宋" w:eastAsia="仿宋" w:cs="仿宋_GB2312"/>
          <w:sz w:val="32"/>
          <w:szCs w:val="32"/>
        </w:rPr>
      </w:pPr>
      <w:r>
        <w:rPr>
          <w:rFonts w:hint="eastAsia" w:ascii="仿宋" w:hAnsi="仿宋" w:eastAsia="仿宋" w:cs="仿宋_GB2312"/>
          <w:sz w:val="32"/>
          <w:szCs w:val="32"/>
        </w:rPr>
        <w:t>本项目可以面向中小企业采购</w:t>
      </w:r>
    </w:p>
    <w:p w14:paraId="4B8B9C7A">
      <w:pPr>
        <w:pStyle w:val="16"/>
        <w:numPr>
          <w:ilvl w:val="0"/>
          <w:numId w:val="16"/>
        </w:numPr>
        <w:snapToGrid w:val="0"/>
        <w:spacing w:line="560" w:lineRule="exact"/>
        <w:ind w:firstLineChars="0"/>
        <w:contextualSpacing/>
        <w:outlineLvl w:val="2"/>
        <w:rPr>
          <w:rFonts w:hint="eastAsia" w:ascii="仿宋" w:hAnsi="仿宋" w:eastAsia="仿宋" w:cs="仿宋_GB2312"/>
          <w:sz w:val="32"/>
          <w:szCs w:val="32"/>
        </w:rPr>
      </w:pPr>
      <w:r>
        <w:rPr>
          <w:rFonts w:hint="eastAsia" w:ascii="仿宋" w:hAnsi="仿宋" w:eastAsia="仿宋" w:cs="仿宋_GB2312"/>
          <w:sz w:val="32"/>
          <w:szCs w:val="32"/>
        </w:rPr>
        <w:t>服务期：自合同签订后 24个月。</w:t>
      </w:r>
    </w:p>
    <w:p w14:paraId="75C6A6EC">
      <w:pPr>
        <w:pStyle w:val="16"/>
        <w:numPr>
          <w:ilvl w:val="0"/>
          <w:numId w:val="16"/>
        </w:numPr>
        <w:snapToGrid w:val="0"/>
        <w:spacing w:line="560" w:lineRule="exact"/>
        <w:ind w:firstLineChars="0"/>
        <w:contextualSpacing/>
        <w:outlineLvl w:val="2"/>
        <w:rPr>
          <w:rFonts w:hint="eastAsia" w:ascii="仿宋" w:hAnsi="仿宋" w:eastAsia="仿宋" w:cs="仿宋_GB2312"/>
          <w:sz w:val="32"/>
          <w:szCs w:val="32"/>
        </w:rPr>
      </w:pPr>
      <w:r>
        <w:rPr>
          <w:rFonts w:hint="eastAsia" w:ascii="仿宋" w:hAnsi="仿宋" w:eastAsia="仿宋" w:cs="仿宋_GB2312"/>
          <w:sz w:val="32"/>
          <w:szCs w:val="32"/>
        </w:rPr>
        <w:t>2022年4月起至投标截止日前，投标人承接过不少于2项类似项目，（投标人提供的业绩以合同签订日期为准，需提供服务合同扫描件，合同扫描件须包含首页、关键页及签字盖章页等）</w:t>
      </w:r>
    </w:p>
    <w:p w14:paraId="43AFDCE0">
      <w:pPr>
        <w:pStyle w:val="16"/>
        <w:numPr>
          <w:ilvl w:val="0"/>
          <w:numId w:val="16"/>
        </w:numPr>
        <w:snapToGrid w:val="0"/>
        <w:spacing w:line="560" w:lineRule="exact"/>
        <w:ind w:firstLineChars="0"/>
        <w:contextualSpacing/>
        <w:outlineLvl w:val="2"/>
        <w:rPr>
          <w:rFonts w:hint="eastAsia" w:ascii="仿宋" w:hAnsi="仿宋" w:eastAsia="仿宋" w:cs="仿宋_GB2312"/>
          <w:sz w:val="32"/>
          <w:szCs w:val="32"/>
        </w:rPr>
      </w:pPr>
      <w:r>
        <w:rPr>
          <w:rFonts w:hint="eastAsia" w:ascii="仿宋" w:hAnsi="仿宋" w:eastAsia="仿宋" w:cs="仿宋_GB2312"/>
          <w:sz w:val="32"/>
          <w:szCs w:val="32"/>
        </w:rPr>
        <w:t>投标人近三年政府采购合同履约过程中及其他经营活动履约过程中因围标串标、偷税漏税、提供假冒伪劣商品等行为被有关行政部门处罚（处理）记录的，本项目不认定其具有良好的商业信誉，将拒绝其参本次政府采购活动。</w:t>
      </w:r>
    </w:p>
    <w:p w14:paraId="77C5B3E8">
      <w:pPr>
        <w:pStyle w:val="16"/>
        <w:numPr>
          <w:ilvl w:val="0"/>
          <w:numId w:val="1"/>
        </w:numPr>
        <w:spacing w:line="312" w:lineRule="auto"/>
        <w:ind w:firstLineChars="0"/>
        <w:outlineLvl w:val="0"/>
        <w:rPr>
          <w:rFonts w:hint="eastAsia" w:ascii="黑体" w:hAnsi="黑体" w:eastAsia="黑体" w:cs="黑体"/>
          <w:sz w:val="32"/>
          <w:szCs w:val="32"/>
        </w:rPr>
      </w:pPr>
      <w:r>
        <w:rPr>
          <w:rFonts w:hint="eastAsia" w:ascii="黑体" w:hAnsi="黑体" w:eastAsia="黑体" w:cs="黑体"/>
          <w:sz w:val="32"/>
          <w:szCs w:val="32"/>
        </w:rPr>
        <w:t>承担风险</w:t>
      </w:r>
    </w:p>
    <w:p w14:paraId="75B6B2DA">
      <w:pPr>
        <w:snapToGrid w:val="0"/>
        <w:spacing w:line="560" w:lineRule="exact"/>
        <w:ind w:firstLine="640" w:firstLineChars="200"/>
        <w:contextualSpacing/>
        <w:rPr>
          <w:rFonts w:hint="eastAsia" w:ascii="仿宋" w:hAnsi="仿宋" w:eastAsia="仿宋" w:cs="仿宋_GB2312"/>
          <w:sz w:val="32"/>
          <w:szCs w:val="32"/>
        </w:rPr>
      </w:pPr>
      <w:r>
        <w:rPr>
          <w:rFonts w:hint="eastAsia" w:ascii="仿宋" w:hAnsi="仿宋" w:eastAsia="仿宋" w:cs="仿宋_GB2312"/>
          <w:sz w:val="32"/>
          <w:szCs w:val="32"/>
        </w:rPr>
        <w:t>学院信息化建设与管理中心将对校园智慧校园服务质量进行全过程监控，中标单位日常工作不到位、不达标、或有违约现象，将依据合同约定，作出相应的违约处理与处罚。</w:t>
      </w:r>
    </w:p>
    <w:p w14:paraId="112F6A97">
      <w:pPr>
        <w:snapToGrid w:val="0"/>
        <w:spacing w:line="560" w:lineRule="exact"/>
        <w:contextualSpacing/>
        <w:rPr>
          <w:rFonts w:hint="eastAsia" w:ascii="仿宋" w:hAnsi="仿宋" w:eastAsia="仿宋" w:cs="仿宋_GB2312"/>
          <w:sz w:val="32"/>
          <w:szCs w:val="32"/>
        </w:rPr>
      </w:pPr>
      <w:r>
        <w:rPr>
          <w:rFonts w:hint="eastAsia" w:ascii="仿宋" w:hAnsi="仿宋" w:eastAsia="仿宋" w:cs="仿宋_GB2312"/>
          <w:sz w:val="32"/>
          <w:szCs w:val="32"/>
        </w:rPr>
        <w:t>违约处理与处罚规定：</w:t>
      </w:r>
    </w:p>
    <w:p w14:paraId="6925AB3E">
      <w:pPr>
        <w:snapToGrid w:val="0"/>
        <w:spacing w:line="560" w:lineRule="exact"/>
        <w:contextualSpacing/>
        <w:rPr>
          <w:rFonts w:hint="eastAsia" w:ascii="仿宋" w:hAnsi="仿宋" w:eastAsia="仿宋" w:cs="仿宋_GB2312"/>
          <w:sz w:val="32"/>
          <w:szCs w:val="32"/>
        </w:rPr>
      </w:pPr>
      <w:r>
        <w:rPr>
          <w:rFonts w:hint="eastAsia" w:ascii="仿宋" w:hAnsi="仿宋" w:eastAsia="仿宋" w:cs="仿宋_GB2312"/>
          <w:sz w:val="32"/>
          <w:szCs w:val="32"/>
        </w:rPr>
        <w:t>中标方在合同执行期间，如果有下列情形之一者，学院有权从责任保证金中视情节轻重扣除50－1000元/次。</w:t>
      </w:r>
    </w:p>
    <w:p w14:paraId="7D32D055">
      <w:pPr>
        <w:pStyle w:val="16"/>
        <w:numPr>
          <w:ilvl w:val="0"/>
          <w:numId w:val="17"/>
        </w:numPr>
        <w:snapToGrid w:val="0"/>
        <w:spacing w:line="560" w:lineRule="exact"/>
        <w:ind w:firstLineChars="0"/>
        <w:contextualSpacing/>
        <w:rPr>
          <w:rFonts w:hint="eastAsia" w:ascii="仿宋" w:hAnsi="仿宋" w:eastAsia="仿宋" w:cs="仿宋_GB2312"/>
          <w:sz w:val="32"/>
          <w:szCs w:val="32"/>
        </w:rPr>
      </w:pPr>
      <w:r>
        <w:rPr>
          <w:rFonts w:hint="eastAsia" w:ascii="仿宋" w:hAnsi="仿宋" w:eastAsia="仿宋" w:cs="仿宋_GB2312"/>
          <w:sz w:val="32"/>
          <w:szCs w:val="32"/>
        </w:rPr>
        <w:t>未按合同规定执行合同规定任务的。</w:t>
      </w:r>
    </w:p>
    <w:p w14:paraId="04890B44">
      <w:pPr>
        <w:pStyle w:val="16"/>
        <w:numPr>
          <w:ilvl w:val="0"/>
          <w:numId w:val="17"/>
        </w:numPr>
        <w:snapToGrid w:val="0"/>
        <w:spacing w:line="560" w:lineRule="exact"/>
        <w:ind w:firstLineChars="0"/>
        <w:contextualSpacing/>
        <w:rPr>
          <w:rFonts w:hint="eastAsia" w:ascii="仿宋" w:hAnsi="仿宋" w:eastAsia="仿宋" w:cs="仿宋_GB2312"/>
          <w:sz w:val="32"/>
          <w:szCs w:val="32"/>
        </w:rPr>
      </w:pPr>
      <w:r>
        <w:rPr>
          <w:rFonts w:hint="eastAsia" w:ascii="仿宋" w:hAnsi="仿宋" w:eastAsia="仿宋" w:cs="仿宋_GB2312"/>
          <w:sz w:val="32"/>
          <w:szCs w:val="32"/>
        </w:rPr>
        <w:t>没有及时响应造成学院损失的。</w:t>
      </w:r>
    </w:p>
    <w:p w14:paraId="183B8AEA">
      <w:pPr>
        <w:pStyle w:val="16"/>
        <w:numPr>
          <w:ilvl w:val="0"/>
          <w:numId w:val="17"/>
        </w:numPr>
        <w:snapToGrid w:val="0"/>
        <w:spacing w:line="560" w:lineRule="exact"/>
        <w:ind w:firstLineChars="0"/>
        <w:contextualSpacing/>
        <w:rPr>
          <w:rFonts w:hint="eastAsia" w:ascii="仿宋" w:hAnsi="仿宋" w:eastAsia="仿宋" w:cs="仿宋_GB2312"/>
          <w:sz w:val="32"/>
          <w:szCs w:val="32"/>
        </w:rPr>
      </w:pPr>
      <w:r>
        <w:rPr>
          <w:rFonts w:hint="eastAsia" w:ascii="仿宋" w:hAnsi="仿宋" w:eastAsia="仿宋" w:cs="仿宋_GB2312"/>
          <w:sz w:val="32"/>
          <w:szCs w:val="32"/>
        </w:rPr>
        <w:t>因维护不当造成后继损失的。</w:t>
      </w:r>
    </w:p>
    <w:p w14:paraId="5BE186FD">
      <w:pPr>
        <w:pStyle w:val="16"/>
        <w:numPr>
          <w:ilvl w:val="0"/>
          <w:numId w:val="17"/>
        </w:numPr>
        <w:snapToGrid w:val="0"/>
        <w:spacing w:line="560" w:lineRule="exact"/>
        <w:ind w:firstLineChars="0"/>
        <w:contextualSpacing/>
        <w:rPr>
          <w:rFonts w:hint="eastAsia" w:ascii="仿宋" w:hAnsi="仿宋" w:eastAsia="仿宋" w:cs="仿宋_GB2312"/>
          <w:sz w:val="32"/>
          <w:szCs w:val="32"/>
        </w:rPr>
      </w:pPr>
      <w:r>
        <w:rPr>
          <w:rFonts w:hint="eastAsia" w:ascii="仿宋" w:hAnsi="仿宋" w:eastAsia="仿宋" w:cs="仿宋_GB2312"/>
          <w:sz w:val="32"/>
          <w:szCs w:val="32"/>
        </w:rPr>
        <w:t>对学院指出的存在的问题与不足未能及时整改的。</w:t>
      </w:r>
    </w:p>
    <w:p w14:paraId="6D6DB2D5">
      <w:pPr>
        <w:spacing w:line="560" w:lineRule="exact"/>
        <w:ind w:firstLine="480" w:firstLineChars="200"/>
        <w:rPr>
          <w:rFonts w:hint="eastAsia" w:ascii="宋体" w:hAnsi="宋体" w:eastAsia="宋体" w:cs="宋体"/>
          <w:sz w:val="24"/>
          <w:szCs w:val="24"/>
        </w:rPr>
      </w:pPr>
    </w:p>
    <w:p w14:paraId="61329708">
      <w:pPr>
        <w:pStyle w:val="16"/>
        <w:spacing w:line="312" w:lineRule="auto"/>
        <w:ind w:firstLine="0" w:firstLineChars="0"/>
        <w:outlineLvl w:val="0"/>
        <w:rPr>
          <w:rFonts w:hint="eastAsia" w:ascii="黑体" w:hAnsi="黑体" w:eastAsia="黑体" w:cs="黑体"/>
          <w:sz w:val="32"/>
          <w:szCs w:val="32"/>
        </w:rPr>
      </w:pPr>
      <w:r>
        <w:rPr>
          <w:rFonts w:hint="eastAsia" w:ascii="宋体" w:hAnsi="宋体" w:cs="宋体"/>
          <w:b/>
          <w:bCs/>
          <w:sz w:val="28"/>
          <w:szCs w:val="28"/>
        </w:rPr>
        <w:br w:type="page"/>
      </w:r>
      <w:r>
        <w:rPr>
          <w:rFonts w:hint="eastAsia" w:ascii="黑体" w:hAnsi="黑体" w:eastAsia="黑体" w:cs="黑体"/>
          <w:sz w:val="32"/>
          <w:szCs w:val="32"/>
        </w:rPr>
        <w:t>附件1：考核评分表及考核要求</w:t>
      </w:r>
    </w:p>
    <w:p w14:paraId="562857A1">
      <w:pPr>
        <w:pStyle w:val="3"/>
        <w:widowControl/>
        <w:numPr>
          <w:ilvl w:val="0"/>
          <w:numId w:val="18"/>
        </w:numPr>
        <w:spacing w:before="274" w:beforeAutospacing="0" w:after="206" w:afterAutospacing="0" w:line="429" w:lineRule="atLeast"/>
        <w:rPr>
          <w:rStyle w:val="14"/>
          <w:rFonts w:ascii="楷体" w:hAnsi="楷体" w:eastAsia="楷体"/>
          <w:b/>
          <w:color w:val="404040"/>
          <w:sz w:val="32"/>
          <w:shd w:val="clear" w:color="auto" w:fill="FFFFFF"/>
        </w:rPr>
      </w:pPr>
      <w:r>
        <w:rPr>
          <w:rStyle w:val="14"/>
          <w:rFonts w:ascii="楷体" w:hAnsi="楷体" w:eastAsia="楷体"/>
          <w:b/>
          <w:color w:val="404040"/>
          <w:sz w:val="32"/>
          <w:shd w:val="clear" w:color="auto" w:fill="FFFFFF"/>
        </w:rPr>
        <w:t>考核项目与评分标准</w:t>
      </w:r>
    </w:p>
    <w:p w14:paraId="413646C4">
      <w:pPr>
        <w:rPr>
          <w:rFonts w:hint="eastAsia" w:ascii="仿宋" w:hAnsi="仿宋" w:eastAsia="仿宋"/>
          <w:sz w:val="32"/>
        </w:rPr>
      </w:pPr>
      <w:r>
        <w:rPr>
          <w:rFonts w:hint="eastAsia" w:ascii="仿宋" w:hAnsi="仿宋" w:eastAsia="仿宋"/>
          <w:sz w:val="32"/>
          <w:shd w:val="clear" w:color="auto" w:fill="FFFFFF"/>
        </w:rPr>
        <w:t>（总分</w:t>
      </w:r>
      <w:r>
        <w:rPr>
          <w:rFonts w:ascii="仿宋" w:hAnsi="仿宋" w:eastAsia="仿宋" w:cs="Segoe UI"/>
          <w:sz w:val="32"/>
          <w:shd w:val="clear" w:color="auto" w:fill="FFFFFF"/>
        </w:rPr>
        <w:t>100</w:t>
      </w:r>
      <w:r>
        <w:rPr>
          <w:rFonts w:hint="eastAsia" w:ascii="仿宋" w:hAnsi="仿宋" w:eastAsia="仿宋"/>
          <w:sz w:val="32"/>
          <w:shd w:val="clear" w:color="auto" w:fill="FFFFFF"/>
        </w:rPr>
        <w:t>分）</w:t>
      </w:r>
    </w:p>
    <w:tbl>
      <w:tblPr>
        <w:tblStyle w:val="11"/>
        <w:tblW w:w="0" w:type="auto"/>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1843"/>
        <w:gridCol w:w="1559"/>
        <w:gridCol w:w="4426"/>
        <w:gridCol w:w="588"/>
        <w:gridCol w:w="575"/>
        <w:gridCol w:w="575"/>
      </w:tblGrid>
      <w:tr w14:paraId="49D1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406" w:type="dxa"/>
            <w:gridSpan w:val="6"/>
            <w:shd w:val="clear" w:color="auto" w:fill="FFFFFF"/>
            <w:tcMar>
              <w:top w:w="150" w:type="dxa"/>
              <w:left w:w="0" w:type="dxa"/>
              <w:bottom w:w="150" w:type="dxa"/>
              <w:right w:w="150" w:type="dxa"/>
            </w:tcMar>
            <w:vAlign w:val="center"/>
          </w:tcPr>
          <w:p w14:paraId="11CC0E4C">
            <w:pPr>
              <w:spacing w:line="276" w:lineRule="auto"/>
              <w:jc w:val="center"/>
              <w:rPr>
                <w:rFonts w:hint="eastAsia" w:ascii="宋体" w:hAnsi="宋体"/>
                <w:b/>
                <w:color w:val="000000"/>
                <w:sz w:val="30"/>
                <w:szCs w:val="30"/>
              </w:rPr>
            </w:pPr>
            <w:r>
              <w:rPr>
                <w:rFonts w:hint="eastAsia" w:ascii="宋体" w:hAnsi="宋体"/>
                <w:b/>
                <w:color w:val="000000"/>
                <w:sz w:val="30"/>
                <w:szCs w:val="30"/>
              </w:rPr>
              <w:t>吐鲁番职业技术学院</w:t>
            </w:r>
          </w:p>
          <w:p w14:paraId="5C4D4356">
            <w:pPr>
              <w:spacing w:line="276" w:lineRule="auto"/>
              <w:jc w:val="center"/>
              <w:rPr>
                <w:rFonts w:hint="eastAsia" w:ascii="宋体" w:hAnsi="宋体"/>
                <w:b/>
                <w:color w:val="000000"/>
                <w:sz w:val="30"/>
                <w:szCs w:val="30"/>
              </w:rPr>
            </w:pPr>
            <w:r>
              <w:rPr>
                <w:rFonts w:ascii="宋体" w:hAnsi="宋体"/>
                <w:b/>
                <w:bCs/>
                <w:color w:val="000000"/>
                <w:sz w:val="30"/>
                <w:szCs w:val="30"/>
              </w:rPr>
              <w:t>智慧校园软件平台运维保障服务</w:t>
            </w:r>
            <w:r>
              <w:rPr>
                <w:rFonts w:hint="eastAsia" w:ascii="宋体" w:hAnsi="宋体"/>
                <w:b/>
                <w:bCs/>
                <w:color w:val="000000"/>
                <w:sz w:val="30"/>
                <w:szCs w:val="30"/>
              </w:rPr>
              <w:t>年</w:t>
            </w:r>
            <w:r>
              <w:rPr>
                <w:rFonts w:hint="eastAsia" w:ascii="宋体" w:hAnsi="宋体"/>
                <w:b/>
                <w:color w:val="000000"/>
                <w:sz w:val="30"/>
                <w:szCs w:val="30"/>
              </w:rPr>
              <w:t>度检查考核评分表</w:t>
            </w:r>
          </w:p>
          <w:p w14:paraId="1B1D3042">
            <w:pPr>
              <w:spacing w:line="276" w:lineRule="auto"/>
              <w:jc w:val="center"/>
              <w:rPr>
                <w:rStyle w:val="14"/>
                <w:rFonts w:ascii="Segoe UI" w:hAnsi="Segoe UI" w:cs="Segoe UI"/>
                <w:color w:val="404040"/>
                <w:sz w:val="24"/>
                <w:szCs w:val="24"/>
                <w:shd w:val="clear" w:color="auto" w:fill="FFFFFF"/>
              </w:rPr>
            </w:pPr>
            <w:r>
              <w:rPr>
                <w:rStyle w:val="14"/>
                <w:rFonts w:hint="eastAsia" w:ascii="微软雅黑" w:hAnsi="微软雅黑" w:eastAsia="微软雅黑" w:cs="微软雅黑"/>
                <w:color w:val="404040"/>
                <w:sz w:val="24"/>
                <w:szCs w:val="24"/>
                <w:shd w:val="clear" w:color="auto" w:fill="FFFFFF"/>
              </w:rPr>
              <w:t>月份：</w:t>
            </w:r>
            <w:r>
              <w:rPr>
                <w:rFonts w:ascii="Segoe UI" w:hAnsi="Segoe UI" w:eastAsia="Segoe UI" w:cs="Segoe UI"/>
                <w:color w:val="404040"/>
                <w:sz w:val="24"/>
                <w:szCs w:val="24"/>
                <w:shd w:val="clear" w:color="auto" w:fill="FFFFFF"/>
              </w:rPr>
              <w:t>_________  </w:t>
            </w:r>
            <w:r>
              <w:rPr>
                <w:rStyle w:val="14"/>
                <w:rFonts w:hint="eastAsia" w:ascii="微软雅黑" w:hAnsi="微软雅黑" w:eastAsia="微软雅黑" w:cs="微软雅黑"/>
                <w:color w:val="404040"/>
                <w:sz w:val="24"/>
                <w:szCs w:val="24"/>
                <w:shd w:val="clear" w:color="auto" w:fill="FFFFFF"/>
              </w:rPr>
              <w:t>服务单位：</w:t>
            </w:r>
            <w:r>
              <w:rPr>
                <w:rFonts w:hint="eastAsia" w:ascii="Segoe UI" w:hAnsi="Segoe UI" w:cs="Segoe UI"/>
                <w:color w:val="404040"/>
                <w:szCs w:val="24"/>
                <w:u w:val="single"/>
                <w:shd w:val="clear" w:color="auto" w:fill="FFFFFF"/>
              </w:rPr>
              <w:t xml:space="preserve">            </w:t>
            </w:r>
            <w:r>
              <w:rPr>
                <w:rFonts w:hint="eastAsia" w:ascii="Segoe UI" w:hAnsi="Segoe UI" w:cs="Segoe UI"/>
                <w:color w:val="404040"/>
                <w:sz w:val="24"/>
                <w:szCs w:val="24"/>
                <w:u w:val="single"/>
                <w:shd w:val="clear" w:color="auto" w:fill="FFFFFF"/>
              </w:rPr>
              <w:t xml:space="preserve"> </w:t>
            </w:r>
            <w:r>
              <w:rPr>
                <w:rFonts w:hint="eastAsia"/>
                <w:u w:val="single"/>
              </w:rPr>
              <w:t xml:space="preserve">     </w:t>
            </w:r>
            <w:r>
              <w:rPr>
                <w:rFonts w:ascii="Segoe UI" w:hAnsi="Segoe UI" w:eastAsia="Segoe UI" w:cs="Segoe UI"/>
                <w:color w:val="404040"/>
                <w:sz w:val="24"/>
                <w:szCs w:val="24"/>
                <w:shd w:val="clear" w:color="auto" w:fill="FFFFFF"/>
              </w:rPr>
              <w:t>  </w:t>
            </w:r>
            <w:r>
              <w:rPr>
                <w:rStyle w:val="14"/>
                <w:rFonts w:hint="eastAsia" w:ascii="微软雅黑" w:hAnsi="微软雅黑" w:eastAsia="微软雅黑" w:cs="微软雅黑"/>
                <w:color w:val="404040"/>
                <w:sz w:val="24"/>
                <w:szCs w:val="24"/>
                <w:shd w:val="clear" w:color="auto" w:fill="FFFFFF"/>
              </w:rPr>
              <w:t>考核部门：</w:t>
            </w:r>
            <w:r>
              <w:rPr>
                <w:rFonts w:ascii="Segoe UI" w:hAnsi="Segoe UI" w:eastAsia="Segoe UI" w:cs="Segoe UI"/>
                <w:color w:val="404040"/>
                <w:sz w:val="24"/>
                <w:szCs w:val="24"/>
                <w:shd w:val="clear" w:color="auto" w:fill="FFFFFF"/>
              </w:rPr>
              <w:t>____</w:t>
            </w:r>
            <w:r>
              <w:rPr>
                <w:rFonts w:ascii="Segoe UI" w:hAnsi="Segoe UI" w:eastAsia="Segoe UI" w:cs="Segoe UI"/>
                <w:color w:val="404040"/>
                <w:sz w:val="24"/>
                <w:szCs w:val="24"/>
                <w:u w:val="single"/>
                <w:shd w:val="clear" w:color="auto" w:fill="FFFFFF"/>
              </w:rPr>
              <w:t>_</w:t>
            </w:r>
            <w:r>
              <w:rPr>
                <w:rFonts w:hint="eastAsia" w:ascii="Segoe UI" w:hAnsi="Segoe UI" w:cs="Segoe UI"/>
                <w:color w:val="404040"/>
                <w:szCs w:val="24"/>
                <w:u w:val="single"/>
                <w:shd w:val="clear" w:color="auto" w:fill="FFFFFF"/>
              </w:rPr>
              <w:t xml:space="preserve">  </w:t>
            </w:r>
            <w:r>
              <w:rPr>
                <w:rFonts w:ascii="Segoe UI" w:hAnsi="Segoe UI" w:eastAsia="Segoe UI" w:cs="Segoe UI"/>
                <w:color w:val="404040"/>
                <w:sz w:val="24"/>
                <w:szCs w:val="24"/>
                <w:u w:val="single"/>
                <w:shd w:val="clear" w:color="auto" w:fill="FFFFFF"/>
              </w:rPr>
              <w:t>__</w:t>
            </w:r>
            <w:r>
              <w:rPr>
                <w:rFonts w:ascii="Segoe UI" w:hAnsi="Segoe UI" w:eastAsia="Segoe UI" w:cs="Segoe UI"/>
                <w:color w:val="404040"/>
                <w:sz w:val="24"/>
                <w:szCs w:val="24"/>
                <w:shd w:val="clear" w:color="auto" w:fill="FFFFFF"/>
              </w:rPr>
              <w:t>__</w:t>
            </w:r>
          </w:p>
        </w:tc>
      </w:tr>
      <w:tr w14:paraId="75A2E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trPr>
        <w:tc>
          <w:tcPr>
            <w:tcW w:w="1843" w:type="dxa"/>
            <w:shd w:val="clear" w:color="auto" w:fill="FFFFFF"/>
            <w:tcMar>
              <w:top w:w="150" w:type="dxa"/>
              <w:left w:w="0" w:type="dxa"/>
              <w:bottom w:w="150" w:type="dxa"/>
              <w:right w:w="150" w:type="dxa"/>
            </w:tcMar>
            <w:vAlign w:val="center"/>
          </w:tcPr>
          <w:p w14:paraId="7A59C50D">
            <w:pPr>
              <w:widowControl/>
              <w:spacing w:line="26" w:lineRule="atLeast"/>
              <w:jc w:val="left"/>
              <w:rPr>
                <w:rFonts w:hint="eastAsia" w:cs="Segoe UI" w:asciiTheme="minorEastAsia" w:hAnsiTheme="minorEastAsia"/>
                <w:color w:val="404040"/>
                <w:sz w:val="22"/>
              </w:rPr>
            </w:pPr>
            <w:r>
              <w:rPr>
                <w:rStyle w:val="14"/>
                <w:rFonts w:hint="eastAsia" w:cs="微软雅黑" w:asciiTheme="minorEastAsia" w:hAnsiTheme="minorEastAsia"/>
                <w:color w:val="404040"/>
                <w:kern w:val="0"/>
                <w:sz w:val="22"/>
                <w:lang w:bidi="ar"/>
              </w:rPr>
              <w:t>考</w:t>
            </w:r>
            <w:r>
              <w:rPr>
                <w:rStyle w:val="14"/>
                <w:rFonts w:cs="Segoe UI" w:asciiTheme="minorEastAsia" w:hAnsiTheme="minorEastAsia"/>
                <w:color w:val="404040"/>
                <w:kern w:val="0"/>
                <w:sz w:val="22"/>
                <w:lang w:bidi="ar"/>
              </w:rPr>
              <w:t>核大类</w:t>
            </w:r>
          </w:p>
        </w:tc>
        <w:tc>
          <w:tcPr>
            <w:tcW w:w="1559" w:type="dxa"/>
            <w:shd w:val="clear" w:color="auto" w:fill="FFFFFF"/>
            <w:tcMar>
              <w:top w:w="150" w:type="dxa"/>
              <w:left w:w="150" w:type="dxa"/>
              <w:bottom w:w="150" w:type="dxa"/>
              <w:right w:w="150" w:type="dxa"/>
            </w:tcMar>
            <w:vAlign w:val="center"/>
          </w:tcPr>
          <w:p w14:paraId="60E973AA">
            <w:pPr>
              <w:widowControl/>
              <w:spacing w:line="26" w:lineRule="atLeast"/>
              <w:jc w:val="left"/>
              <w:rPr>
                <w:rFonts w:hint="eastAsia" w:cs="Segoe UI" w:asciiTheme="minorEastAsia" w:hAnsiTheme="minorEastAsia"/>
                <w:color w:val="404040"/>
                <w:sz w:val="22"/>
              </w:rPr>
            </w:pPr>
            <w:r>
              <w:rPr>
                <w:rStyle w:val="14"/>
                <w:rFonts w:cs="Segoe UI" w:asciiTheme="minorEastAsia" w:hAnsiTheme="minorEastAsia"/>
                <w:color w:val="404040"/>
                <w:kern w:val="0"/>
                <w:sz w:val="22"/>
                <w:lang w:bidi="ar"/>
              </w:rPr>
              <w:t>考核子项</w:t>
            </w:r>
          </w:p>
        </w:tc>
        <w:tc>
          <w:tcPr>
            <w:tcW w:w="4426" w:type="dxa"/>
            <w:shd w:val="clear" w:color="auto" w:fill="FFFFFF"/>
            <w:tcMar>
              <w:top w:w="150" w:type="dxa"/>
              <w:left w:w="150" w:type="dxa"/>
              <w:bottom w:w="150" w:type="dxa"/>
              <w:right w:w="150" w:type="dxa"/>
            </w:tcMar>
            <w:vAlign w:val="center"/>
          </w:tcPr>
          <w:p w14:paraId="770728FB">
            <w:pPr>
              <w:widowControl/>
              <w:spacing w:line="26" w:lineRule="atLeast"/>
              <w:jc w:val="left"/>
              <w:rPr>
                <w:rFonts w:hint="eastAsia" w:cs="Segoe UI" w:asciiTheme="minorEastAsia" w:hAnsiTheme="minorEastAsia"/>
                <w:color w:val="404040"/>
                <w:sz w:val="22"/>
              </w:rPr>
            </w:pPr>
            <w:r>
              <w:rPr>
                <w:rStyle w:val="14"/>
                <w:rFonts w:cs="Segoe UI" w:asciiTheme="minorEastAsia" w:hAnsiTheme="minorEastAsia"/>
                <w:color w:val="404040"/>
                <w:kern w:val="0"/>
                <w:sz w:val="22"/>
                <w:lang w:bidi="ar"/>
              </w:rPr>
              <w:t>评分标准</w:t>
            </w:r>
          </w:p>
        </w:tc>
        <w:tc>
          <w:tcPr>
            <w:tcW w:w="0" w:type="auto"/>
            <w:shd w:val="clear" w:color="auto" w:fill="FFFFFF"/>
            <w:tcMar>
              <w:top w:w="150" w:type="dxa"/>
              <w:left w:w="150" w:type="dxa"/>
              <w:bottom w:w="150" w:type="dxa"/>
              <w:right w:w="150" w:type="dxa"/>
            </w:tcMar>
            <w:vAlign w:val="center"/>
          </w:tcPr>
          <w:p w14:paraId="68BC186C">
            <w:pPr>
              <w:widowControl/>
              <w:spacing w:line="26" w:lineRule="atLeast"/>
              <w:jc w:val="left"/>
              <w:rPr>
                <w:rFonts w:hint="eastAsia" w:cs="Segoe UI" w:asciiTheme="minorEastAsia" w:hAnsiTheme="minorEastAsia"/>
                <w:color w:val="404040"/>
                <w:sz w:val="22"/>
              </w:rPr>
            </w:pPr>
            <w:r>
              <w:rPr>
                <w:rStyle w:val="14"/>
                <w:rFonts w:cs="Segoe UI" w:asciiTheme="minorEastAsia" w:hAnsiTheme="minorEastAsia"/>
                <w:color w:val="404040"/>
                <w:kern w:val="0"/>
                <w:sz w:val="22"/>
                <w:lang w:bidi="ar"/>
              </w:rPr>
              <w:t>分值</w:t>
            </w:r>
          </w:p>
        </w:tc>
        <w:tc>
          <w:tcPr>
            <w:tcW w:w="0" w:type="auto"/>
            <w:shd w:val="clear" w:color="auto" w:fill="FFFFFF"/>
            <w:tcMar>
              <w:top w:w="150" w:type="dxa"/>
              <w:left w:w="150" w:type="dxa"/>
              <w:bottom w:w="150" w:type="dxa"/>
              <w:right w:w="150" w:type="dxa"/>
            </w:tcMar>
            <w:vAlign w:val="center"/>
          </w:tcPr>
          <w:p w14:paraId="1301CF2A">
            <w:pPr>
              <w:widowControl/>
              <w:spacing w:line="26" w:lineRule="atLeast"/>
              <w:jc w:val="left"/>
              <w:rPr>
                <w:rFonts w:hint="eastAsia" w:cs="Segoe UI" w:asciiTheme="minorEastAsia" w:hAnsiTheme="minorEastAsia"/>
                <w:color w:val="404040"/>
                <w:sz w:val="22"/>
              </w:rPr>
            </w:pPr>
            <w:r>
              <w:rPr>
                <w:rStyle w:val="14"/>
                <w:rFonts w:cs="Segoe UI" w:asciiTheme="minorEastAsia" w:hAnsiTheme="minorEastAsia"/>
                <w:color w:val="404040"/>
                <w:kern w:val="0"/>
                <w:sz w:val="22"/>
                <w:lang w:bidi="ar"/>
              </w:rPr>
              <w:t>得分</w:t>
            </w:r>
          </w:p>
        </w:tc>
        <w:tc>
          <w:tcPr>
            <w:tcW w:w="0" w:type="auto"/>
            <w:shd w:val="clear" w:color="auto" w:fill="FFFFFF"/>
            <w:tcMar>
              <w:top w:w="150" w:type="dxa"/>
              <w:left w:w="150" w:type="dxa"/>
              <w:bottom w:w="150" w:type="dxa"/>
              <w:right w:w="150" w:type="dxa"/>
            </w:tcMar>
            <w:vAlign w:val="center"/>
          </w:tcPr>
          <w:p w14:paraId="47752F43">
            <w:pPr>
              <w:widowControl/>
              <w:spacing w:line="26" w:lineRule="atLeast"/>
              <w:jc w:val="left"/>
              <w:rPr>
                <w:rFonts w:hint="eastAsia" w:cs="Segoe UI" w:asciiTheme="minorEastAsia" w:hAnsiTheme="minorEastAsia"/>
                <w:color w:val="404040"/>
                <w:sz w:val="22"/>
              </w:rPr>
            </w:pPr>
            <w:r>
              <w:rPr>
                <w:rStyle w:val="14"/>
                <w:rFonts w:cs="Segoe UI" w:asciiTheme="minorEastAsia" w:hAnsiTheme="minorEastAsia"/>
                <w:color w:val="404040"/>
                <w:kern w:val="0"/>
                <w:sz w:val="22"/>
                <w:lang w:bidi="ar"/>
              </w:rPr>
              <w:t>备注</w:t>
            </w:r>
          </w:p>
        </w:tc>
      </w:tr>
      <w:tr w14:paraId="195E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43" w:type="dxa"/>
            <w:vMerge w:val="restart"/>
            <w:shd w:val="clear" w:color="auto" w:fill="FFFFFF"/>
            <w:tcMar>
              <w:top w:w="150" w:type="dxa"/>
              <w:left w:w="0" w:type="dxa"/>
              <w:bottom w:w="150" w:type="dxa"/>
              <w:right w:w="150" w:type="dxa"/>
            </w:tcMar>
            <w:vAlign w:val="center"/>
          </w:tcPr>
          <w:p w14:paraId="06C0BF18">
            <w:pPr>
              <w:widowControl/>
              <w:spacing w:line="26" w:lineRule="atLeast"/>
              <w:jc w:val="left"/>
              <w:rPr>
                <w:rFonts w:ascii="Segoe UI" w:hAnsi="Segoe UI" w:cs="Segoe UI"/>
                <w:color w:val="404040"/>
                <w:sz w:val="22"/>
              </w:rPr>
            </w:pPr>
            <w:r>
              <w:rPr>
                <w:rFonts w:ascii="Segoe UI" w:hAnsi="Segoe UI" w:cs="Segoe UI"/>
                <w:b/>
                <w:bCs/>
                <w:color w:val="404040"/>
                <w:sz w:val="22"/>
              </w:rPr>
              <w:t>1. 技术保障服务</w:t>
            </w:r>
            <w:r>
              <w:rPr>
                <w:rFonts w:hint="eastAsia" w:ascii="Segoe UI" w:hAnsi="Segoe UI" w:cs="Segoe UI"/>
                <w:b/>
                <w:bCs/>
                <w:color w:val="404040"/>
                <w:sz w:val="22"/>
              </w:rPr>
              <w:t>（</w:t>
            </w:r>
            <w:r>
              <w:rPr>
                <w:rFonts w:ascii="Segoe UI" w:hAnsi="Segoe UI" w:cs="Segoe UI"/>
                <w:b/>
                <w:bCs/>
                <w:color w:val="404040"/>
                <w:sz w:val="22"/>
              </w:rPr>
              <w:t>25分）</w:t>
            </w:r>
          </w:p>
        </w:tc>
        <w:tc>
          <w:tcPr>
            <w:tcW w:w="1559" w:type="dxa"/>
            <w:shd w:val="clear" w:color="auto" w:fill="FFFFFF"/>
            <w:tcMar>
              <w:top w:w="150" w:type="dxa"/>
              <w:left w:w="150" w:type="dxa"/>
              <w:bottom w:w="150" w:type="dxa"/>
              <w:right w:w="150" w:type="dxa"/>
            </w:tcMar>
            <w:vAlign w:val="center"/>
          </w:tcPr>
          <w:p w14:paraId="2B6FBD95">
            <w:pPr>
              <w:widowControl/>
              <w:spacing w:line="26" w:lineRule="atLeast"/>
              <w:jc w:val="left"/>
              <w:rPr>
                <w:rFonts w:ascii="Segoe UI" w:hAnsi="Segoe UI" w:eastAsia="Segoe UI" w:cs="Segoe UI"/>
                <w:color w:val="404040"/>
                <w:sz w:val="22"/>
              </w:rPr>
            </w:pPr>
            <w:r>
              <w:rPr>
                <w:rFonts w:ascii="Segoe UI" w:hAnsi="Segoe UI" w:eastAsia="Segoe UI" w:cs="Segoe UI"/>
                <w:color w:val="404040"/>
                <w:kern w:val="0"/>
                <w:sz w:val="22"/>
                <w:lang w:bidi="ar"/>
              </w:rPr>
              <w:t xml:space="preserve">1.1 </w:t>
            </w:r>
            <w:r>
              <w:rPr>
                <w:rFonts w:hint="eastAsia" w:ascii="微软雅黑" w:hAnsi="微软雅黑" w:eastAsia="微软雅黑" w:cs="微软雅黑"/>
                <w:color w:val="404040"/>
                <w:kern w:val="0"/>
                <w:sz w:val="22"/>
                <w:lang w:bidi="ar"/>
              </w:rPr>
              <w:t>紧急故障修复</w:t>
            </w:r>
          </w:p>
        </w:tc>
        <w:tc>
          <w:tcPr>
            <w:tcW w:w="4426" w:type="dxa"/>
            <w:shd w:val="clear" w:color="auto" w:fill="FFFFFF"/>
            <w:tcMar>
              <w:top w:w="150" w:type="dxa"/>
              <w:left w:w="150" w:type="dxa"/>
              <w:bottom w:w="150" w:type="dxa"/>
              <w:right w:w="150" w:type="dxa"/>
            </w:tcMar>
            <w:vAlign w:val="center"/>
          </w:tcPr>
          <w:p w14:paraId="78C8CA01">
            <w:pPr>
              <w:widowControl/>
              <w:spacing w:line="26" w:lineRule="atLeast"/>
              <w:jc w:val="left"/>
              <w:rPr>
                <w:rFonts w:ascii="Segoe UI" w:hAnsi="Segoe UI" w:eastAsia="Segoe UI" w:cs="Segoe UI"/>
                <w:color w:val="404040"/>
                <w:sz w:val="22"/>
              </w:rPr>
            </w:pPr>
            <w:r>
              <w:rPr>
                <w:rFonts w:hint="eastAsia" w:ascii="微软雅黑" w:hAnsi="微软雅黑" w:eastAsia="微软雅黑" w:cs="微软雅黑"/>
                <w:color w:val="404040"/>
                <w:kern w:val="0"/>
                <w:sz w:val="22"/>
                <w:lang w:bidi="ar"/>
              </w:rPr>
              <w:t>重大故障（如核心业务功能中断持续≥30分钟、受影响终端用户比例≥30%）响应时间</w:t>
            </w:r>
            <w:r>
              <w:rPr>
                <w:rFonts w:ascii="Segoe UI" w:hAnsi="Segoe UI" w:eastAsia="Segoe UI" w:cs="Segoe UI"/>
                <w:color w:val="404040"/>
                <w:kern w:val="0"/>
                <w:sz w:val="22"/>
                <w:lang w:bidi="ar"/>
              </w:rPr>
              <w:t>≤2</w:t>
            </w:r>
            <w:r>
              <w:rPr>
                <w:rFonts w:hint="eastAsia" w:ascii="微软雅黑" w:hAnsi="微软雅黑" w:eastAsia="微软雅黑" w:cs="微软雅黑"/>
                <w:color w:val="404040"/>
                <w:kern w:val="0"/>
                <w:sz w:val="22"/>
                <w:lang w:bidi="ar"/>
              </w:rPr>
              <w:t>小时，修复时间</w:t>
            </w:r>
            <w:r>
              <w:rPr>
                <w:rFonts w:ascii="Segoe UI" w:hAnsi="Segoe UI" w:eastAsia="Segoe UI" w:cs="Segoe UI"/>
                <w:color w:val="404040"/>
                <w:kern w:val="0"/>
                <w:sz w:val="22"/>
                <w:lang w:bidi="ar"/>
              </w:rPr>
              <w:t>≤4</w:t>
            </w:r>
            <w:r>
              <w:rPr>
                <w:rFonts w:hint="eastAsia" w:ascii="微软雅黑" w:hAnsi="微软雅黑" w:eastAsia="微软雅黑" w:cs="微软雅黑"/>
                <w:color w:val="404040"/>
                <w:kern w:val="0"/>
                <w:sz w:val="22"/>
                <w:lang w:bidi="ar"/>
              </w:rPr>
              <w:t>小时，每超时</w:t>
            </w:r>
            <w:r>
              <w:rPr>
                <w:rFonts w:ascii="Segoe UI" w:hAnsi="Segoe UI" w:eastAsia="Segoe UI" w:cs="Segoe UI"/>
                <w:color w:val="404040"/>
                <w:kern w:val="0"/>
                <w:sz w:val="22"/>
                <w:lang w:bidi="ar"/>
              </w:rPr>
              <w:t>1</w:t>
            </w:r>
            <w:r>
              <w:rPr>
                <w:rFonts w:hint="eastAsia" w:ascii="微软雅黑" w:hAnsi="微软雅黑" w:eastAsia="微软雅黑" w:cs="微软雅黑"/>
                <w:color w:val="404040"/>
                <w:kern w:val="0"/>
                <w:sz w:val="22"/>
                <w:lang w:bidi="ar"/>
              </w:rPr>
              <w:t>次扣</w:t>
            </w:r>
            <w:r>
              <w:rPr>
                <w:rFonts w:ascii="Segoe UI" w:hAnsi="Segoe UI" w:eastAsia="Segoe UI" w:cs="Segoe UI"/>
                <w:color w:val="404040"/>
                <w:kern w:val="0"/>
                <w:sz w:val="22"/>
                <w:lang w:bidi="ar"/>
              </w:rPr>
              <w:t>2</w:t>
            </w:r>
            <w:r>
              <w:rPr>
                <w:rFonts w:hint="eastAsia" w:ascii="微软雅黑" w:hAnsi="微软雅黑" w:eastAsia="微软雅黑" w:cs="微软雅黑"/>
                <w:color w:val="404040"/>
                <w:kern w:val="0"/>
                <w:sz w:val="22"/>
                <w:lang w:bidi="ar"/>
              </w:rPr>
              <w:t>分；每年至少提供</w:t>
            </w:r>
            <w:r>
              <w:rPr>
                <w:rFonts w:ascii="Segoe UI" w:hAnsi="Segoe UI" w:eastAsia="Segoe UI" w:cs="Segoe UI"/>
                <w:color w:val="404040"/>
                <w:kern w:val="0"/>
                <w:sz w:val="22"/>
                <w:lang w:bidi="ar"/>
              </w:rPr>
              <w:t>1</w:t>
            </w:r>
            <w:r>
              <w:rPr>
                <w:rFonts w:hint="eastAsia" w:ascii="微软雅黑" w:hAnsi="微软雅黑" w:eastAsia="微软雅黑" w:cs="微软雅黑"/>
                <w:color w:val="404040"/>
                <w:kern w:val="0"/>
                <w:sz w:val="22"/>
                <w:lang w:bidi="ar"/>
              </w:rPr>
              <w:t>次服务。</w:t>
            </w:r>
          </w:p>
        </w:tc>
        <w:tc>
          <w:tcPr>
            <w:tcW w:w="0" w:type="auto"/>
            <w:shd w:val="clear" w:color="auto" w:fill="FFFFFF"/>
            <w:tcMar>
              <w:top w:w="150" w:type="dxa"/>
              <w:left w:w="150" w:type="dxa"/>
              <w:bottom w:w="150" w:type="dxa"/>
              <w:right w:w="150" w:type="dxa"/>
            </w:tcMar>
            <w:vAlign w:val="center"/>
          </w:tcPr>
          <w:p w14:paraId="49FA7024">
            <w:pPr>
              <w:widowControl/>
              <w:spacing w:line="26" w:lineRule="atLeast"/>
              <w:jc w:val="left"/>
              <w:rPr>
                <w:rFonts w:ascii="Segoe UI" w:hAnsi="Segoe UI" w:eastAsia="Segoe UI" w:cs="Segoe UI"/>
                <w:color w:val="404040"/>
                <w:sz w:val="22"/>
              </w:rPr>
            </w:pPr>
            <w:r>
              <w:rPr>
                <w:rFonts w:ascii="Segoe UI" w:hAnsi="Segoe UI" w:eastAsia="Segoe UI" w:cs="Segoe UI"/>
                <w:color w:val="404040"/>
                <w:kern w:val="0"/>
                <w:sz w:val="22"/>
                <w:lang w:bidi="ar"/>
              </w:rPr>
              <w:t>8</w:t>
            </w:r>
          </w:p>
        </w:tc>
        <w:tc>
          <w:tcPr>
            <w:tcW w:w="0" w:type="auto"/>
            <w:shd w:val="clear" w:color="auto" w:fill="FFFFFF"/>
            <w:tcMar>
              <w:top w:w="150" w:type="dxa"/>
              <w:left w:w="150" w:type="dxa"/>
              <w:bottom w:w="150" w:type="dxa"/>
              <w:right w:w="150" w:type="dxa"/>
            </w:tcMar>
            <w:vAlign w:val="center"/>
          </w:tcPr>
          <w:p w14:paraId="27ACDE96">
            <w:pPr>
              <w:rPr>
                <w:rFonts w:ascii="Segoe UI" w:hAnsi="Segoe UI" w:eastAsia="Segoe UI" w:cs="Segoe UI"/>
                <w:color w:val="404040"/>
                <w:sz w:val="22"/>
              </w:rPr>
            </w:pPr>
          </w:p>
        </w:tc>
        <w:tc>
          <w:tcPr>
            <w:tcW w:w="0" w:type="auto"/>
            <w:shd w:val="clear" w:color="auto" w:fill="FFFFFF"/>
            <w:tcMar>
              <w:top w:w="150" w:type="dxa"/>
              <w:left w:w="150" w:type="dxa"/>
              <w:bottom w:w="150" w:type="dxa"/>
              <w:right w:w="150" w:type="dxa"/>
            </w:tcMar>
            <w:vAlign w:val="center"/>
          </w:tcPr>
          <w:p w14:paraId="2DE3DB3D">
            <w:pPr>
              <w:rPr>
                <w:rFonts w:ascii="Segoe UI" w:hAnsi="Segoe UI" w:eastAsia="Segoe UI" w:cs="Segoe UI"/>
                <w:color w:val="404040"/>
                <w:sz w:val="22"/>
              </w:rPr>
            </w:pPr>
          </w:p>
        </w:tc>
      </w:tr>
      <w:tr w14:paraId="67DD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43" w:type="dxa"/>
            <w:vMerge w:val="continue"/>
            <w:shd w:val="clear" w:color="auto" w:fill="FFFFFF"/>
            <w:tcMar>
              <w:top w:w="150" w:type="dxa"/>
              <w:left w:w="0" w:type="dxa"/>
              <w:bottom w:w="150" w:type="dxa"/>
              <w:right w:w="150" w:type="dxa"/>
            </w:tcMar>
            <w:vAlign w:val="center"/>
          </w:tcPr>
          <w:p w14:paraId="57EA31FC">
            <w:pPr>
              <w:rPr>
                <w:rFonts w:ascii="Segoe UI" w:hAnsi="Segoe UI" w:eastAsia="Segoe UI" w:cs="Segoe UI"/>
                <w:color w:val="404040"/>
                <w:sz w:val="22"/>
              </w:rPr>
            </w:pPr>
          </w:p>
        </w:tc>
        <w:tc>
          <w:tcPr>
            <w:tcW w:w="1559" w:type="dxa"/>
            <w:shd w:val="clear" w:color="auto" w:fill="FFFFFF"/>
            <w:tcMar>
              <w:top w:w="150" w:type="dxa"/>
              <w:left w:w="150" w:type="dxa"/>
              <w:bottom w:w="150" w:type="dxa"/>
              <w:right w:w="150" w:type="dxa"/>
            </w:tcMar>
            <w:vAlign w:val="center"/>
          </w:tcPr>
          <w:p w14:paraId="4E8C831D">
            <w:pPr>
              <w:widowControl/>
              <w:spacing w:line="26" w:lineRule="atLeast"/>
              <w:jc w:val="left"/>
              <w:rPr>
                <w:rFonts w:ascii="Segoe UI" w:hAnsi="Segoe UI" w:eastAsia="Segoe UI" w:cs="Segoe UI"/>
                <w:color w:val="404040"/>
                <w:sz w:val="22"/>
              </w:rPr>
            </w:pPr>
            <w:r>
              <w:rPr>
                <w:rFonts w:ascii="Segoe UI" w:hAnsi="Segoe UI" w:eastAsia="Segoe UI" w:cs="Segoe UI"/>
                <w:color w:val="404040"/>
                <w:kern w:val="0"/>
                <w:sz w:val="22"/>
                <w:lang w:bidi="ar"/>
              </w:rPr>
              <w:t xml:space="preserve">1.2 </w:t>
            </w:r>
            <w:r>
              <w:rPr>
                <w:rFonts w:hint="eastAsia" w:ascii="微软雅黑" w:hAnsi="微软雅黑" w:eastAsia="微软雅黑" w:cs="微软雅黑"/>
                <w:color w:val="404040"/>
                <w:kern w:val="0"/>
                <w:sz w:val="22"/>
                <w:lang w:bidi="ar"/>
              </w:rPr>
              <w:t>备份服务</w:t>
            </w:r>
          </w:p>
        </w:tc>
        <w:tc>
          <w:tcPr>
            <w:tcW w:w="4426" w:type="dxa"/>
            <w:shd w:val="clear" w:color="auto" w:fill="FFFFFF"/>
            <w:tcMar>
              <w:top w:w="150" w:type="dxa"/>
              <w:left w:w="150" w:type="dxa"/>
              <w:bottom w:w="150" w:type="dxa"/>
              <w:right w:w="150" w:type="dxa"/>
            </w:tcMar>
            <w:vAlign w:val="center"/>
          </w:tcPr>
          <w:p w14:paraId="7F8EBEF5">
            <w:pPr>
              <w:widowControl/>
              <w:spacing w:line="26" w:lineRule="atLeast"/>
              <w:jc w:val="left"/>
              <w:rPr>
                <w:rFonts w:ascii="Segoe UI" w:hAnsi="Segoe UI" w:eastAsia="Segoe UI" w:cs="Segoe UI"/>
                <w:color w:val="404040"/>
                <w:sz w:val="22"/>
              </w:rPr>
            </w:pPr>
            <w:r>
              <w:rPr>
                <w:rFonts w:hint="eastAsia" w:ascii="微软雅黑" w:hAnsi="微软雅黑" w:eastAsia="微软雅黑" w:cs="微软雅黑"/>
                <w:color w:val="404040"/>
                <w:kern w:val="0"/>
                <w:sz w:val="22"/>
                <w:lang w:bidi="ar"/>
              </w:rPr>
              <w:t>云备份可靠性</w:t>
            </w:r>
            <w:r>
              <w:rPr>
                <w:rFonts w:ascii="Segoe UI" w:hAnsi="Segoe UI" w:eastAsia="Segoe UI" w:cs="Segoe UI"/>
                <w:color w:val="404040"/>
                <w:kern w:val="0"/>
                <w:sz w:val="22"/>
                <w:lang w:bidi="ar"/>
              </w:rPr>
              <w:t>≥99.99%</w:t>
            </w:r>
            <w:r>
              <w:rPr>
                <w:rFonts w:hint="eastAsia" w:ascii="微软雅黑" w:hAnsi="微软雅黑" w:eastAsia="微软雅黑" w:cs="微软雅黑"/>
                <w:color w:val="404040"/>
                <w:kern w:val="0"/>
                <w:sz w:val="22"/>
                <w:lang w:bidi="ar"/>
              </w:rPr>
              <w:t>，数据保留</w:t>
            </w:r>
            <w:r>
              <w:rPr>
                <w:rFonts w:ascii="Segoe UI" w:hAnsi="Segoe UI" w:eastAsia="Segoe UI" w:cs="Segoe UI"/>
                <w:color w:val="404040"/>
                <w:kern w:val="0"/>
                <w:sz w:val="22"/>
                <w:lang w:bidi="ar"/>
              </w:rPr>
              <w:t>6</w:t>
            </w:r>
            <w:r>
              <w:rPr>
                <w:rFonts w:hint="eastAsia" w:ascii="微软雅黑" w:hAnsi="微软雅黑" w:eastAsia="微软雅黑" w:cs="微软雅黑"/>
                <w:color w:val="404040"/>
                <w:kern w:val="0"/>
                <w:sz w:val="22"/>
                <w:lang w:bidi="ar"/>
              </w:rPr>
              <w:t>个月；备份失败或丢失每次扣</w:t>
            </w:r>
            <w:r>
              <w:rPr>
                <w:rFonts w:ascii="Segoe UI" w:hAnsi="Segoe UI" w:eastAsia="Segoe UI" w:cs="Segoe UI"/>
                <w:color w:val="404040"/>
                <w:kern w:val="0"/>
                <w:sz w:val="22"/>
                <w:lang w:bidi="ar"/>
              </w:rPr>
              <w:t>2</w:t>
            </w:r>
            <w:r>
              <w:rPr>
                <w:rFonts w:hint="eastAsia" w:ascii="微软雅黑" w:hAnsi="微软雅黑" w:eastAsia="微软雅黑" w:cs="微软雅黑"/>
                <w:color w:val="404040"/>
                <w:kern w:val="0"/>
                <w:sz w:val="22"/>
                <w:lang w:bidi="ar"/>
              </w:rPr>
              <w:t>分。</w:t>
            </w:r>
          </w:p>
        </w:tc>
        <w:tc>
          <w:tcPr>
            <w:tcW w:w="0" w:type="auto"/>
            <w:shd w:val="clear" w:color="auto" w:fill="FFFFFF"/>
            <w:tcMar>
              <w:top w:w="150" w:type="dxa"/>
              <w:left w:w="150" w:type="dxa"/>
              <w:bottom w:w="150" w:type="dxa"/>
              <w:right w:w="150" w:type="dxa"/>
            </w:tcMar>
            <w:vAlign w:val="center"/>
          </w:tcPr>
          <w:p w14:paraId="2240AB86">
            <w:pPr>
              <w:widowControl/>
              <w:spacing w:line="26" w:lineRule="atLeast"/>
              <w:jc w:val="left"/>
              <w:rPr>
                <w:rFonts w:ascii="Segoe UI" w:hAnsi="Segoe UI" w:eastAsia="Segoe UI" w:cs="Segoe UI"/>
                <w:color w:val="404040"/>
                <w:sz w:val="22"/>
              </w:rPr>
            </w:pPr>
            <w:r>
              <w:rPr>
                <w:rFonts w:ascii="Segoe UI" w:hAnsi="Segoe UI" w:eastAsia="Segoe UI" w:cs="Segoe UI"/>
                <w:color w:val="404040"/>
                <w:kern w:val="0"/>
                <w:sz w:val="22"/>
                <w:lang w:bidi="ar"/>
              </w:rPr>
              <w:t>7</w:t>
            </w:r>
          </w:p>
        </w:tc>
        <w:tc>
          <w:tcPr>
            <w:tcW w:w="0" w:type="auto"/>
            <w:shd w:val="clear" w:color="auto" w:fill="FFFFFF"/>
            <w:tcMar>
              <w:top w:w="150" w:type="dxa"/>
              <w:left w:w="150" w:type="dxa"/>
              <w:bottom w:w="150" w:type="dxa"/>
              <w:right w:w="150" w:type="dxa"/>
            </w:tcMar>
            <w:vAlign w:val="center"/>
          </w:tcPr>
          <w:p w14:paraId="26010A86">
            <w:pPr>
              <w:rPr>
                <w:rFonts w:ascii="Segoe UI" w:hAnsi="Segoe UI" w:eastAsia="Segoe UI" w:cs="Segoe UI"/>
                <w:color w:val="404040"/>
                <w:sz w:val="22"/>
              </w:rPr>
            </w:pPr>
          </w:p>
        </w:tc>
        <w:tc>
          <w:tcPr>
            <w:tcW w:w="0" w:type="auto"/>
            <w:shd w:val="clear" w:color="auto" w:fill="FFFFFF"/>
            <w:tcMar>
              <w:top w:w="150" w:type="dxa"/>
              <w:left w:w="150" w:type="dxa"/>
              <w:bottom w:w="150" w:type="dxa"/>
              <w:right w:w="150" w:type="dxa"/>
            </w:tcMar>
            <w:vAlign w:val="center"/>
          </w:tcPr>
          <w:p w14:paraId="10FD7E2A">
            <w:pPr>
              <w:rPr>
                <w:rFonts w:ascii="Segoe UI" w:hAnsi="Segoe UI" w:eastAsia="Segoe UI" w:cs="Segoe UI"/>
                <w:color w:val="404040"/>
                <w:sz w:val="22"/>
              </w:rPr>
            </w:pPr>
          </w:p>
        </w:tc>
      </w:tr>
      <w:tr w14:paraId="0CA6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43" w:type="dxa"/>
            <w:vMerge w:val="continue"/>
            <w:shd w:val="clear" w:color="auto" w:fill="FFFFFF"/>
            <w:tcMar>
              <w:top w:w="150" w:type="dxa"/>
              <w:left w:w="0" w:type="dxa"/>
              <w:bottom w:w="150" w:type="dxa"/>
              <w:right w:w="150" w:type="dxa"/>
            </w:tcMar>
            <w:vAlign w:val="center"/>
          </w:tcPr>
          <w:p w14:paraId="4374DF16">
            <w:pPr>
              <w:rPr>
                <w:rFonts w:ascii="Segoe UI" w:hAnsi="Segoe UI" w:eastAsia="Segoe UI" w:cs="Segoe UI"/>
                <w:color w:val="404040"/>
                <w:sz w:val="22"/>
              </w:rPr>
            </w:pPr>
          </w:p>
        </w:tc>
        <w:tc>
          <w:tcPr>
            <w:tcW w:w="1559" w:type="dxa"/>
            <w:shd w:val="clear" w:color="auto" w:fill="FFFFFF"/>
            <w:tcMar>
              <w:top w:w="150" w:type="dxa"/>
              <w:left w:w="150" w:type="dxa"/>
              <w:bottom w:w="150" w:type="dxa"/>
              <w:right w:w="150" w:type="dxa"/>
            </w:tcMar>
            <w:vAlign w:val="center"/>
          </w:tcPr>
          <w:p w14:paraId="759F3484">
            <w:pPr>
              <w:widowControl/>
              <w:spacing w:line="26" w:lineRule="atLeast"/>
              <w:jc w:val="left"/>
              <w:rPr>
                <w:rFonts w:ascii="Segoe UI" w:hAnsi="Segoe UI" w:eastAsia="Segoe UI" w:cs="Segoe UI"/>
                <w:color w:val="404040"/>
                <w:sz w:val="22"/>
              </w:rPr>
            </w:pPr>
            <w:r>
              <w:rPr>
                <w:rFonts w:ascii="Segoe UI" w:hAnsi="Segoe UI" w:eastAsia="Segoe UI" w:cs="Segoe UI"/>
                <w:color w:val="404040"/>
                <w:kern w:val="0"/>
                <w:sz w:val="22"/>
                <w:lang w:bidi="ar"/>
              </w:rPr>
              <w:t xml:space="preserve">1.3 </w:t>
            </w:r>
            <w:r>
              <w:rPr>
                <w:rFonts w:hint="eastAsia" w:ascii="微软雅黑" w:hAnsi="微软雅黑" w:eastAsia="微软雅黑" w:cs="微软雅黑"/>
                <w:color w:val="404040"/>
                <w:kern w:val="0"/>
                <w:sz w:val="22"/>
                <w:lang w:bidi="ar"/>
              </w:rPr>
              <w:t>容量管理</w:t>
            </w:r>
          </w:p>
        </w:tc>
        <w:tc>
          <w:tcPr>
            <w:tcW w:w="4426" w:type="dxa"/>
            <w:shd w:val="clear" w:color="auto" w:fill="FFFFFF"/>
            <w:tcMar>
              <w:top w:w="150" w:type="dxa"/>
              <w:left w:w="150" w:type="dxa"/>
              <w:bottom w:w="150" w:type="dxa"/>
              <w:right w:w="150" w:type="dxa"/>
            </w:tcMar>
            <w:vAlign w:val="center"/>
          </w:tcPr>
          <w:p w14:paraId="77AEB0DF">
            <w:pPr>
              <w:widowControl/>
              <w:spacing w:line="26" w:lineRule="atLeast"/>
              <w:jc w:val="left"/>
              <w:rPr>
                <w:rFonts w:ascii="Segoe UI" w:hAnsi="Segoe UI" w:eastAsia="Segoe UI" w:cs="Segoe UI"/>
                <w:color w:val="404040"/>
                <w:sz w:val="22"/>
              </w:rPr>
            </w:pPr>
            <w:r>
              <w:rPr>
                <w:rFonts w:ascii="Segoe UI" w:hAnsi="Segoe UI" w:eastAsia="Segoe UI" w:cs="Segoe UI"/>
                <w:color w:val="404040"/>
                <w:kern w:val="0"/>
                <w:sz w:val="22"/>
                <w:lang w:bidi="ar"/>
              </w:rPr>
              <w:t>7×24</w:t>
            </w:r>
            <w:r>
              <w:rPr>
                <w:rFonts w:hint="eastAsia" w:ascii="微软雅黑" w:hAnsi="微软雅黑" w:eastAsia="微软雅黑" w:cs="微软雅黑"/>
                <w:color w:val="404040"/>
                <w:kern w:val="0"/>
                <w:sz w:val="22"/>
                <w:lang w:bidi="ar"/>
              </w:rPr>
              <w:t xml:space="preserve">小时监控，当检测到计算或存储资源不能承载用户负载时， </w:t>
            </w:r>
            <w:r>
              <w:rPr>
                <w:rFonts w:hint="eastAsia" w:ascii="Segoe UI" w:hAnsi="Segoe UI" w:eastAsia="Segoe UI" w:cs="Segoe UI"/>
                <w:color w:val="404040"/>
                <w:kern w:val="0"/>
                <w:sz w:val="22"/>
                <w:lang w:bidi="ar"/>
              </w:rPr>
              <w:t>≤</w:t>
            </w:r>
            <w:r>
              <w:rPr>
                <w:rFonts w:ascii="Segoe UI" w:hAnsi="Segoe UI" w:eastAsia="Segoe UI" w:cs="Segoe UI"/>
                <w:color w:val="404040"/>
                <w:kern w:val="0"/>
                <w:sz w:val="22"/>
                <w:lang w:bidi="ar"/>
              </w:rPr>
              <w:t>4</w:t>
            </w:r>
            <w:r>
              <w:rPr>
                <w:rFonts w:hint="eastAsia" w:ascii="微软雅黑" w:hAnsi="微软雅黑" w:eastAsia="微软雅黑" w:cs="微软雅黑"/>
                <w:color w:val="404040"/>
                <w:kern w:val="0"/>
                <w:sz w:val="22"/>
                <w:lang w:bidi="ar"/>
              </w:rPr>
              <w:t>小时内在业务沟通群对用户进行预警通知，未达标每次扣</w:t>
            </w:r>
            <w:r>
              <w:rPr>
                <w:rFonts w:ascii="Segoe UI" w:hAnsi="Segoe UI" w:eastAsia="Segoe UI" w:cs="Segoe UI"/>
                <w:color w:val="404040"/>
                <w:kern w:val="0"/>
                <w:sz w:val="22"/>
                <w:lang w:bidi="ar"/>
              </w:rPr>
              <w:t>1</w:t>
            </w:r>
            <w:r>
              <w:rPr>
                <w:rFonts w:hint="eastAsia" w:ascii="微软雅黑" w:hAnsi="微软雅黑" w:eastAsia="微软雅黑" w:cs="微软雅黑"/>
                <w:color w:val="404040"/>
                <w:kern w:val="0"/>
                <w:sz w:val="22"/>
                <w:lang w:bidi="ar"/>
              </w:rPr>
              <w:t>分。</w:t>
            </w:r>
          </w:p>
        </w:tc>
        <w:tc>
          <w:tcPr>
            <w:tcW w:w="0" w:type="auto"/>
            <w:shd w:val="clear" w:color="auto" w:fill="FFFFFF"/>
            <w:tcMar>
              <w:top w:w="150" w:type="dxa"/>
              <w:left w:w="150" w:type="dxa"/>
              <w:bottom w:w="150" w:type="dxa"/>
              <w:right w:w="150" w:type="dxa"/>
            </w:tcMar>
            <w:vAlign w:val="center"/>
          </w:tcPr>
          <w:p w14:paraId="03C46436">
            <w:pPr>
              <w:widowControl/>
              <w:spacing w:line="26" w:lineRule="atLeast"/>
              <w:jc w:val="left"/>
              <w:rPr>
                <w:rFonts w:ascii="Segoe UI" w:hAnsi="Segoe UI" w:eastAsia="Segoe UI" w:cs="Segoe UI"/>
                <w:color w:val="404040"/>
                <w:sz w:val="22"/>
              </w:rPr>
            </w:pPr>
            <w:r>
              <w:rPr>
                <w:rFonts w:ascii="Segoe UI" w:hAnsi="Segoe UI" w:eastAsia="Segoe UI" w:cs="Segoe UI"/>
                <w:color w:val="404040"/>
                <w:kern w:val="0"/>
                <w:sz w:val="22"/>
                <w:lang w:bidi="ar"/>
              </w:rPr>
              <w:t>5</w:t>
            </w:r>
          </w:p>
        </w:tc>
        <w:tc>
          <w:tcPr>
            <w:tcW w:w="0" w:type="auto"/>
            <w:shd w:val="clear" w:color="auto" w:fill="FFFFFF"/>
            <w:tcMar>
              <w:top w:w="150" w:type="dxa"/>
              <w:left w:w="150" w:type="dxa"/>
              <w:bottom w:w="150" w:type="dxa"/>
              <w:right w:w="150" w:type="dxa"/>
            </w:tcMar>
            <w:vAlign w:val="center"/>
          </w:tcPr>
          <w:p w14:paraId="20450F36">
            <w:pPr>
              <w:rPr>
                <w:rFonts w:ascii="Segoe UI" w:hAnsi="Segoe UI" w:eastAsia="Segoe UI" w:cs="Segoe UI"/>
                <w:color w:val="404040"/>
                <w:sz w:val="22"/>
              </w:rPr>
            </w:pPr>
          </w:p>
        </w:tc>
        <w:tc>
          <w:tcPr>
            <w:tcW w:w="0" w:type="auto"/>
            <w:shd w:val="clear" w:color="auto" w:fill="FFFFFF"/>
            <w:tcMar>
              <w:top w:w="150" w:type="dxa"/>
              <w:left w:w="150" w:type="dxa"/>
              <w:bottom w:w="150" w:type="dxa"/>
              <w:right w:w="150" w:type="dxa"/>
            </w:tcMar>
            <w:vAlign w:val="center"/>
          </w:tcPr>
          <w:p w14:paraId="146548D0">
            <w:pPr>
              <w:rPr>
                <w:rFonts w:ascii="Segoe UI" w:hAnsi="Segoe UI" w:eastAsia="Segoe UI" w:cs="Segoe UI"/>
                <w:color w:val="404040"/>
                <w:sz w:val="22"/>
              </w:rPr>
            </w:pPr>
          </w:p>
        </w:tc>
      </w:tr>
      <w:tr w14:paraId="52449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43" w:type="dxa"/>
            <w:vMerge w:val="continue"/>
            <w:shd w:val="clear" w:color="auto" w:fill="FFFFFF"/>
            <w:tcMar>
              <w:top w:w="150" w:type="dxa"/>
              <w:left w:w="0" w:type="dxa"/>
              <w:bottom w:w="150" w:type="dxa"/>
              <w:right w:w="150" w:type="dxa"/>
            </w:tcMar>
            <w:vAlign w:val="center"/>
          </w:tcPr>
          <w:p w14:paraId="7D672C14">
            <w:pPr>
              <w:rPr>
                <w:rFonts w:ascii="Segoe UI" w:hAnsi="Segoe UI" w:eastAsia="Segoe UI" w:cs="Segoe UI"/>
                <w:color w:val="404040"/>
                <w:sz w:val="22"/>
              </w:rPr>
            </w:pPr>
          </w:p>
        </w:tc>
        <w:tc>
          <w:tcPr>
            <w:tcW w:w="1559" w:type="dxa"/>
            <w:shd w:val="clear" w:color="auto" w:fill="FFFFFF"/>
            <w:tcMar>
              <w:top w:w="150" w:type="dxa"/>
              <w:left w:w="150" w:type="dxa"/>
              <w:bottom w:w="150" w:type="dxa"/>
              <w:right w:w="150" w:type="dxa"/>
            </w:tcMar>
            <w:vAlign w:val="center"/>
          </w:tcPr>
          <w:p w14:paraId="7A12FF10">
            <w:pPr>
              <w:widowControl/>
              <w:spacing w:line="26" w:lineRule="atLeast"/>
              <w:jc w:val="left"/>
              <w:rPr>
                <w:rFonts w:ascii="Segoe UI" w:hAnsi="Segoe UI" w:eastAsia="Segoe UI" w:cs="Segoe UI"/>
                <w:color w:val="404040"/>
                <w:sz w:val="22"/>
              </w:rPr>
            </w:pPr>
            <w:r>
              <w:rPr>
                <w:rFonts w:ascii="Segoe UI" w:hAnsi="Segoe UI" w:eastAsia="Segoe UI" w:cs="Segoe UI"/>
                <w:color w:val="404040"/>
                <w:kern w:val="0"/>
                <w:sz w:val="22"/>
                <w:lang w:bidi="ar"/>
              </w:rPr>
              <w:t xml:space="preserve">1.4 </w:t>
            </w:r>
            <w:r>
              <w:rPr>
                <w:rFonts w:hint="eastAsia" w:ascii="微软雅黑" w:hAnsi="微软雅黑" w:eastAsia="微软雅黑" w:cs="微软雅黑"/>
                <w:color w:val="404040"/>
                <w:kern w:val="0"/>
                <w:sz w:val="22"/>
                <w:lang w:bidi="ar"/>
              </w:rPr>
              <w:t>合规与安全</w:t>
            </w:r>
          </w:p>
        </w:tc>
        <w:tc>
          <w:tcPr>
            <w:tcW w:w="4426" w:type="dxa"/>
            <w:shd w:val="clear" w:color="auto" w:fill="FFFFFF"/>
            <w:tcMar>
              <w:top w:w="150" w:type="dxa"/>
              <w:left w:w="150" w:type="dxa"/>
              <w:bottom w:w="150" w:type="dxa"/>
              <w:right w:w="150" w:type="dxa"/>
            </w:tcMar>
            <w:vAlign w:val="center"/>
          </w:tcPr>
          <w:p w14:paraId="45CFF622">
            <w:pPr>
              <w:widowControl/>
              <w:spacing w:line="26" w:lineRule="atLeast"/>
              <w:jc w:val="left"/>
              <w:rPr>
                <w:rFonts w:ascii="Segoe UI" w:hAnsi="Segoe UI" w:eastAsia="Segoe UI" w:cs="Segoe UI"/>
                <w:color w:val="404040"/>
                <w:sz w:val="22"/>
              </w:rPr>
            </w:pPr>
            <w:r>
              <w:rPr>
                <w:rFonts w:hint="eastAsia" w:ascii="微软雅黑" w:hAnsi="微软雅黑" w:eastAsia="微软雅黑" w:cs="微软雅黑"/>
                <w:color w:val="404040"/>
                <w:kern w:val="0"/>
                <w:sz w:val="22"/>
                <w:lang w:bidi="ar"/>
              </w:rPr>
              <w:t>每学期提供</w:t>
            </w:r>
            <w:r>
              <w:rPr>
                <w:rFonts w:ascii="Segoe UI" w:hAnsi="Segoe UI" w:eastAsia="Segoe UI" w:cs="Segoe UI"/>
                <w:color w:val="404040"/>
                <w:kern w:val="0"/>
                <w:sz w:val="22"/>
                <w:lang w:bidi="ar"/>
              </w:rPr>
              <w:t>1</w:t>
            </w:r>
            <w:r>
              <w:rPr>
                <w:rFonts w:hint="eastAsia" w:ascii="微软雅黑" w:hAnsi="微软雅黑" w:eastAsia="微软雅黑" w:cs="微软雅黑"/>
                <w:color w:val="404040"/>
                <w:kern w:val="0"/>
                <w:sz w:val="22"/>
                <w:lang w:bidi="ar"/>
              </w:rPr>
              <w:t>次病毒检查、入侵检测报告，缺失扣</w:t>
            </w:r>
            <w:r>
              <w:rPr>
                <w:rFonts w:ascii="Segoe UI" w:hAnsi="Segoe UI" w:eastAsia="Segoe UI" w:cs="Segoe UI"/>
                <w:color w:val="404040"/>
                <w:kern w:val="0"/>
                <w:sz w:val="22"/>
                <w:lang w:bidi="ar"/>
              </w:rPr>
              <w:t>3</w:t>
            </w:r>
            <w:r>
              <w:rPr>
                <w:rFonts w:hint="eastAsia" w:ascii="微软雅黑" w:hAnsi="微软雅黑" w:eastAsia="微软雅黑" w:cs="微软雅黑"/>
                <w:color w:val="404040"/>
                <w:kern w:val="0"/>
                <w:sz w:val="22"/>
                <w:lang w:bidi="ar"/>
              </w:rPr>
              <w:t xml:space="preserve">分； </w:t>
            </w:r>
          </w:p>
        </w:tc>
        <w:tc>
          <w:tcPr>
            <w:tcW w:w="0" w:type="auto"/>
            <w:shd w:val="clear" w:color="auto" w:fill="FFFFFF"/>
            <w:tcMar>
              <w:top w:w="150" w:type="dxa"/>
              <w:left w:w="150" w:type="dxa"/>
              <w:bottom w:w="150" w:type="dxa"/>
              <w:right w:w="150" w:type="dxa"/>
            </w:tcMar>
            <w:vAlign w:val="center"/>
          </w:tcPr>
          <w:p w14:paraId="562250CA">
            <w:pPr>
              <w:widowControl/>
              <w:spacing w:line="26" w:lineRule="atLeast"/>
              <w:jc w:val="left"/>
              <w:rPr>
                <w:rFonts w:ascii="Segoe UI" w:hAnsi="Segoe UI" w:eastAsia="Segoe UI" w:cs="Segoe UI"/>
                <w:color w:val="404040"/>
                <w:sz w:val="22"/>
              </w:rPr>
            </w:pPr>
            <w:r>
              <w:rPr>
                <w:rFonts w:ascii="Segoe UI" w:hAnsi="Segoe UI" w:eastAsia="Segoe UI" w:cs="Segoe UI"/>
                <w:color w:val="404040"/>
                <w:kern w:val="0"/>
                <w:sz w:val="22"/>
                <w:lang w:bidi="ar"/>
              </w:rPr>
              <w:t>5</w:t>
            </w:r>
          </w:p>
        </w:tc>
        <w:tc>
          <w:tcPr>
            <w:tcW w:w="0" w:type="auto"/>
            <w:shd w:val="clear" w:color="auto" w:fill="FFFFFF"/>
            <w:tcMar>
              <w:top w:w="150" w:type="dxa"/>
              <w:left w:w="150" w:type="dxa"/>
              <w:bottom w:w="150" w:type="dxa"/>
              <w:right w:w="150" w:type="dxa"/>
            </w:tcMar>
            <w:vAlign w:val="center"/>
          </w:tcPr>
          <w:p w14:paraId="7D82386F">
            <w:pPr>
              <w:rPr>
                <w:rFonts w:ascii="Segoe UI" w:hAnsi="Segoe UI" w:eastAsia="Segoe UI" w:cs="Segoe UI"/>
                <w:color w:val="404040"/>
                <w:sz w:val="22"/>
              </w:rPr>
            </w:pPr>
          </w:p>
        </w:tc>
        <w:tc>
          <w:tcPr>
            <w:tcW w:w="0" w:type="auto"/>
            <w:shd w:val="clear" w:color="auto" w:fill="FFFFFF"/>
            <w:tcMar>
              <w:top w:w="150" w:type="dxa"/>
              <w:left w:w="150" w:type="dxa"/>
              <w:bottom w:w="150" w:type="dxa"/>
              <w:right w:w="150" w:type="dxa"/>
            </w:tcMar>
            <w:vAlign w:val="center"/>
          </w:tcPr>
          <w:p w14:paraId="07BBFF7A">
            <w:pPr>
              <w:rPr>
                <w:rFonts w:ascii="Segoe UI" w:hAnsi="Segoe UI" w:eastAsia="Segoe UI" w:cs="Segoe UI"/>
                <w:color w:val="404040"/>
                <w:sz w:val="22"/>
              </w:rPr>
            </w:pPr>
          </w:p>
        </w:tc>
      </w:tr>
      <w:tr w14:paraId="722FC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43" w:type="dxa"/>
            <w:vMerge w:val="restart"/>
            <w:shd w:val="clear" w:color="auto" w:fill="FFFFFF"/>
            <w:tcMar>
              <w:top w:w="150" w:type="dxa"/>
              <w:left w:w="0" w:type="dxa"/>
              <w:bottom w:w="150" w:type="dxa"/>
              <w:right w:w="150" w:type="dxa"/>
            </w:tcMar>
            <w:vAlign w:val="center"/>
          </w:tcPr>
          <w:p w14:paraId="2C451887">
            <w:pPr>
              <w:widowControl/>
              <w:spacing w:line="26" w:lineRule="atLeast"/>
              <w:jc w:val="center"/>
              <w:rPr>
                <w:rFonts w:ascii="Segoe UI" w:hAnsi="Segoe UI" w:eastAsia="Segoe UI" w:cs="Segoe UI"/>
                <w:color w:val="404040"/>
                <w:sz w:val="22"/>
              </w:rPr>
            </w:pPr>
            <w:r>
              <w:rPr>
                <w:rFonts w:ascii="Segoe UI" w:hAnsi="Segoe UI" w:eastAsia="Segoe UI" w:cs="Segoe UI"/>
                <w:b/>
                <w:bCs/>
                <w:color w:val="404040"/>
                <w:kern w:val="0"/>
                <w:sz w:val="22"/>
                <w:lang w:bidi="ar"/>
              </w:rPr>
              <w:t xml:space="preserve">2. </w:t>
            </w:r>
            <w:r>
              <w:rPr>
                <w:rFonts w:hint="eastAsia" w:ascii="微软雅黑" w:hAnsi="微软雅黑" w:eastAsia="微软雅黑" w:cs="微软雅黑"/>
                <w:b/>
                <w:bCs/>
                <w:color w:val="404040"/>
                <w:kern w:val="0"/>
                <w:sz w:val="22"/>
                <w:lang w:bidi="ar"/>
              </w:rPr>
              <w:t>数据保障服务</w:t>
            </w:r>
            <w:r>
              <w:rPr>
                <w:rFonts w:ascii="Segoe UI" w:hAnsi="Segoe UI" w:eastAsia="Segoe UI" w:cs="Segoe UI"/>
                <w:b/>
                <w:color w:val="404040"/>
                <w:kern w:val="0"/>
                <w:sz w:val="22"/>
                <w:lang w:bidi="ar"/>
              </w:rPr>
              <w:br w:type="textWrapping"/>
            </w:r>
            <w:r>
              <w:rPr>
                <w:rFonts w:hint="eastAsia" w:ascii="微软雅黑" w:hAnsi="微软雅黑" w:eastAsia="微软雅黑" w:cs="微软雅黑"/>
                <w:b/>
                <w:color w:val="404040"/>
                <w:kern w:val="0"/>
                <w:sz w:val="22"/>
                <w:lang w:bidi="ar"/>
              </w:rPr>
              <w:t>（</w:t>
            </w:r>
            <w:r>
              <w:rPr>
                <w:rFonts w:ascii="Segoe UI" w:hAnsi="Segoe UI" w:eastAsia="Segoe UI" w:cs="Segoe UI"/>
                <w:b/>
                <w:color w:val="404040"/>
                <w:kern w:val="0"/>
                <w:sz w:val="22"/>
                <w:lang w:bidi="ar"/>
              </w:rPr>
              <w:t>20</w:t>
            </w:r>
            <w:r>
              <w:rPr>
                <w:rFonts w:hint="eastAsia" w:ascii="微软雅黑" w:hAnsi="微软雅黑" w:eastAsia="微软雅黑" w:cs="微软雅黑"/>
                <w:b/>
                <w:color w:val="404040"/>
                <w:kern w:val="0"/>
                <w:sz w:val="22"/>
                <w:lang w:bidi="ar"/>
              </w:rPr>
              <w:t>分）</w:t>
            </w:r>
          </w:p>
        </w:tc>
        <w:tc>
          <w:tcPr>
            <w:tcW w:w="1559" w:type="dxa"/>
            <w:shd w:val="clear" w:color="auto" w:fill="FFFFFF"/>
            <w:tcMar>
              <w:top w:w="150" w:type="dxa"/>
              <w:left w:w="150" w:type="dxa"/>
              <w:bottom w:w="150" w:type="dxa"/>
              <w:right w:w="150" w:type="dxa"/>
            </w:tcMar>
            <w:vAlign w:val="center"/>
          </w:tcPr>
          <w:p w14:paraId="71CAAF82">
            <w:pPr>
              <w:widowControl/>
              <w:spacing w:line="26" w:lineRule="atLeast"/>
              <w:jc w:val="left"/>
              <w:rPr>
                <w:rFonts w:ascii="Segoe UI" w:hAnsi="Segoe UI" w:eastAsia="Segoe UI" w:cs="Segoe UI"/>
                <w:color w:val="404040"/>
                <w:sz w:val="22"/>
              </w:rPr>
            </w:pPr>
            <w:r>
              <w:rPr>
                <w:rFonts w:hint="eastAsia" w:ascii="微软雅黑" w:hAnsi="微软雅黑" w:eastAsia="微软雅黑" w:cs="微软雅黑"/>
                <w:color w:val="404040"/>
                <w:sz w:val="22"/>
              </w:rPr>
              <w:t>2.1数据迁移</w:t>
            </w:r>
          </w:p>
        </w:tc>
        <w:tc>
          <w:tcPr>
            <w:tcW w:w="4426" w:type="dxa"/>
            <w:shd w:val="clear" w:color="auto" w:fill="FFFFFF"/>
            <w:tcMar>
              <w:top w:w="150" w:type="dxa"/>
              <w:left w:w="150" w:type="dxa"/>
              <w:bottom w:w="150" w:type="dxa"/>
              <w:right w:w="150" w:type="dxa"/>
            </w:tcMar>
            <w:vAlign w:val="center"/>
          </w:tcPr>
          <w:p w14:paraId="07BBFE79">
            <w:pPr>
              <w:widowControl/>
              <w:spacing w:line="26" w:lineRule="atLeast"/>
              <w:jc w:val="left"/>
              <w:rPr>
                <w:rFonts w:ascii="Segoe UI" w:hAnsi="Segoe UI" w:eastAsia="Segoe UI" w:cs="Segoe UI"/>
                <w:color w:val="404040"/>
                <w:sz w:val="22"/>
              </w:rPr>
            </w:pPr>
            <w:r>
              <w:rPr>
                <w:rFonts w:hint="eastAsia" w:ascii="微软雅黑" w:hAnsi="微软雅黑" w:eastAsia="微软雅黑" w:cs="微软雅黑"/>
                <w:color w:val="404040"/>
                <w:kern w:val="0"/>
                <w:sz w:val="22"/>
                <w:lang w:bidi="ar"/>
              </w:rPr>
              <w:t>数据迁移失败（学校硬件设备故障、网络异常情况除外），每次扣5分。</w:t>
            </w:r>
          </w:p>
        </w:tc>
        <w:tc>
          <w:tcPr>
            <w:tcW w:w="0" w:type="auto"/>
            <w:shd w:val="clear" w:color="auto" w:fill="FFFFFF"/>
            <w:tcMar>
              <w:top w:w="150" w:type="dxa"/>
              <w:left w:w="150" w:type="dxa"/>
              <w:bottom w:w="150" w:type="dxa"/>
              <w:right w:w="150" w:type="dxa"/>
            </w:tcMar>
            <w:vAlign w:val="center"/>
          </w:tcPr>
          <w:p w14:paraId="521E1F54">
            <w:pPr>
              <w:widowControl/>
              <w:spacing w:line="26" w:lineRule="atLeast"/>
              <w:jc w:val="left"/>
              <w:rPr>
                <w:rFonts w:ascii="Segoe UI" w:hAnsi="Segoe UI" w:cs="Segoe UI"/>
                <w:color w:val="404040"/>
                <w:sz w:val="22"/>
              </w:rPr>
            </w:pPr>
            <w:r>
              <w:rPr>
                <w:rFonts w:hint="eastAsia" w:ascii="Segoe UI" w:hAnsi="Segoe UI" w:cs="Segoe UI"/>
                <w:color w:val="404040"/>
                <w:sz w:val="22"/>
              </w:rPr>
              <w:t>8</w:t>
            </w:r>
          </w:p>
        </w:tc>
        <w:tc>
          <w:tcPr>
            <w:tcW w:w="0" w:type="auto"/>
            <w:shd w:val="clear" w:color="auto" w:fill="FFFFFF"/>
            <w:tcMar>
              <w:top w:w="150" w:type="dxa"/>
              <w:left w:w="150" w:type="dxa"/>
              <w:bottom w:w="150" w:type="dxa"/>
              <w:right w:w="150" w:type="dxa"/>
            </w:tcMar>
            <w:vAlign w:val="center"/>
          </w:tcPr>
          <w:p w14:paraId="68A4BC45">
            <w:pPr>
              <w:rPr>
                <w:rFonts w:ascii="Segoe UI" w:hAnsi="Segoe UI" w:eastAsia="Segoe UI" w:cs="Segoe UI"/>
                <w:color w:val="404040"/>
                <w:sz w:val="22"/>
              </w:rPr>
            </w:pPr>
          </w:p>
        </w:tc>
        <w:tc>
          <w:tcPr>
            <w:tcW w:w="0" w:type="auto"/>
            <w:shd w:val="clear" w:color="auto" w:fill="FFFFFF"/>
            <w:tcMar>
              <w:top w:w="150" w:type="dxa"/>
              <w:left w:w="150" w:type="dxa"/>
              <w:bottom w:w="150" w:type="dxa"/>
              <w:right w:w="150" w:type="dxa"/>
            </w:tcMar>
            <w:vAlign w:val="center"/>
          </w:tcPr>
          <w:p w14:paraId="12D78C58">
            <w:pPr>
              <w:rPr>
                <w:rFonts w:ascii="Segoe UI" w:hAnsi="Segoe UI" w:eastAsia="Segoe UI" w:cs="Segoe UI"/>
                <w:color w:val="404040"/>
                <w:sz w:val="22"/>
              </w:rPr>
            </w:pPr>
          </w:p>
        </w:tc>
      </w:tr>
      <w:tr w14:paraId="00C33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43" w:type="dxa"/>
            <w:vMerge w:val="continue"/>
            <w:shd w:val="clear" w:color="auto" w:fill="FFFFFF"/>
            <w:tcMar>
              <w:top w:w="150" w:type="dxa"/>
              <w:left w:w="0" w:type="dxa"/>
              <w:bottom w:w="150" w:type="dxa"/>
              <w:right w:w="150" w:type="dxa"/>
            </w:tcMar>
            <w:vAlign w:val="center"/>
          </w:tcPr>
          <w:p w14:paraId="2DFE1C82">
            <w:pPr>
              <w:rPr>
                <w:rFonts w:ascii="Segoe UI" w:hAnsi="Segoe UI" w:eastAsia="Segoe UI" w:cs="Segoe UI"/>
                <w:color w:val="404040"/>
                <w:sz w:val="22"/>
              </w:rPr>
            </w:pPr>
          </w:p>
        </w:tc>
        <w:tc>
          <w:tcPr>
            <w:tcW w:w="1559" w:type="dxa"/>
            <w:shd w:val="clear" w:color="auto" w:fill="FFFFFF"/>
            <w:tcMar>
              <w:top w:w="150" w:type="dxa"/>
              <w:left w:w="150" w:type="dxa"/>
              <w:bottom w:w="150" w:type="dxa"/>
              <w:right w:w="150" w:type="dxa"/>
            </w:tcMar>
            <w:vAlign w:val="center"/>
          </w:tcPr>
          <w:p w14:paraId="089875FB">
            <w:pPr>
              <w:widowControl/>
              <w:spacing w:line="26" w:lineRule="atLeast"/>
              <w:jc w:val="left"/>
              <w:rPr>
                <w:rFonts w:ascii="Segoe UI" w:hAnsi="Segoe UI" w:eastAsia="Segoe UI" w:cs="Segoe UI"/>
                <w:color w:val="404040"/>
                <w:sz w:val="22"/>
              </w:rPr>
            </w:pPr>
            <w:r>
              <w:rPr>
                <w:rFonts w:ascii="Segoe UI" w:hAnsi="Segoe UI" w:eastAsia="Segoe UI" w:cs="Segoe UI"/>
                <w:color w:val="404040"/>
                <w:kern w:val="0"/>
                <w:sz w:val="22"/>
                <w:lang w:bidi="ar"/>
              </w:rPr>
              <w:t xml:space="preserve">2.2 </w:t>
            </w:r>
            <w:r>
              <w:rPr>
                <w:rFonts w:hint="eastAsia" w:ascii="微软雅黑" w:hAnsi="微软雅黑" w:eastAsia="微软雅黑" w:cs="微软雅黑"/>
                <w:color w:val="404040"/>
                <w:kern w:val="0"/>
                <w:sz w:val="22"/>
                <w:lang w:bidi="ar"/>
              </w:rPr>
              <w:t>数据恢复</w:t>
            </w:r>
          </w:p>
        </w:tc>
        <w:tc>
          <w:tcPr>
            <w:tcW w:w="4426" w:type="dxa"/>
            <w:shd w:val="clear" w:color="auto" w:fill="FFFFFF"/>
            <w:tcMar>
              <w:top w:w="150" w:type="dxa"/>
              <w:left w:w="150" w:type="dxa"/>
              <w:bottom w:w="150" w:type="dxa"/>
              <w:right w:w="150" w:type="dxa"/>
            </w:tcMar>
            <w:vAlign w:val="center"/>
          </w:tcPr>
          <w:p w14:paraId="5BF2CDFD">
            <w:pPr>
              <w:widowControl/>
              <w:spacing w:line="26" w:lineRule="atLeast"/>
              <w:jc w:val="left"/>
              <w:rPr>
                <w:rFonts w:ascii="Segoe UI" w:hAnsi="Segoe UI" w:eastAsia="Segoe UI" w:cs="Segoe UI"/>
                <w:color w:val="404040"/>
                <w:sz w:val="22"/>
              </w:rPr>
            </w:pPr>
            <w:r>
              <w:rPr>
                <w:rFonts w:hint="eastAsia" w:ascii="微软雅黑" w:hAnsi="微软雅黑" w:eastAsia="微软雅黑" w:cs="微软雅黑"/>
                <w:color w:val="404040"/>
                <w:kern w:val="0"/>
                <w:sz w:val="22"/>
                <w:lang w:bidi="ar"/>
              </w:rPr>
              <w:t>每年</w:t>
            </w:r>
            <w:r>
              <w:rPr>
                <w:rFonts w:ascii="Segoe UI" w:hAnsi="Segoe UI" w:eastAsia="Segoe UI" w:cs="Segoe UI"/>
                <w:color w:val="404040"/>
                <w:kern w:val="0"/>
                <w:sz w:val="22"/>
                <w:lang w:bidi="ar"/>
              </w:rPr>
              <w:t>2</w:t>
            </w:r>
            <w:r>
              <w:rPr>
                <w:rFonts w:hint="eastAsia" w:ascii="微软雅黑" w:hAnsi="微软雅黑" w:eastAsia="微软雅黑" w:cs="微软雅黑"/>
                <w:color w:val="404040"/>
                <w:kern w:val="0"/>
                <w:sz w:val="22"/>
                <w:lang w:bidi="ar"/>
              </w:rPr>
              <w:t>次恢复服务，在学校网络正常，目标服务器网络、存储正常情况下，恢复成功率</w:t>
            </w:r>
            <w:r>
              <w:rPr>
                <w:rFonts w:ascii="Segoe UI" w:hAnsi="Segoe UI" w:eastAsia="Segoe UI" w:cs="Segoe UI"/>
                <w:color w:val="404040"/>
                <w:kern w:val="0"/>
                <w:sz w:val="22"/>
                <w:lang w:bidi="ar"/>
              </w:rPr>
              <w:t>100%</w:t>
            </w:r>
            <w:r>
              <w:rPr>
                <w:rFonts w:hint="eastAsia" w:ascii="微软雅黑" w:hAnsi="微软雅黑" w:eastAsia="微软雅黑" w:cs="微软雅黑"/>
                <w:color w:val="404040"/>
                <w:kern w:val="0"/>
                <w:sz w:val="22"/>
                <w:lang w:bidi="ar"/>
              </w:rPr>
              <w:t>，失败每次扣</w:t>
            </w:r>
            <w:r>
              <w:rPr>
                <w:rFonts w:ascii="Segoe UI" w:hAnsi="Segoe UI" w:eastAsia="Segoe UI" w:cs="Segoe UI"/>
                <w:color w:val="404040"/>
                <w:kern w:val="0"/>
                <w:sz w:val="22"/>
                <w:lang w:bidi="ar"/>
              </w:rPr>
              <w:t>5</w:t>
            </w:r>
            <w:r>
              <w:rPr>
                <w:rFonts w:hint="eastAsia" w:ascii="微软雅黑" w:hAnsi="微软雅黑" w:eastAsia="微软雅黑" w:cs="微软雅黑"/>
                <w:color w:val="404040"/>
                <w:kern w:val="0"/>
                <w:sz w:val="22"/>
                <w:lang w:bidi="ar"/>
              </w:rPr>
              <w:t>分。</w:t>
            </w:r>
          </w:p>
        </w:tc>
        <w:tc>
          <w:tcPr>
            <w:tcW w:w="0" w:type="auto"/>
            <w:shd w:val="clear" w:color="auto" w:fill="FFFFFF"/>
            <w:tcMar>
              <w:top w:w="150" w:type="dxa"/>
              <w:left w:w="150" w:type="dxa"/>
              <w:bottom w:w="150" w:type="dxa"/>
              <w:right w:w="150" w:type="dxa"/>
            </w:tcMar>
            <w:vAlign w:val="center"/>
          </w:tcPr>
          <w:p w14:paraId="0CD53868">
            <w:pPr>
              <w:widowControl/>
              <w:spacing w:line="26" w:lineRule="atLeast"/>
              <w:jc w:val="left"/>
              <w:rPr>
                <w:rFonts w:ascii="Segoe UI" w:hAnsi="Segoe UI" w:cs="Segoe UI"/>
                <w:color w:val="404040"/>
                <w:sz w:val="22"/>
              </w:rPr>
            </w:pPr>
            <w:r>
              <w:rPr>
                <w:rFonts w:hint="eastAsia" w:ascii="Segoe UI" w:hAnsi="Segoe UI" w:cs="Segoe UI"/>
                <w:color w:val="404040"/>
                <w:sz w:val="22"/>
              </w:rPr>
              <w:t>7</w:t>
            </w:r>
          </w:p>
        </w:tc>
        <w:tc>
          <w:tcPr>
            <w:tcW w:w="0" w:type="auto"/>
            <w:shd w:val="clear" w:color="auto" w:fill="FFFFFF"/>
            <w:tcMar>
              <w:top w:w="150" w:type="dxa"/>
              <w:left w:w="150" w:type="dxa"/>
              <w:bottom w:w="150" w:type="dxa"/>
              <w:right w:w="150" w:type="dxa"/>
            </w:tcMar>
            <w:vAlign w:val="center"/>
          </w:tcPr>
          <w:p w14:paraId="6AE1AAEC">
            <w:pPr>
              <w:rPr>
                <w:rFonts w:ascii="Segoe UI" w:hAnsi="Segoe UI" w:eastAsia="Segoe UI" w:cs="Segoe UI"/>
                <w:color w:val="404040"/>
                <w:sz w:val="22"/>
              </w:rPr>
            </w:pPr>
          </w:p>
        </w:tc>
        <w:tc>
          <w:tcPr>
            <w:tcW w:w="0" w:type="auto"/>
            <w:shd w:val="clear" w:color="auto" w:fill="FFFFFF"/>
            <w:tcMar>
              <w:top w:w="150" w:type="dxa"/>
              <w:left w:w="150" w:type="dxa"/>
              <w:bottom w:w="150" w:type="dxa"/>
              <w:right w:w="150" w:type="dxa"/>
            </w:tcMar>
            <w:vAlign w:val="center"/>
          </w:tcPr>
          <w:p w14:paraId="6E6701F6">
            <w:pPr>
              <w:rPr>
                <w:rFonts w:ascii="Segoe UI" w:hAnsi="Segoe UI" w:eastAsia="Segoe UI" w:cs="Segoe UI"/>
                <w:color w:val="404040"/>
                <w:sz w:val="22"/>
              </w:rPr>
            </w:pPr>
          </w:p>
        </w:tc>
      </w:tr>
      <w:tr w14:paraId="3566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43" w:type="dxa"/>
            <w:vMerge w:val="continue"/>
            <w:shd w:val="clear" w:color="auto" w:fill="FFFFFF"/>
            <w:tcMar>
              <w:top w:w="150" w:type="dxa"/>
              <w:left w:w="0" w:type="dxa"/>
              <w:bottom w:w="150" w:type="dxa"/>
              <w:right w:w="150" w:type="dxa"/>
            </w:tcMar>
            <w:vAlign w:val="center"/>
          </w:tcPr>
          <w:p w14:paraId="5D6E3BFD">
            <w:pPr>
              <w:rPr>
                <w:rFonts w:ascii="Segoe UI" w:hAnsi="Segoe UI" w:eastAsia="Segoe UI" w:cs="Segoe UI"/>
                <w:color w:val="404040"/>
                <w:sz w:val="22"/>
              </w:rPr>
            </w:pPr>
          </w:p>
        </w:tc>
        <w:tc>
          <w:tcPr>
            <w:tcW w:w="1559" w:type="dxa"/>
            <w:shd w:val="clear" w:color="auto" w:fill="FFFFFF"/>
            <w:tcMar>
              <w:top w:w="150" w:type="dxa"/>
              <w:left w:w="150" w:type="dxa"/>
              <w:bottom w:w="150" w:type="dxa"/>
              <w:right w:w="150" w:type="dxa"/>
            </w:tcMar>
            <w:vAlign w:val="center"/>
          </w:tcPr>
          <w:p w14:paraId="690053F1">
            <w:pPr>
              <w:widowControl/>
              <w:spacing w:line="26" w:lineRule="atLeast"/>
              <w:jc w:val="left"/>
              <w:rPr>
                <w:rFonts w:ascii="Segoe UI" w:hAnsi="Segoe UI" w:eastAsia="Segoe UI" w:cs="Segoe UI"/>
                <w:color w:val="404040"/>
                <w:sz w:val="22"/>
              </w:rPr>
            </w:pPr>
            <w:r>
              <w:rPr>
                <w:rFonts w:ascii="Segoe UI" w:hAnsi="Segoe UI" w:eastAsia="Segoe UI" w:cs="Segoe UI"/>
                <w:color w:val="404040"/>
                <w:kern w:val="0"/>
                <w:sz w:val="22"/>
                <w:lang w:bidi="ar"/>
              </w:rPr>
              <w:t xml:space="preserve">2.3 </w:t>
            </w:r>
            <w:r>
              <w:rPr>
                <w:rFonts w:hint="eastAsia" w:ascii="微软雅黑" w:hAnsi="微软雅黑" w:eastAsia="微软雅黑" w:cs="微软雅黑"/>
                <w:color w:val="404040"/>
                <w:kern w:val="0"/>
                <w:sz w:val="22"/>
                <w:lang w:bidi="ar"/>
              </w:rPr>
              <w:t>数据安全</w:t>
            </w:r>
          </w:p>
        </w:tc>
        <w:tc>
          <w:tcPr>
            <w:tcW w:w="4426" w:type="dxa"/>
            <w:shd w:val="clear" w:color="auto" w:fill="FFFFFF"/>
            <w:tcMar>
              <w:top w:w="150" w:type="dxa"/>
              <w:left w:w="150" w:type="dxa"/>
              <w:bottom w:w="150" w:type="dxa"/>
              <w:right w:w="150" w:type="dxa"/>
            </w:tcMar>
            <w:vAlign w:val="center"/>
          </w:tcPr>
          <w:p w14:paraId="4CA13398">
            <w:pPr>
              <w:widowControl/>
              <w:spacing w:line="26" w:lineRule="atLeast"/>
              <w:jc w:val="left"/>
              <w:rPr>
                <w:rFonts w:ascii="Segoe UI" w:hAnsi="Segoe UI" w:eastAsia="Segoe UI" w:cs="Segoe UI"/>
                <w:color w:val="404040"/>
                <w:sz w:val="22"/>
              </w:rPr>
            </w:pPr>
            <w:r>
              <w:rPr>
                <w:rFonts w:hint="eastAsia" w:ascii="微软雅黑" w:hAnsi="微软雅黑" w:eastAsia="微软雅黑" w:cs="微软雅黑"/>
                <w:color w:val="404040"/>
                <w:kern w:val="0"/>
                <w:sz w:val="22"/>
                <w:lang w:bidi="ar"/>
              </w:rPr>
              <w:t>发生数据泄露或篡改事故，本项</w:t>
            </w:r>
            <w:r>
              <w:rPr>
                <w:rFonts w:ascii="Segoe UI" w:hAnsi="Segoe UI" w:eastAsia="Segoe UI" w:cs="Segoe UI"/>
                <w:color w:val="404040"/>
                <w:kern w:val="0"/>
                <w:sz w:val="22"/>
                <w:lang w:bidi="ar"/>
              </w:rPr>
              <w:t>0</w:t>
            </w:r>
            <w:r>
              <w:rPr>
                <w:rFonts w:hint="eastAsia" w:ascii="微软雅黑" w:hAnsi="微软雅黑" w:eastAsia="微软雅黑" w:cs="微软雅黑"/>
                <w:color w:val="404040"/>
                <w:kern w:val="0"/>
                <w:sz w:val="22"/>
                <w:lang w:bidi="ar"/>
              </w:rPr>
              <w:t>分并启动问责。</w:t>
            </w:r>
          </w:p>
        </w:tc>
        <w:tc>
          <w:tcPr>
            <w:tcW w:w="0" w:type="auto"/>
            <w:shd w:val="clear" w:color="auto" w:fill="FFFFFF"/>
            <w:tcMar>
              <w:top w:w="150" w:type="dxa"/>
              <w:left w:w="150" w:type="dxa"/>
              <w:bottom w:w="150" w:type="dxa"/>
              <w:right w:w="150" w:type="dxa"/>
            </w:tcMar>
            <w:vAlign w:val="center"/>
          </w:tcPr>
          <w:p w14:paraId="5F452F66">
            <w:pPr>
              <w:widowControl/>
              <w:spacing w:line="26" w:lineRule="atLeast"/>
              <w:jc w:val="left"/>
              <w:rPr>
                <w:rFonts w:ascii="Segoe UI" w:hAnsi="Segoe UI" w:eastAsia="Segoe UI" w:cs="Segoe UI"/>
                <w:color w:val="404040"/>
                <w:sz w:val="22"/>
              </w:rPr>
            </w:pPr>
            <w:r>
              <w:rPr>
                <w:rFonts w:ascii="Segoe UI" w:hAnsi="Segoe UI" w:eastAsia="Segoe UI" w:cs="Segoe UI"/>
                <w:color w:val="404040"/>
                <w:kern w:val="0"/>
                <w:sz w:val="22"/>
                <w:lang w:bidi="ar"/>
              </w:rPr>
              <w:t>5</w:t>
            </w:r>
          </w:p>
        </w:tc>
        <w:tc>
          <w:tcPr>
            <w:tcW w:w="0" w:type="auto"/>
            <w:shd w:val="clear" w:color="auto" w:fill="FFFFFF"/>
            <w:tcMar>
              <w:top w:w="150" w:type="dxa"/>
              <w:left w:w="150" w:type="dxa"/>
              <w:bottom w:w="150" w:type="dxa"/>
              <w:right w:w="150" w:type="dxa"/>
            </w:tcMar>
            <w:vAlign w:val="center"/>
          </w:tcPr>
          <w:p w14:paraId="7C384C72">
            <w:pPr>
              <w:rPr>
                <w:rFonts w:ascii="Segoe UI" w:hAnsi="Segoe UI" w:eastAsia="Segoe UI" w:cs="Segoe UI"/>
                <w:color w:val="404040"/>
                <w:sz w:val="22"/>
              </w:rPr>
            </w:pPr>
          </w:p>
        </w:tc>
        <w:tc>
          <w:tcPr>
            <w:tcW w:w="0" w:type="auto"/>
            <w:shd w:val="clear" w:color="auto" w:fill="FFFFFF"/>
            <w:tcMar>
              <w:top w:w="150" w:type="dxa"/>
              <w:left w:w="150" w:type="dxa"/>
              <w:bottom w:w="150" w:type="dxa"/>
              <w:right w:w="150" w:type="dxa"/>
            </w:tcMar>
            <w:vAlign w:val="center"/>
          </w:tcPr>
          <w:p w14:paraId="16D99CF0">
            <w:pPr>
              <w:rPr>
                <w:rFonts w:ascii="Segoe UI" w:hAnsi="Segoe UI" w:eastAsia="Segoe UI" w:cs="Segoe UI"/>
                <w:color w:val="404040"/>
                <w:sz w:val="22"/>
              </w:rPr>
            </w:pPr>
          </w:p>
        </w:tc>
      </w:tr>
      <w:tr w14:paraId="63A6B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43" w:type="dxa"/>
            <w:vMerge w:val="restart"/>
            <w:shd w:val="clear" w:color="auto" w:fill="FFFFFF"/>
            <w:tcMar>
              <w:top w:w="150" w:type="dxa"/>
              <w:left w:w="0" w:type="dxa"/>
              <w:bottom w:w="150" w:type="dxa"/>
              <w:right w:w="150" w:type="dxa"/>
            </w:tcMar>
            <w:vAlign w:val="center"/>
          </w:tcPr>
          <w:p w14:paraId="35DD5DFA">
            <w:pPr>
              <w:widowControl/>
              <w:spacing w:line="26" w:lineRule="atLeast"/>
              <w:jc w:val="center"/>
              <w:rPr>
                <w:rFonts w:ascii="Segoe UI" w:hAnsi="Segoe UI" w:eastAsia="Segoe UI" w:cs="Segoe UI"/>
                <w:color w:val="404040"/>
                <w:sz w:val="22"/>
              </w:rPr>
            </w:pPr>
            <w:r>
              <w:rPr>
                <w:rFonts w:ascii="Segoe UI" w:hAnsi="Segoe UI" w:eastAsia="Segoe UI" w:cs="Segoe UI"/>
                <w:b/>
                <w:bCs/>
                <w:color w:val="404040"/>
                <w:kern w:val="0"/>
                <w:sz w:val="22"/>
                <w:lang w:bidi="ar"/>
              </w:rPr>
              <w:t xml:space="preserve">3. </w:t>
            </w:r>
            <w:r>
              <w:rPr>
                <w:rFonts w:hint="eastAsia" w:ascii="微软雅黑" w:hAnsi="微软雅黑" w:eastAsia="微软雅黑" w:cs="微软雅黑"/>
                <w:b/>
                <w:bCs/>
                <w:color w:val="404040"/>
                <w:kern w:val="0"/>
                <w:sz w:val="22"/>
                <w:lang w:bidi="ar"/>
              </w:rPr>
              <w:t>产品增值服务</w:t>
            </w:r>
            <w:r>
              <w:rPr>
                <w:rFonts w:ascii="Segoe UI" w:hAnsi="Segoe UI" w:eastAsia="Segoe UI" w:cs="Segoe UI"/>
                <w:b/>
                <w:color w:val="404040"/>
                <w:kern w:val="0"/>
                <w:sz w:val="22"/>
                <w:lang w:bidi="ar"/>
              </w:rPr>
              <w:br w:type="textWrapping"/>
            </w:r>
            <w:r>
              <w:rPr>
                <w:rFonts w:hint="eastAsia" w:ascii="微软雅黑" w:hAnsi="微软雅黑" w:eastAsia="微软雅黑" w:cs="微软雅黑"/>
                <w:b/>
                <w:color w:val="404040"/>
                <w:kern w:val="0"/>
                <w:sz w:val="22"/>
                <w:lang w:bidi="ar"/>
              </w:rPr>
              <w:t>（</w:t>
            </w:r>
            <w:r>
              <w:rPr>
                <w:rFonts w:ascii="Segoe UI" w:hAnsi="Segoe UI" w:eastAsia="Segoe UI" w:cs="Segoe UI"/>
                <w:b/>
                <w:color w:val="404040"/>
                <w:kern w:val="0"/>
                <w:sz w:val="22"/>
                <w:lang w:bidi="ar"/>
              </w:rPr>
              <w:t>20</w:t>
            </w:r>
            <w:r>
              <w:rPr>
                <w:rFonts w:hint="eastAsia" w:ascii="微软雅黑" w:hAnsi="微软雅黑" w:eastAsia="微软雅黑" w:cs="微软雅黑"/>
                <w:b/>
                <w:color w:val="404040"/>
                <w:kern w:val="0"/>
                <w:sz w:val="22"/>
                <w:lang w:bidi="ar"/>
              </w:rPr>
              <w:t>分）</w:t>
            </w:r>
          </w:p>
        </w:tc>
        <w:tc>
          <w:tcPr>
            <w:tcW w:w="1559" w:type="dxa"/>
            <w:shd w:val="clear" w:color="auto" w:fill="FFFFFF"/>
            <w:tcMar>
              <w:top w:w="150" w:type="dxa"/>
              <w:left w:w="150" w:type="dxa"/>
              <w:bottom w:w="150" w:type="dxa"/>
              <w:right w:w="150" w:type="dxa"/>
            </w:tcMar>
            <w:vAlign w:val="center"/>
          </w:tcPr>
          <w:p w14:paraId="086B159E">
            <w:pPr>
              <w:widowControl/>
              <w:spacing w:line="26" w:lineRule="atLeast"/>
              <w:jc w:val="left"/>
              <w:rPr>
                <w:rFonts w:ascii="Segoe UI" w:hAnsi="Segoe UI" w:eastAsia="Segoe UI" w:cs="Segoe UI"/>
                <w:color w:val="404040"/>
                <w:sz w:val="22"/>
              </w:rPr>
            </w:pPr>
            <w:r>
              <w:rPr>
                <w:rFonts w:ascii="Segoe UI" w:hAnsi="Segoe UI" w:eastAsia="Segoe UI" w:cs="Segoe UI"/>
                <w:color w:val="404040"/>
                <w:kern w:val="0"/>
                <w:sz w:val="22"/>
                <w:lang w:bidi="ar"/>
              </w:rPr>
              <w:t xml:space="preserve">3.1 </w:t>
            </w:r>
            <w:r>
              <w:rPr>
                <w:rFonts w:hint="eastAsia" w:ascii="微软雅黑" w:hAnsi="微软雅黑" w:eastAsia="微软雅黑" w:cs="微软雅黑"/>
                <w:color w:val="404040"/>
                <w:kern w:val="0"/>
                <w:sz w:val="22"/>
                <w:lang w:bidi="ar"/>
              </w:rPr>
              <w:t>手机短信服务</w:t>
            </w:r>
          </w:p>
        </w:tc>
        <w:tc>
          <w:tcPr>
            <w:tcW w:w="4426" w:type="dxa"/>
            <w:shd w:val="clear" w:color="auto" w:fill="FFFFFF"/>
            <w:tcMar>
              <w:top w:w="150" w:type="dxa"/>
              <w:left w:w="150" w:type="dxa"/>
              <w:bottom w:w="150" w:type="dxa"/>
              <w:right w:w="150" w:type="dxa"/>
            </w:tcMar>
            <w:vAlign w:val="center"/>
          </w:tcPr>
          <w:p w14:paraId="0F29010E">
            <w:pPr>
              <w:widowControl/>
              <w:spacing w:line="26" w:lineRule="atLeast"/>
              <w:jc w:val="left"/>
              <w:rPr>
                <w:rFonts w:ascii="Segoe UI" w:hAnsi="Segoe UI" w:eastAsia="Segoe UI" w:cs="Segoe UI"/>
                <w:color w:val="404040"/>
                <w:sz w:val="22"/>
              </w:rPr>
            </w:pPr>
            <w:r>
              <w:rPr>
                <w:rFonts w:hint="eastAsia" w:ascii="微软雅黑" w:hAnsi="微软雅黑" w:eastAsia="微软雅黑" w:cs="微软雅黑"/>
                <w:color w:val="404040"/>
                <w:kern w:val="0"/>
                <w:sz w:val="22"/>
                <w:lang w:bidi="ar"/>
              </w:rPr>
              <w:t>短信数量</w:t>
            </w:r>
            <w:r>
              <w:rPr>
                <w:rFonts w:ascii="Segoe UI" w:hAnsi="Segoe UI" w:eastAsia="Segoe UI" w:cs="Segoe UI"/>
                <w:color w:val="404040"/>
                <w:kern w:val="0"/>
                <w:sz w:val="22"/>
                <w:lang w:bidi="ar"/>
              </w:rPr>
              <w:t>≥5000</w:t>
            </w:r>
            <w:r>
              <w:rPr>
                <w:rFonts w:hint="eastAsia" w:ascii="微软雅黑" w:hAnsi="微软雅黑" w:eastAsia="微软雅黑" w:cs="微软雅黑"/>
                <w:color w:val="404040"/>
                <w:kern w:val="0"/>
                <w:sz w:val="22"/>
                <w:lang w:bidi="ar"/>
              </w:rPr>
              <w:t>条</w:t>
            </w:r>
            <w:r>
              <w:rPr>
                <w:rFonts w:ascii="Segoe UI" w:hAnsi="Segoe UI" w:eastAsia="Segoe UI" w:cs="Segoe UI"/>
                <w:color w:val="404040"/>
                <w:kern w:val="0"/>
                <w:sz w:val="22"/>
                <w:lang w:bidi="ar"/>
              </w:rPr>
              <w:t>/</w:t>
            </w:r>
            <w:r>
              <w:rPr>
                <w:rFonts w:hint="eastAsia" w:ascii="微软雅黑" w:hAnsi="微软雅黑" w:eastAsia="微软雅黑" w:cs="微软雅黑"/>
                <w:color w:val="404040"/>
                <w:kern w:val="0"/>
                <w:sz w:val="22"/>
                <w:lang w:bidi="ar"/>
              </w:rPr>
              <w:t>年，验证码延迟</w:t>
            </w:r>
            <w:r>
              <w:rPr>
                <w:rFonts w:ascii="Segoe UI" w:hAnsi="Segoe UI" w:eastAsia="Segoe UI" w:cs="Segoe UI"/>
                <w:color w:val="404040"/>
                <w:kern w:val="0"/>
                <w:sz w:val="22"/>
                <w:lang w:bidi="ar"/>
              </w:rPr>
              <w:t>≤5</w:t>
            </w:r>
            <w:r>
              <w:rPr>
                <w:rFonts w:hint="eastAsia" w:ascii="微软雅黑" w:hAnsi="微软雅黑" w:eastAsia="微软雅黑" w:cs="微软雅黑"/>
                <w:color w:val="404040"/>
                <w:kern w:val="0"/>
                <w:sz w:val="22"/>
                <w:lang w:bidi="ar"/>
              </w:rPr>
              <w:t>秒（师生手机终端及网络问题引起的除外），未达标每次扣</w:t>
            </w:r>
            <w:r>
              <w:rPr>
                <w:rFonts w:ascii="Segoe UI" w:hAnsi="Segoe UI" w:eastAsia="Segoe UI" w:cs="Segoe UI"/>
                <w:color w:val="404040"/>
                <w:kern w:val="0"/>
                <w:sz w:val="22"/>
                <w:lang w:bidi="ar"/>
              </w:rPr>
              <w:t>2</w:t>
            </w:r>
            <w:r>
              <w:rPr>
                <w:rFonts w:hint="eastAsia" w:ascii="微软雅黑" w:hAnsi="微软雅黑" w:eastAsia="微软雅黑" w:cs="微软雅黑"/>
                <w:color w:val="404040"/>
                <w:kern w:val="0"/>
                <w:sz w:val="22"/>
                <w:lang w:bidi="ar"/>
              </w:rPr>
              <w:t>分</w:t>
            </w:r>
          </w:p>
        </w:tc>
        <w:tc>
          <w:tcPr>
            <w:tcW w:w="0" w:type="auto"/>
            <w:shd w:val="clear" w:color="auto" w:fill="FFFFFF"/>
            <w:tcMar>
              <w:top w:w="150" w:type="dxa"/>
              <w:left w:w="150" w:type="dxa"/>
              <w:bottom w:w="150" w:type="dxa"/>
              <w:right w:w="150" w:type="dxa"/>
            </w:tcMar>
            <w:vAlign w:val="center"/>
          </w:tcPr>
          <w:p w14:paraId="331A2178">
            <w:pPr>
              <w:widowControl/>
              <w:spacing w:line="26" w:lineRule="atLeast"/>
              <w:jc w:val="left"/>
              <w:rPr>
                <w:rFonts w:ascii="Segoe UI" w:hAnsi="Segoe UI" w:cs="Segoe UI"/>
                <w:color w:val="404040"/>
                <w:sz w:val="22"/>
              </w:rPr>
            </w:pPr>
            <w:r>
              <w:rPr>
                <w:rFonts w:hint="eastAsia" w:ascii="Segoe UI" w:hAnsi="Segoe UI" w:cs="Segoe UI"/>
                <w:color w:val="404040"/>
                <w:sz w:val="22"/>
              </w:rPr>
              <w:t>6</w:t>
            </w:r>
          </w:p>
        </w:tc>
        <w:tc>
          <w:tcPr>
            <w:tcW w:w="0" w:type="auto"/>
            <w:shd w:val="clear" w:color="auto" w:fill="FFFFFF"/>
            <w:tcMar>
              <w:top w:w="150" w:type="dxa"/>
              <w:left w:w="150" w:type="dxa"/>
              <w:bottom w:w="150" w:type="dxa"/>
              <w:right w:w="150" w:type="dxa"/>
            </w:tcMar>
            <w:vAlign w:val="center"/>
          </w:tcPr>
          <w:p w14:paraId="0C82D8F4">
            <w:pPr>
              <w:rPr>
                <w:rFonts w:ascii="Segoe UI" w:hAnsi="Segoe UI" w:eastAsia="Segoe UI" w:cs="Segoe UI"/>
                <w:color w:val="404040"/>
                <w:sz w:val="22"/>
              </w:rPr>
            </w:pPr>
          </w:p>
        </w:tc>
        <w:tc>
          <w:tcPr>
            <w:tcW w:w="0" w:type="auto"/>
            <w:shd w:val="clear" w:color="auto" w:fill="FFFFFF"/>
            <w:tcMar>
              <w:top w:w="150" w:type="dxa"/>
              <w:left w:w="150" w:type="dxa"/>
              <w:bottom w:w="150" w:type="dxa"/>
              <w:right w:w="150" w:type="dxa"/>
            </w:tcMar>
            <w:vAlign w:val="center"/>
          </w:tcPr>
          <w:p w14:paraId="12C9D2BF">
            <w:pPr>
              <w:rPr>
                <w:rFonts w:ascii="Segoe UI" w:hAnsi="Segoe UI" w:eastAsia="Segoe UI" w:cs="Segoe UI"/>
                <w:color w:val="404040"/>
                <w:sz w:val="22"/>
              </w:rPr>
            </w:pPr>
          </w:p>
        </w:tc>
      </w:tr>
      <w:tr w14:paraId="3BA87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3" w:type="dxa"/>
            <w:vMerge w:val="continue"/>
            <w:shd w:val="clear" w:color="auto" w:fill="FFFFFF"/>
            <w:tcMar>
              <w:top w:w="150" w:type="dxa"/>
              <w:left w:w="0" w:type="dxa"/>
              <w:bottom w:w="150" w:type="dxa"/>
              <w:right w:w="150" w:type="dxa"/>
            </w:tcMar>
            <w:vAlign w:val="center"/>
          </w:tcPr>
          <w:p w14:paraId="0D8E516A">
            <w:pPr>
              <w:rPr>
                <w:rFonts w:ascii="Segoe UI" w:hAnsi="Segoe UI" w:eastAsia="Segoe UI" w:cs="Segoe UI"/>
                <w:color w:val="404040"/>
                <w:sz w:val="22"/>
              </w:rPr>
            </w:pPr>
          </w:p>
        </w:tc>
        <w:tc>
          <w:tcPr>
            <w:tcW w:w="1559" w:type="dxa"/>
            <w:shd w:val="clear" w:color="auto" w:fill="FFFFFF"/>
            <w:tcMar>
              <w:top w:w="150" w:type="dxa"/>
              <w:left w:w="150" w:type="dxa"/>
              <w:bottom w:w="150" w:type="dxa"/>
              <w:right w:w="150" w:type="dxa"/>
            </w:tcMar>
            <w:vAlign w:val="center"/>
          </w:tcPr>
          <w:p w14:paraId="27D5F56C">
            <w:pPr>
              <w:widowControl/>
              <w:spacing w:line="26" w:lineRule="atLeast"/>
              <w:jc w:val="left"/>
              <w:rPr>
                <w:rFonts w:ascii="Segoe UI" w:hAnsi="Segoe UI" w:eastAsia="Segoe UI" w:cs="Segoe UI"/>
                <w:color w:val="404040"/>
                <w:sz w:val="22"/>
              </w:rPr>
            </w:pPr>
            <w:r>
              <w:rPr>
                <w:rFonts w:ascii="Segoe UI" w:hAnsi="Segoe UI" w:eastAsia="Segoe UI" w:cs="Segoe UI"/>
                <w:color w:val="404040"/>
                <w:kern w:val="0"/>
                <w:sz w:val="22"/>
                <w:lang w:bidi="ar"/>
              </w:rPr>
              <w:t xml:space="preserve">3.2 </w:t>
            </w:r>
            <w:r>
              <w:rPr>
                <w:rFonts w:hint="eastAsia" w:ascii="微软雅黑" w:hAnsi="微软雅黑" w:eastAsia="微软雅黑" w:cs="微软雅黑"/>
                <w:color w:val="404040"/>
                <w:kern w:val="0"/>
                <w:sz w:val="22"/>
                <w:lang w:bidi="ar"/>
              </w:rPr>
              <w:t>人脸识别服务</w:t>
            </w:r>
          </w:p>
        </w:tc>
        <w:tc>
          <w:tcPr>
            <w:tcW w:w="4426" w:type="dxa"/>
            <w:shd w:val="clear" w:color="auto" w:fill="FFFFFF"/>
            <w:tcMar>
              <w:top w:w="150" w:type="dxa"/>
              <w:left w:w="150" w:type="dxa"/>
              <w:bottom w:w="150" w:type="dxa"/>
              <w:right w:w="150" w:type="dxa"/>
            </w:tcMar>
            <w:vAlign w:val="center"/>
          </w:tcPr>
          <w:p w14:paraId="563506A0">
            <w:pPr>
              <w:widowControl/>
              <w:spacing w:line="26" w:lineRule="atLeast"/>
              <w:jc w:val="left"/>
              <w:rPr>
                <w:rFonts w:ascii="Segoe UI" w:hAnsi="Segoe UI" w:eastAsia="Segoe UI" w:cs="Segoe UI"/>
                <w:color w:val="404040"/>
                <w:sz w:val="22"/>
              </w:rPr>
            </w:pPr>
            <w:r>
              <w:rPr>
                <w:rFonts w:hint="eastAsia" w:ascii="微软雅黑" w:hAnsi="微软雅黑" w:eastAsia="微软雅黑" w:cs="微软雅黑"/>
                <w:color w:val="404040"/>
                <w:kern w:val="0"/>
                <w:sz w:val="22"/>
                <w:lang w:bidi="ar"/>
              </w:rPr>
              <w:t>服务次数</w:t>
            </w:r>
            <w:r>
              <w:rPr>
                <w:rFonts w:ascii="Segoe UI" w:hAnsi="Segoe UI" w:eastAsia="Segoe UI" w:cs="Segoe UI"/>
                <w:color w:val="404040"/>
                <w:kern w:val="0"/>
                <w:sz w:val="22"/>
                <w:lang w:bidi="ar"/>
              </w:rPr>
              <w:t>≥10</w:t>
            </w:r>
            <w:r>
              <w:rPr>
                <w:rFonts w:hint="eastAsia" w:ascii="微软雅黑" w:hAnsi="微软雅黑" w:eastAsia="微软雅黑" w:cs="微软雅黑"/>
                <w:color w:val="404040"/>
                <w:kern w:val="0"/>
                <w:sz w:val="22"/>
                <w:lang w:bidi="ar"/>
              </w:rPr>
              <w:t>万次</w:t>
            </w:r>
            <w:r>
              <w:rPr>
                <w:rFonts w:ascii="Segoe UI" w:hAnsi="Segoe UI" w:eastAsia="Segoe UI" w:cs="Segoe UI"/>
                <w:color w:val="404040"/>
                <w:kern w:val="0"/>
                <w:sz w:val="22"/>
                <w:lang w:bidi="ar"/>
              </w:rPr>
              <w:t>/</w:t>
            </w:r>
            <w:r>
              <w:rPr>
                <w:rFonts w:hint="eastAsia" w:ascii="微软雅黑" w:hAnsi="微软雅黑" w:eastAsia="微软雅黑" w:cs="微软雅黑"/>
                <w:color w:val="404040"/>
                <w:kern w:val="0"/>
                <w:sz w:val="22"/>
                <w:lang w:bidi="ar"/>
              </w:rPr>
              <w:t>年，底库安全管理无泄露，违规每次扣</w:t>
            </w:r>
            <w:r>
              <w:rPr>
                <w:rFonts w:ascii="Segoe UI" w:hAnsi="Segoe UI" w:eastAsia="Segoe UI" w:cs="Segoe UI"/>
                <w:color w:val="404040"/>
                <w:kern w:val="0"/>
                <w:sz w:val="22"/>
                <w:lang w:bidi="ar"/>
              </w:rPr>
              <w:t>3</w:t>
            </w:r>
            <w:r>
              <w:rPr>
                <w:rFonts w:hint="eastAsia" w:ascii="微软雅黑" w:hAnsi="微软雅黑" w:eastAsia="微软雅黑" w:cs="微软雅黑"/>
                <w:color w:val="404040"/>
                <w:kern w:val="0"/>
                <w:sz w:val="22"/>
                <w:lang w:bidi="ar"/>
              </w:rPr>
              <w:t>分。</w:t>
            </w:r>
          </w:p>
        </w:tc>
        <w:tc>
          <w:tcPr>
            <w:tcW w:w="0" w:type="auto"/>
            <w:shd w:val="clear" w:color="auto" w:fill="FFFFFF"/>
            <w:tcMar>
              <w:top w:w="150" w:type="dxa"/>
              <w:left w:w="150" w:type="dxa"/>
              <w:bottom w:w="150" w:type="dxa"/>
              <w:right w:w="150" w:type="dxa"/>
            </w:tcMar>
            <w:vAlign w:val="center"/>
          </w:tcPr>
          <w:p w14:paraId="4B4C1286">
            <w:pPr>
              <w:widowControl/>
              <w:spacing w:line="26" w:lineRule="atLeast"/>
              <w:jc w:val="left"/>
              <w:rPr>
                <w:rFonts w:ascii="Segoe UI" w:hAnsi="Segoe UI" w:cs="Segoe UI"/>
                <w:color w:val="404040"/>
                <w:sz w:val="22"/>
              </w:rPr>
            </w:pPr>
            <w:r>
              <w:rPr>
                <w:rFonts w:hint="eastAsia" w:ascii="Segoe UI" w:hAnsi="Segoe UI" w:cs="Segoe UI"/>
                <w:color w:val="404040"/>
                <w:sz w:val="22"/>
              </w:rPr>
              <w:t>5</w:t>
            </w:r>
          </w:p>
        </w:tc>
        <w:tc>
          <w:tcPr>
            <w:tcW w:w="0" w:type="auto"/>
            <w:shd w:val="clear" w:color="auto" w:fill="FFFFFF"/>
            <w:tcMar>
              <w:top w:w="150" w:type="dxa"/>
              <w:left w:w="150" w:type="dxa"/>
              <w:bottom w:w="150" w:type="dxa"/>
              <w:right w:w="150" w:type="dxa"/>
            </w:tcMar>
            <w:vAlign w:val="center"/>
          </w:tcPr>
          <w:p w14:paraId="406F75D2">
            <w:pPr>
              <w:rPr>
                <w:rFonts w:ascii="Segoe UI" w:hAnsi="Segoe UI" w:eastAsia="Segoe UI" w:cs="Segoe UI"/>
                <w:color w:val="404040"/>
                <w:sz w:val="22"/>
              </w:rPr>
            </w:pPr>
          </w:p>
        </w:tc>
        <w:tc>
          <w:tcPr>
            <w:tcW w:w="0" w:type="auto"/>
            <w:shd w:val="clear" w:color="auto" w:fill="FFFFFF"/>
            <w:tcMar>
              <w:top w:w="150" w:type="dxa"/>
              <w:left w:w="150" w:type="dxa"/>
              <w:bottom w:w="150" w:type="dxa"/>
              <w:right w:w="150" w:type="dxa"/>
            </w:tcMar>
            <w:vAlign w:val="center"/>
          </w:tcPr>
          <w:p w14:paraId="0F07DCA6">
            <w:pPr>
              <w:rPr>
                <w:rFonts w:ascii="Segoe UI" w:hAnsi="Segoe UI" w:eastAsia="Segoe UI" w:cs="Segoe UI"/>
                <w:color w:val="404040"/>
                <w:sz w:val="22"/>
              </w:rPr>
            </w:pPr>
          </w:p>
        </w:tc>
      </w:tr>
      <w:tr w14:paraId="7E420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43" w:type="dxa"/>
            <w:vMerge w:val="continue"/>
            <w:shd w:val="clear" w:color="auto" w:fill="FFFFFF"/>
            <w:tcMar>
              <w:top w:w="150" w:type="dxa"/>
              <w:left w:w="0" w:type="dxa"/>
              <w:bottom w:w="150" w:type="dxa"/>
              <w:right w:w="150" w:type="dxa"/>
            </w:tcMar>
            <w:vAlign w:val="center"/>
          </w:tcPr>
          <w:p w14:paraId="496636E6">
            <w:pPr>
              <w:rPr>
                <w:rFonts w:ascii="Segoe UI" w:hAnsi="Segoe UI" w:eastAsia="Segoe UI" w:cs="Segoe UI"/>
                <w:color w:val="404040"/>
                <w:sz w:val="22"/>
              </w:rPr>
            </w:pPr>
          </w:p>
        </w:tc>
        <w:tc>
          <w:tcPr>
            <w:tcW w:w="1559" w:type="dxa"/>
            <w:shd w:val="clear" w:color="auto" w:fill="FFFFFF"/>
            <w:tcMar>
              <w:top w:w="150" w:type="dxa"/>
              <w:left w:w="150" w:type="dxa"/>
              <w:bottom w:w="150" w:type="dxa"/>
              <w:right w:w="150" w:type="dxa"/>
            </w:tcMar>
            <w:vAlign w:val="center"/>
          </w:tcPr>
          <w:p w14:paraId="7154ECFE">
            <w:pPr>
              <w:widowControl/>
              <w:spacing w:line="26" w:lineRule="atLeast"/>
              <w:jc w:val="left"/>
              <w:rPr>
                <w:rFonts w:ascii="Segoe UI" w:hAnsi="Segoe UI" w:eastAsia="Segoe UI" w:cs="Segoe UI"/>
                <w:color w:val="404040"/>
                <w:sz w:val="22"/>
              </w:rPr>
            </w:pPr>
            <w:r>
              <w:rPr>
                <w:rFonts w:ascii="Segoe UI" w:hAnsi="Segoe UI" w:eastAsia="Segoe UI" w:cs="Segoe UI"/>
                <w:color w:val="404040"/>
                <w:kern w:val="0"/>
                <w:sz w:val="22"/>
                <w:lang w:bidi="ar"/>
              </w:rPr>
              <w:t xml:space="preserve">3.3 </w:t>
            </w:r>
            <w:r>
              <w:rPr>
                <w:rFonts w:hint="eastAsia" w:ascii="微软雅黑" w:hAnsi="微软雅黑" w:eastAsia="微软雅黑" w:cs="微软雅黑"/>
                <w:color w:val="404040"/>
                <w:kern w:val="0"/>
                <w:sz w:val="22"/>
                <w:lang w:bidi="ar"/>
              </w:rPr>
              <w:t>软件版本升级</w:t>
            </w:r>
          </w:p>
        </w:tc>
        <w:tc>
          <w:tcPr>
            <w:tcW w:w="4426" w:type="dxa"/>
            <w:shd w:val="clear" w:color="auto" w:fill="FFFFFF"/>
            <w:tcMar>
              <w:top w:w="150" w:type="dxa"/>
              <w:left w:w="150" w:type="dxa"/>
              <w:bottom w:w="150" w:type="dxa"/>
              <w:right w:w="150" w:type="dxa"/>
            </w:tcMar>
            <w:vAlign w:val="center"/>
          </w:tcPr>
          <w:p w14:paraId="6214CB80">
            <w:pPr>
              <w:widowControl/>
              <w:spacing w:line="26" w:lineRule="atLeast"/>
              <w:jc w:val="left"/>
              <w:rPr>
                <w:rFonts w:ascii="Segoe UI" w:hAnsi="Segoe UI" w:eastAsia="Segoe UI" w:cs="Segoe UI"/>
                <w:color w:val="404040"/>
                <w:sz w:val="22"/>
              </w:rPr>
            </w:pPr>
            <w:r>
              <w:rPr>
                <w:rFonts w:hint="eastAsia" w:ascii="微软雅黑" w:hAnsi="微软雅黑" w:eastAsia="微软雅黑" w:cs="微软雅黑"/>
                <w:color w:val="404040"/>
                <w:kern w:val="0"/>
                <w:sz w:val="22"/>
                <w:lang w:bidi="ar"/>
              </w:rPr>
              <w:t>升级后系统稳定，失败或功能异常每次扣2分。</w:t>
            </w:r>
          </w:p>
        </w:tc>
        <w:tc>
          <w:tcPr>
            <w:tcW w:w="0" w:type="auto"/>
            <w:shd w:val="clear" w:color="auto" w:fill="FFFFFF"/>
            <w:tcMar>
              <w:top w:w="150" w:type="dxa"/>
              <w:left w:w="150" w:type="dxa"/>
              <w:bottom w:w="150" w:type="dxa"/>
              <w:right w:w="150" w:type="dxa"/>
            </w:tcMar>
            <w:vAlign w:val="center"/>
          </w:tcPr>
          <w:p w14:paraId="52CFD7D3">
            <w:pPr>
              <w:widowControl/>
              <w:spacing w:line="26" w:lineRule="atLeast"/>
              <w:jc w:val="left"/>
              <w:rPr>
                <w:rFonts w:ascii="Segoe UI" w:hAnsi="Segoe UI" w:eastAsia="Segoe UI" w:cs="Segoe UI"/>
                <w:color w:val="404040"/>
                <w:sz w:val="22"/>
              </w:rPr>
            </w:pPr>
            <w:r>
              <w:rPr>
                <w:rFonts w:ascii="Segoe UI" w:hAnsi="Segoe UI" w:eastAsia="Segoe UI" w:cs="Segoe UI"/>
                <w:color w:val="404040"/>
                <w:kern w:val="0"/>
                <w:sz w:val="22"/>
                <w:lang w:bidi="ar"/>
              </w:rPr>
              <w:t>5</w:t>
            </w:r>
          </w:p>
        </w:tc>
        <w:tc>
          <w:tcPr>
            <w:tcW w:w="0" w:type="auto"/>
            <w:shd w:val="clear" w:color="auto" w:fill="FFFFFF"/>
            <w:tcMar>
              <w:top w:w="150" w:type="dxa"/>
              <w:left w:w="150" w:type="dxa"/>
              <w:bottom w:w="150" w:type="dxa"/>
              <w:right w:w="150" w:type="dxa"/>
            </w:tcMar>
            <w:vAlign w:val="center"/>
          </w:tcPr>
          <w:p w14:paraId="0A9789D4">
            <w:pPr>
              <w:rPr>
                <w:rFonts w:ascii="Segoe UI" w:hAnsi="Segoe UI" w:eastAsia="Segoe UI" w:cs="Segoe UI"/>
                <w:color w:val="404040"/>
                <w:sz w:val="22"/>
              </w:rPr>
            </w:pPr>
          </w:p>
        </w:tc>
        <w:tc>
          <w:tcPr>
            <w:tcW w:w="0" w:type="auto"/>
            <w:shd w:val="clear" w:color="auto" w:fill="FFFFFF"/>
            <w:tcMar>
              <w:top w:w="150" w:type="dxa"/>
              <w:left w:w="150" w:type="dxa"/>
              <w:bottom w:w="150" w:type="dxa"/>
              <w:right w:w="150" w:type="dxa"/>
            </w:tcMar>
            <w:vAlign w:val="center"/>
          </w:tcPr>
          <w:p w14:paraId="728F4B20">
            <w:pPr>
              <w:rPr>
                <w:rFonts w:ascii="Segoe UI" w:hAnsi="Segoe UI" w:eastAsia="Segoe UI" w:cs="Segoe UI"/>
                <w:color w:val="404040"/>
                <w:sz w:val="22"/>
              </w:rPr>
            </w:pPr>
          </w:p>
        </w:tc>
      </w:tr>
      <w:tr w14:paraId="13426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3" w:type="dxa"/>
            <w:vMerge w:val="continue"/>
            <w:shd w:val="clear" w:color="auto" w:fill="FFFFFF"/>
            <w:tcMar>
              <w:top w:w="150" w:type="dxa"/>
              <w:left w:w="0" w:type="dxa"/>
              <w:bottom w:w="150" w:type="dxa"/>
              <w:right w:w="150" w:type="dxa"/>
            </w:tcMar>
            <w:vAlign w:val="center"/>
          </w:tcPr>
          <w:p w14:paraId="45C322E7">
            <w:pPr>
              <w:rPr>
                <w:rFonts w:ascii="Segoe UI" w:hAnsi="Segoe UI" w:eastAsia="Segoe UI" w:cs="Segoe UI"/>
                <w:color w:val="404040"/>
                <w:sz w:val="22"/>
              </w:rPr>
            </w:pPr>
          </w:p>
        </w:tc>
        <w:tc>
          <w:tcPr>
            <w:tcW w:w="1559" w:type="dxa"/>
            <w:shd w:val="clear" w:color="auto" w:fill="FFFFFF"/>
            <w:tcMar>
              <w:top w:w="150" w:type="dxa"/>
              <w:left w:w="150" w:type="dxa"/>
              <w:bottom w:w="150" w:type="dxa"/>
              <w:right w:w="150" w:type="dxa"/>
            </w:tcMar>
            <w:vAlign w:val="center"/>
          </w:tcPr>
          <w:p w14:paraId="6A1EE40A">
            <w:pPr>
              <w:widowControl/>
              <w:spacing w:line="26" w:lineRule="atLeast"/>
              <w:jc w:val="left"/>
              <w:rPr>
                <w:rFonts w:ascii="Segoe UI" w:hAnsi="Segoe UI" w:eastAsia="Segoe UI" w:cs="Segoe UI"/>
                <w:color w:val="404040"/>
                <w:kern w:val="0"/>
                <w:sz w:val="22"/>
                <w:lang w:bidi="ar"/>
              </w:rPr>
            </w:pPr>
            <w:r>
              <w:rPr>
                <w:rFonts w:ascii="Segoe UI" w:hAnsi="Segoe UI" w:eastAsia="Segoe UI" w:cs="Segoe UI"/>
                <w:color w:val="404040"/>
                <w:kern w:val="0"/>
                <w:sz w:val="22"/>
                <w:lang w:bidi="ar"/>
              </w:rPr>
              <w:t xml:space="preserve">3.4 </w:t>
            </w:r>
            <w:r>
              <w:rPr>
                <w:rFonts w:hint="eastAsia" w:ascii="微软雅黑" w:hAnsi="微软雅黑" w:eastAsia="微软雅黑" w:cs="微软雅黑"/>
                <w:color w:val="404040"/>
                <w:kern w:val="0"/>
                <w:sz w:val="22"/>
                <w:lang w:bidi="ar"/>
              </w:rPr>
              <w:t>平台运行报告</w:t>
            </w:r>
          </w:p>
        </w:tc>
        <w:tc>
          <w:tcPr>
            <w:tcW w:w="4426" w:type="dxa"/>
            <w:shd w:val="clear" w:color="auto" w:fill="FFFFFF"/>
            <w:tcMar>
              <w:top w:w="150" w:type="dxa"/>
              <w:left w:w="150" w:type="dxa"/>
              <w:bottom w:w="150" w:type="dxa"/>
              <w:right w:w="150" w:type="dxa"/>
            </w:tcMar>
            <w:vAlign w:val="center"/>
          </w:tcPr>
          <w:p w14:paraId="3E1F3198">
            <w:pPr>
              <w:widowControl/>
              <w:spacing w:line="26" w:lineRule="atLeast"/>
              <w:jc w:val="left"/>
              <w:rPr>
                <w:rFonts w:hint="eastAsia" w:ascii="微软雅黑" w:hAnsi="微软雅黑" w:eastAsia="微软雅黑" w:cs="微软雅黑"/>
                <w:color w:val="404040"/>
                <w:kern w:val="0"/>
                <w:sz w:val="22"/>
                <w:lang w:bidi="ar"/>
              </w:rPr>
            </w:pPr>
            <w:r>
              <w:rPr>
                <w:rFonts w:ascii="微软雅黑" w:hAnsi="微软雅黑" w:eastAsia="微软雅黑" w:cs="微软雅黑"/>
                <w:color w:val="404040"/>
                <w:kern w:val="0"/>
                <w:sz w:val="22"/>
                <w:lang w:bidi="ar"/>
              </w:rPr>
              <w:t>每学期1份报告，未提交或内容不全每次扣2分。</w:t>
            </w:r>
          </w:p>
        </w:tc>
        <w:tc>
          <w:tcPr>
            <w:tcW w:w="0" w:type="auto"/>
            <w:shd w:val="clear" w:color="auto" w:fill="FFFFFF"/>
            <w:tcMar>
              <w:top w:w="150" w:type="dxa"/>
              <w:left w:w="150" w:type="dxa"/>
              <w:bottom w:w="150" w:type="dxa"/>
              <w:right w:w="150" w:type="dxa"/>
            </w:tcMar>
            <w:vAlign w:val="center"/>
          </w:tcPr>
          <w:p w14:paraId="4DBE6584">
            <w:pPr>
              <w:widowControl/>
              <w:spacing w:line="26" w:lineRule="atLeast"/>
              <w:jc w:val="left"/>
              <w:rPr>
                <w:rFonts w:ascii="Segoe UI" w:hAnsi="Segoe UI" w:eastAsia="Segoe UI" w:cs="Segoe UI"/>
                <w:color w:val="404040"/>
                <w:kern w:val="0"/>
                <w:sz w:val="22"/>
                <w:lang w:bidi="ar"/>
              </w:rPr>
            </w:pPr>
            <w:r>
              <w:rPr>
                <w:rFonts w:hint="eastAsia" w:cs="Segoe UI" w:asciiTheme="minorEastAsia" w:hAnsiTheme="minorEastAsia"/>
                <w:color w:val="404040"/>
                <w:kern w:val="0"/>
                <w:sz w:val="22"/>
                <w:lang w:bidi="ar"/>
              </w:rPr>
              <w:t>4</w:t>
            </w:r>
          </w:p>
        </w:tc>
        <w:tc>
          <w:tcPr>
            <w:tcW w:w="0" w:type="auto"/>
            <w:shd w:val="clear" w:color="auto" w:fill="FFFFFF"/>
            <w:tcMar>
              <w:top w:w="150" w:type="dxa"/>
              <w:left w:w="150" w:type="dxa"/>
              <w:bottom w:w="150" w:type="dxa"/>
              <w:right w:w="150" w:type="dxa"/>
            </w:tcMar>
            <w:vAlign w:val="center"/>
          </w:tcPr>
          <w:p w14:paraId="1C4955DE">
            <w:pPr>
              <w:rPr>
                <w:rFonts w:ascii="Segoe UI" w:hAnsi="Segoe UI" w:eastAsia="Segoe UI" w:cs="Segoe UI"/>
                <w:color w:val="404040"/>
                <w:sz w:val="22"/>
              </w:rPr>
            </w:pPr>
          </w:p>
        </w:tc>
        <w:tc>
          <w:tcPr>
            <w:tcW w:w="0" w:type="auto"/>
            <w:shd w:val="clear" w:color="auto" w:fill="FFFFFF"/>
            <w:tcMar>
              <w:top w:w="150" w:type="dxa"/>
              <w:left w:w="150" w:type="dxa"/>
              <w:bottom w:w="150" w:type="dxa"/>
              <w:right w:w="150" w:type="dxa"/>
            </w:tcMar>
            <w:vAlign w:val="center"/>
          </w:tcPr>
          <w:p w14:paraId="446FE21E">
            <w:pPr>
              <w:rPr>
                <w:rFonts w:ascii="Segoe UI" w:hAnsi="Segoe UI" w:eastAsia="Segoe UI" w:cs="Segoe UI"/>
                <w:color w:val="404040"/>
                <w:sz w:val="22"/>
              </w:rPr>
            </w:pPr>
          </w:p>
        </w:tc>
      </w:tr>
      <w:tr w14:paraId="1F411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43" w:type="dxa"/>
            <w:vMerge w:val="restart"/>
            <w:shd w:val="clear" w:color="auto" w:fill="FFFFFF"/>
            <w:tcMar>
              <w:top w:w="150" w:type="dxa"/>
              <w:left w:w="0" w:type="dxa"/>
              <w:bottom w:w="150" w:type="dxa"/>
              <w:right w:w="150" w:type="dxa"/>
            </w:tcMar>
            <w:vAlign w:val="center"/>
          </w:tcPr>
          <w:p w14:paraId="74D449E0">
            <w:pPr>
              <w:widowControl/>
              <w:spacing w:line="26" w:lineRule="atLeast"/>
              <w:jc w:val="center"/>
              <w:rPr>
                <w:rFonts w:ascii="Segoe UI" w:hAnsi="Segoe UI" w:eastAsia="Segoe UI" w:cs="Segoe UI"/>
                <w:color w:val="404040"/>
                <w:sz w:val="22"/>
              </w:rPr>
            </w:pPr>
            <w:r>
              <w:rPr>
                <w:rFonts w:ascii="Segoe UI" w:hAnsi="Segoe UI" w:eastAsia="Segoe UI" w:cs="Segoe UI"/>
                <w:b/>
                <w:bCs/>
                <w:color w:val="404040"/>
                <w:kern w:val="0"/>
                <w:sz w:val="22"/>
                <w:lang w:bidi="ar"/>
              </w:rPr>
              <w:t xml:space="preserve">4. </w:t>
            </w:r>
            <w:r>
              <w:rPr>
                <w:rFonts w:hint="eastAsia" w:ascii="微软雅黑" w:hAnsi="微软雅黑" w:eastAsia="微软雅黑" w:cs="微软雅黑"/>
                <w:b/>
                <w:bCs/>
                <w:color w:val="404040"/>
                <w:kern w:val="0"/>
                <w:sz w:val="22"/>
                <w:lang w:bidi="ar"/>
              </w:rPr>
              <w:t>服务质量</w:t>
            </w:r>
            <w:r>
              <w:rPr>
                <w:rFonts w:ascii="Segoe UI" w:hAnsi="Segoe UI" w:eastAsia="Segoe UI" w:cs="Segoe UI"/>
                <w:b/>
                <w:color w:val="404040"/>
                <w:kern w:val="0"/>
                <w:sz w:val="22"/>
                <w:lang w:bidi="ar"/>
              </w:rPr>
              <w:br w:type="textWrapping"/>
            </w:r>
            <w:r>
              <w:rPr>
                <w:rFonts w:hint="eastAsia" w:ascii="微软雅黑" w:hAnsi="微软雅黑" w:eastAsia="微软雅黑" w:cs="微软雅黑"/>
                <w:b/>
                <w:color w:val="404040"/>
                <w:kern w:val="0"/>
                <w:sz w:val="22"/>
                <w:lang w:bidi="ar"/>
              </w:rPr>
              <w:t>（</w:t>
            </w:r>
            <w:r>
              <w:rPr>
                <w:rFonts w:ascii="Segoe UI" w:hAnsi="Segoe UI" w:eastAsia="Segoe UI" w:cs="Segoe UI"/>
                <w:b/>
                <w:color w:val="404040"/>
                <w:kern w:val="0"/>
                <w:sz w:val="22"/>
                <w:lang w:bidi="ar"/>
              </w:rPr>
              <w:t>25</w:t>
            </w:r>
            <w:r>
              <w:rPr>
                <w:rFonts w:hint="eastAsia" w:ascii="微软雅黑" w:hAnsi="微软雅黑" w:eastAsia="微软雅黑" w:cs="微软雅黑"/>
                <w:b/>
                <w:color w:val="404040"/>
                <w:kern w:val="0"/>
                <w:sz w:val="22"/>
                <w:lang w:bidi="ar"/>
              </w:rPr>
              <w:t>分）</w:t>
            </w:r>
          </w:p>
        </w:tc>
        <w:tc>
          <w:tcPr>
            <w:tcW w:w="1559" w:type="dxa"/>
            <w:shd w:val="clear" w:color="auto" w:fill="FFFFFF"/>
            <w:tcMar>
              <w:top w:w="150" w:type="dxa"/>
              <w:left w:w="150" w:type="dxa"/>
              <w:bottom w:w="150" w:type="dxa"/>
              <w:right w:w="150" w:type="dxa"/>
            </w:tcMar>
            <w:vAlign w:val="center"/>
          </w:tcPr>
          <w:p w14:paraId="0F23118F">
            <w:pPr>
              <w:widowControl/>
              <w:spacing w:line="26" w:lineRule="atLeast"/>
              <w:jc w:val="left"/>
              <w:rPr>
                <w:rFonts w:ascii="Segoe UI" w:hAnsi="Segoe UI" w:eastAsia="Segoe UI" w:cs="Segoe UI"/>
                <w:color w:val="404040"/>
                <w:sz w:val="22"/>
              </w:rPr>
            </w:pPr>
            <w:r>
              <w:rPr>
                <w:rFonts w:ascii="Segoe UI" w:hAnsi="Segoe UI" w:eastAsia="Segoe UI" w:cs="Segoe UI"/>
                <w:color w:val="404040"/>
                <w:kern w:val="0"/>
                <w:sz w:val="22"/>
                <w:lang w:bidi="ar"/>
              </w:rPr>
              <w:t xml:space="preserve">4.1 </w:t>
            </w:r>
            <w:r>
              <w:rPr>
                <w:rFonts w:hint="eastAsia" w:ascii="微软雅黑" w:hAnsi="微软雅黑" w:eastAsia="微软雅黑" w:cs="微软雅黑"/>
                <w:color w:val="404040"/>
                <w:kern w:val="0"/>
                <w:sz w:val="22"/>
                <w:lang w:bidi="ar"/>
              </w:rPr>
              <w:t>服务响应时效</w:t>
            </w:r>
          </w:p>
        </w:tc>
        <w:tc>
          <w:tcPr>
            <w:tcW w:w="4426" w:type="dxa"/>
            <w:shd w:val="clear" w:color="auto" w:fill="FFFFFF"/>
            <w:tcMar>
              <w:top w:w="150" w:type="dxa"/>
              <w:left w:w="150" w:type="dxa"/>
              <w:bottom w:w="150" w:type="dxa"/>
              <w:right w:w="150" w:type="dxa"/>
            </w:tcMar>
            <w:vAlign w:val="center"/>
          </w:tcPr>
          <w:p w14:paraId="4F65661A">
            <w:pPr>
              <w:widowControl/>
              <w:spacing w:line="26" w:lineRule="atLeast"/>
              <w:jc w:val="left"/>
              <w:rPr>
                <w:rFonts w:ascii="Segoe UI" w:hAnsi="Segoe UI" w:eastAsia="Segoe UI" w:cs="Segoe UI"/>
                <w:color w:val="404040"/>
                <w:sz w:val="22"/>
              </w:rPr>
            </w:pPr>
            <w:r>
              <w:rPr>
                <w:rFonts w:hint="eastAsia" w:ascii="微软雅黑" w:hAnsi="微软雅黑" w:eastAsia="微软雅黑" w:cs="微软雅黑"/>
                <w:color w:val="404040"/>
                <w:kern w:val="0"/>
                <w:sz w:val="22"/>
                <w:lang w:bidi="ar"/>
              </w:rPr>
              <w:t>普通问题</w:t>
            </w:r>
            <w:r>
              <w:rPr>
                <w:rFonts w:ascii="Segoe UI" w:hAnsi="Segoe UI" w:eastAsia="Segoe UI" w:cs="Segoe UI"/>
                <w:color w:val="404040"/>
                <w:kern w:val="0"/>
                <w:sz w:val="22"/>
                <w:lang w:bidi="ar"/>
              </w:rPr>
              <w:t>≤</w:t>
            </w:r>
            <w:r>
              <w:rPr>
                <w:rFonts w:hint="eastAsia" w:ascii="Segoe UI" w:hAnsi="Segoe UI" w:cs="Segoe UI"/>
                <w:color w:val="404040"/>
                <w:kern w:val="0"/>
                <w:sz w:val="22"/>
                <w:lang w:bidi="ar"/>
              </w:rPr>
              <w:t>3</w:t>
            </w:r>
            <w:r>
              <w:rPr>
                <w:rFonts w:hint="eastAsia" w:ascii="微软雅黑" w:hAnsi="微软雅黑" w:eastAsia="微软雅黑" w:cs="微软雅黑"/>
                <w:color w:val="404040"/>
                <w:kern w:val="0"/>
                <w:sz w:val="22"/>
                <w:lang w:bidi="ar"/>
              </w:rPr>
              <w:t>小时响应，紧急问题</w:t>
            </w:r>
            <w:r>
              <w:rPr>
                <w:rFonts w:ascii="Segoe UI" w:hAnsi="Segoe UI" w:eastAsia="Segoe UI" w:cs="Segoe UI"/>
                <w:color w:val="404040"/>
                <w:kern w:val="0"/>
                <w:sz w:val="22"/>
                <w:lang w:bidi="ar"/>
              </w:rPr>
              <w:t>≤</w:t>
            </w:r>
            <w:r>
              <w:rPr>
                <w:rFonts w:hint="eastAsia" w:ascii="Segoe UI" w:hAnsi="Segoe UI" w:cs="Segoe UI"/>
                <w:color w:val="404040"/>
                <w:kern w:val="0"/>
                <w:sz w:val="22"/>
                <w:lang w:bidi="ar"/>
              </w:rPr>
              <w:t>2小时</w:t>
            </w:r>
            <w:r>
              <w:rPr>
                <w:rFonts w:hint="eastAsia" w:ascii="微软雅黑" w:hAnsi="微软雅黑" w:eastAsia="微软雅黑" w:cs="微软雅黑"/>
                <w:color w:val="404040"/>
                <w:kern w:val="0"/>
                <w:sz w:val="22"/>
                <w:lang w:bidi="ar"/>
              </w:rPr>
              <w:t>，超时每次扣</w:t>
            </w:r>
            <w:r>
              <w:rPr>
                <w:rFonts w:ascii="Segoe UI" w:hAnsi="Segoe UI" w:eastAsia="Segoe UI" w:cs="Segoe UI"/>
                <w:color w:val="404040"/>
                <w:kern w:val="0"/>
                <w:sz w:val="22"/>
                <w:lang w:bidi="ar"/>
              </w:rPr>
              <w:t>2</w:t>
            </w:r>
            <w:r>
              <w:rPr>
                <w:rFonts w:hint="eastAsia" w:ascii="微软雅黑" w:hAnsi="微软雅黑" w:eastAsia="微软雅黑" w:cs="微软雅黑"/>
                <w:color w:val="404040"/>
                <w:kern w:val="0"/>
                <w:sz w:val="22"/>
                <w:lang w:bidi="ar"/>
              </w:rPr>
              <w:t>分。</w:t>
            </w:r>
          </w:p>
        </w:tc>
        <w:tc>
          <w:tcPr>
            <w:tcW w:w="0" w:type="auto"/>
            <w:shd w:val="clear" w:color="auto" w:fill="FFFFFF"/>
            <w:tcMar>
              <w:top w:w="150" w:type="dxa"/>
              <w:left w:w="150" w:type="dxa"/>
              <w:bottom w:w="150" w:type="dxa"/>
              <w:right w:w="150" w:type="dxa"/>
            </w:tcMar>
            <w:vAlign w:val="center"/>
          </w:tcPr>
          <w:p w14:paraId="000AD468">
            <w:pPr>
              <w:widowControl/>
              <w:spacing w:line="26" w:lineRule="atLeast"/>
              <w:jc w:val="left"/>
              <w:rPr>
                <w:rFonts w:ascii="Segoe UI" w:hAnsi="Segoe UI" w:eastAsia="Segoe UI" w:cs="Segoe UI"/>
                <w:color w:val="404040"/>
                <w:sz w:val="22"/>
              </w:rPr>
            </w:pPr>
            <w:r>
              <w:rPr>
                <w:rFonts w:ascii="Segoe UI" w:hAnsi="Segoe UI" w:eastAsia="Segoe UI" w:cs="Segoe UI"/>
                <w:color w:val="404040"/>
                <w:kern w:val="0"/>
                <w:sz w:val="22"/>
                <w:lang w:bidi="ar"/>
              </w:rPr>
              <w:t>10</w:t>
            </w:r>
          </w:p>
        </w:tc>
        <w:tc>
          <w:tcPr>
            <w:tcW w:w="0" w:type="auto"/>
            <w:shd w:val="clear" w:color="auto" w:fill="FFFFFF"/>
            <w:tcMar>
              <w:top w:w="150" w:type="dxa"/>
              <w:left w:w="150" w:type="dxa"/>
              <w:bottom w:w="150" w:type="dxa"/>
              <w:right w:w="150" w:type="dxa"/>
            </w:tcMar>
            <w:vAlign w:val="center"/>
          </w:tcPr>
          <w:p w14:paraId="3A834EE8">
            <w:pPr>
              <w:rPr>
                <w:rFonts w:ascii="Segoe UI" w:hAnsi="Segoe UI" w:eastAsia="Segoe UI" w:cs="Segoe UI"/>
                <w:color w:val="404040"/>
                <w:sz w:val="22"/>
              </w:rPr>
            </w:pPr>
          </w:p>
        </w:tc>
        <w:tc>
          <w:tcPr>
            <w:tcW w:w="0" w:type="auto"/>
            <w:shd w:val="clear" w:color="auto" w:fill="FFFFFF"/>
            <w:tcMar>
              <w:top w:w="150" w:type="dxa"/>
              <w:left w:w="150" w:type="dxa"/>
              <w:bottom w:w="150" w:type="dxa"/>
              <w:right w:w="150" w:type="dxa"/>
            </w:tcMar>
            <w:vAlign w:val="center"/>
          </w:tcPr>
          <w:p w14:paraId="5A76EBCE">
            <w:pPr>
              <w:rPr>
                <w:rFonts w:ascii="Segoe UI" w:hAnsi="Segoe UI" w:eastAsia="Segoe UI" w:cs="Segoe UI"/>
                <w:color w:val="404040"/>
                <w:sz w:val="22"/>
              </w:rPr>
            </w:pPr>
          </w:p>
        </w:tc>
      </w:tr>
      <w:tr w14:paraId="1D78C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43" w:type="dxa"/>
            <w:vMerge w:val="continue"/>
            <w:shd w:val="clear" w:color="auto" w:fill="FFFFFF"/>
            <w:tcMar>
              <w:top w:w="150" w:type="dxa"/>
              <w:left w:w="0" w:type="dxa"/>
              <w:bottom w:w="150" w:type="dxa"/>
              <w:right w:w="150" w:type="dxa"/>
            </w:tcMar>
            <w:vAlign w:val="center"/>
          </w:tcPr>
          <w:p w14:paraId="1F195AD1">
            <w:pPr>
              <w:rPr>
                <w:rFonts w:ascii="Segoe UI" w:hAnsi="Segoe UI" w:eastAsia="Segoe UI" w:cs="Segoe UI"/>
                <w:color w:val="404040"/>
                <w:sz w:val="22"/>
              </w:rPr>
            </w:pPr>
          </w:p>
        </w:tc>
        <w:tc>
          <w:tcPr>
            <w:tcW w:w="1559" w:type="dxa"/>
            <w:shd w:val="clear" w:color="auto" w:fill="FFFFFF"/>
            <w:tcMar>
              <w:top w:w="150" w:type="dxa"/>
              <w:left w:w="150" w:type="dxa"/>
              <w:bottom w:w="150" w:type="dxa"/>
              <w:right w:w="150" w:type="dxa"/>
            </w:tcMar>
            <w:vAlign w:val="center"/>
          </w:tcPr>
          <w:p w14:paraId="2ABDB9CD">
            <w:pPr>
              <w:widowControl/>
              <w:spacing w:line="26" w:lineRule="atLeast"/>
              <w:jc w:val="left"/>
              <w:rPr>
                <w:rFonts w:ascii="Segoe UI" w:hAnsi="Segoe UI" w:eastAsia="Segoe UI" w:cs="Segoe UI"/>
                <w:color w:val="404040"/>
                <w:sz w:val="22"/>
              </w:rPr>
            </w:pPr>
            <w:r>
              <w:rPr>
                <w:rFonts w:hint="eastAsia" w:ascii="微软雅黑" w:hAnsi="微软雅黑" w:eastAsia="微软雅黑" w:cs="微软雅黑"/>
                <w:color w:val="404040"/>
                <w:kern w:val="0"/>
                <w:sz w:val="22"/>
                <w:lang w:bidi="ar"/>
              </w:rPr>
              <w:t>4.2培训记录完整性</w:t>
            </w:r>
          </w:p>
        </w:tc>
        <w:tc>
          <w:tcPr>
            <w:tcW w:w="4426" w:type="dxa"/>
            <w:shd w:val="clear" w:color="auto" w:fill="FFFFFF"/>
            <w:tcMar>
              <w:top w:w="150" w:type="dxa"/>
              <w:left w:w="150" w:type="dxa"/>
              <w:bottom w:w="150" w:type="dxa"/>
              <w:right w:w="150" w:type="dxa"/>
            </w:tcMar>
            <w:vAlign w:val="center"/>
          </w:tcPr>
          <w:p w14:paraId="4B8DB7F3">
            <w:pPr>
              <w:widowControl/>
              <w:spacing w:line="26" w:lineRule="atLeast"/>
              <w:jc w:val="left"/>
              <w:rPr>
                <w:rFonts w:ascii="Segoe UI" w:hAnsi="Segoe UI" w:eastAsia="Segoe UI" w:cs="Segoe UI"/>
                <w:color w:val="404040"/>
                <w:sz w:val="22"/>
              </w:rPr>
            </w:pPr>
            <w:r>
              <w:rPr>
                <w:rFonts w:hint="eastAsia" w:ascii="微软雅黑" w:hAnsi="微软雅黑" w:eastAsia="微软雅黑" w:cs="微软雅黑"/>
                <w:color w:val="404040"/>
                <w:kern w:val="0"/>
                <w:sz w:val="22"/>
                <w:lang w:bidi="ar"/>
              </w:rPr>
              <w:t>培训记录缺失扣2分。</w:t>
            </w:r>
          </w:p>
        </w:tc>
        <w:tc>
          <w:tcPr>
            <w:tcW w:w="0" w:type="auto"/>
            <w:shd w:val="clear" w:color="auto" w:fill="FFFFFF"/>
            <w:tcMar>
              <w:top w:w="150" w:type="dxa"/>
              <w:left w:w="150" w:type="dxa"/>
              <w:bottom w:w="150" w:type="dxa"/>
              <w:right w:w="150" w:type="dxa"/>
            </w:tcMar>
            <w:vAlign w:val="center"/>
          </w:tcPr>
          <w:p w14:paraId="16D6D440">
            <w:pPr>
              <w:widowControl/>
              <w:spacing w:line="26" w:lineRule="atLeast"/>
              <w:jc w:val="left"/>
              <w:rPr>
                <w:rFonts w:hint="eastAsia" w:ascii="Segoe UI" w:hAnsi="Segoe UI" w:cs="Segoe UI"/>
                <w:color w:val="404040"/>
                <w:sz w:val="22"/>
              </w:rPr>
            </w:pPr>
            <w:r>
              <w:rPr>
                <w:rFonts w:hint="eastAsia" w:ascii="Segoe UI" w:hAnsi="Segoe UI" w:cs="Segoe UI"/>
                <w:color w:val="404040"/>
                <w:kern w:val="0"/>
                <w:sz w:val="22"/>
                <w:lang w:bidi="ar"/>
              </w:rPr>
              <w:t>8</w:t>
            </w:r>
          </w:p>
        </w:tc>
        <w:tc>
          <w:tcPr>
            <w:tcW w:w="0" w:type="auto"/>
            <w:shd w:val="clear" w:color="auto" w:fill="FFFFFF"/>
            <w:tcMar>
              <w:top w:w="150" w:type="dxa"/>
              <w:left w:w="150" w:type="dxa"/>
              <w:bottom w:w="150" w:type="dxa"/>
              <w:right w:w="150" w:type="dxa"/>
            </w:tcMar>
            <w:vAlign w:val="center"/>
          </w:tcPr>
          <w:p w14:paraId="4A994F1A">
            <w:pPr>
              <w:rPr>
                <w:rFonts w:ascii="Segoe UI" w:hAnsi="Segoe UI" w:eastAsia="Segoe UI" w:cs="Segoe UI"/>
                <w:color w:val="404040"/>
                <w:sz w:val="22"/>
              </w:rPr>
            </w:pPr>
          </w:p>
        </w:tc>
        <w:tc>
          <w:tcPr>
            <w:tcW w:w="0" w:type="auto"/>
            <w:shd w:val="clear" w:color="auto" w:fill="FFFFFF"/>
            <w:tcMar>
              <w:top w:w="150" w:type="dxa"/>
              <w:left w:w="150" w:type="dxa"/>
              <w:bottom w:w="150" w:type="dxa"/>
              <w:right w:w="150" w:type="dxa"/>
            </w:tcMar>
            <w:vAlign w:val="center"/>
          </w:tcPr>
          <w:p w14:paraId="767C6698">
            <w:pPr>
              <w:rPr>
                <w:rFonts w:ascii="Segoe UI" w:hAnsi="Segoe UI" w:eastAsia="Segoe UI" w:cs="Segoe UI"/>
                <w:color w:val="404040"/>
                <w:sz w:val="22"/>
              </w:rPr>
            </w:pPr>
          </w:p>
        </w:tc>
      </w:tr>
      <w:tr w14:paraId="2B02E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3" w:type="dxa"/>
            <w:vMerge w:val="continue"/>
            <w:shd w:val="clear" w:color="auto" w:fill="FFFFFF"/>
            <w:tcMar>
              <w:top w:w="150" w:type="dxa"/>
              <w:left w:w="0" w:type="dxa"/>
              <w:bottom w:w="150" w:type="dxa"/>
              <w:right w:w="150" w:type="dxa"/>
            </w:tcMar>
            <w:vAlign w:val="center"/>
          </w:tcPr>
          <w:p w14:paraId="1072F13F">
            <w:pPr>
              <w:rPr>
                <w:rFonts w:ascii="Segoe UI" w:hAnsi="Segoe UI" w:eastAsia="Segoe UI" w:cs="Segoe UI"/>
                <w:color w:val="404040"/>
                <w:sz w:val="22"/>
              </w:rPr>
            </w:pPr>
          </w:p>
        </w:tc>
        <w:tc>
          <w:tcPr>
            <w:tcW w:w="1559" w:type="dxa"/>
            <w:shd w:val="clear" w:color="auto" w:fill="FFFFFF"/>
            <w:tcMar>
              <w:top w:w="150" w:type="dxa"/>
              <w:left w:w="150" w:type="dxa"/>
              <w:bottom w:w="150" w:type="dxa"/>
              <w:right w:w="150" w:type="dxa"/>
            </w:tcMar>
            <w:vAlign w:val="center"/>
          </w:tcPr>
          <w:p w14:paraId="249DB137">
            <w:pPr>
              <w:widowControl/>
              <w:spacing w:line="26" w:lineRule="atLeast"/>
              <w:jc w:val="left"/>
              <w:rPr>
                <w:rFonts w:ascii="Segoe UI" w:hAnsi="Segoe UI" w:eastAsia="Segoe UI" w:cs="Segoe UI"/>
                <w:color w:val="404040"/>
                <w:sz w:val="22"/>
              </w:rPr>
            </w:pPr>
            <w:r>
              <w:rPr>
                <w:rFonts w:ascii="Segoe UI" w:hAnsi="Segoe UI" w:eastAsia="Segoe UI" w:cs="Segoe UI"/>
                <w:color w:val="404040"/>
                <w:kern w:val="0"/>
                <w:sz w:val="22"/>
                <w:lang w:bidi="ar"/>
              </w:rPr>
              <w:t xml:space="preserve">4.4 </w:t>
            </w:r>
            <w:r>
              <w:rPr>
                <w:rFonts w:hint="eastAsia" w:ascii="微软雅黑" w:hAnsi="微软雅黑" w:eastAsia="微软雅黑" w:cs="微软雅黑"/>
                <w:color w:val="404040"/>
                <w:kern w:val="0"/>
                <w:sz w:val="22"/>
                <w:lang w:bidi="ar"/>
              </w:rPr>
              <w:t>培训与指导</w:t>
            </w:r>
          </w:p>
        </w:tc>
        <w:tc>
          <w:tcPr>
            <w:tcW w:w="4426" w:type="dxa"/>
            <w:shd w:val="clear" w:color="auto" w:fill="FFFFFF"/>
            <w:tcMar>
              <w:top w:w="150" w:type="dxa"/>
              <w:left w:w="150" w:type="dxa"/>
              <w:bottom w:w="150" w:type="dxa"/>
              <w:right w:w="150" w:type="dxa"/>
            </w:tcMar>
            <w:vAlign w:val="center"/>
          </w:tcPr>
          <w:p w14:paraId="50A44EB7">
            <w:pPr>
              <w:widowControl/>
              <w:spacing w:line="26" w:lineRule="atLeast"/>
              <w:jc w:val="left"/>
              <w:rPr>
                <w:rFonts w:ascii="Segoe UI" w:hAnsi="Segoe UI" w:eastAsia="Segoe UI" w:cs="Segoe UI"/>
                <w:color w:val="404040"/>
                <w:sz w:val="22"/>
              </w:rPr>
            </w:pPr>
            <w:r>
              <w:rPr>
                <w:rFonts w:hint="eastAsia" w:ascii="微软雅黑" w:hAnsi="微软雅黑" w:eastAsia="微软雅黑" w:cs="微软雅黑"/>
                <w:color w:val="404040"/>
                <w:kern w:val="0"/>
                <w:sz w:val="22"/>
                <w:lang w:bidi="ar"/>
              </w:rPr>
              <w:t>未按合同提供师生培训扣</w:t>
            </w:r>
            <w:r>
              <w:rPr>
                <w:rFonts w:ascii="Segoe UI" w:hAnsi="Segoe UI" w:eastAsia="Segoe UI" w:cs="Segoe UI"/>
                <w:color w:val="404040"/>
                <w:kern w:val="0"/>
                <w:sz w:val="22"/>
                <w:lang w:bidi="ar"/>
              </w:rPr>
              <w:t>5</w:t>
            </w:r>
            <w:r>
              <w:rPr>
                <w:rFonts w:hint="eastAsia" w:ascii="微软雅黑" w:hAnsi="微软雅黑" w:eastAsia="微软雅黑" w:cs="微软雅黑"/>
                <w:color w:val="404040"/>
                <w:kern w:val="0"/>
                <w:sz w:val="22"/>
                <w:lang w:bidi="ar"/>
              </w:rPr>
              <w:t>分。</w:t>
            </w:r>
          </w:p>
        </w:tc>
        <w:tc>
          <w:tcPr>
            <w:tcW w:w="0" w:type="auto"/>
            <w:shd w:val="clear" w:color="auto" w:fill="FFFFFF"/>
            <w:tcMar>
              <w:top w:w="150" w:type="dxa"/>
              <w:left w:w="150" w:type="dxa"/>
              <w:bottom w:w="150" w:type="dxa"/>
              <w:right w:w="150" w:type="dxa"/>
            </w:tcMar>
            <w:vAlign w:val="center"/>
          </w:tcPr>
          <w:p w14:paraId="4A6CA41D">
            <w:pPr>
              <w:widowControl/>
              <w:spacing w:line="26" w:lineRule="atLeast"/>
              <w:jc w:val="left"/>
              <w:rPr>
                <w:rFonts w:hint="eastAsia" w:ascii="Segoe UI" w:hAnsi="Segoe UI" w:cs="Segoe UI"/>
                <w:color w:val="404040"/>
                <w:sz w:val="22"/>
              </w:rPr>
            </w:pPr>
            <w:r>
              <w:rPr>
                <w:rFonts w:hint="eastAsia" w:ascii="Segoe UI" w:hAnsi="Segoe UI" w:cs="Segoe UI"/>
                <w:color w:val="404040"/>
                <w:kern w:val="0"/>
                <w:sz w:val="22"/>
                <w:lang w:bidi="ar"/>
              </w:rPr>
              <w:t>7</w:t>
            </w:r>
          </w:p>
        </w:tc>
        <w:tc>
          <w:tcPr>
            <w:tcW w:w="0" w:type="auto"/>
            <w:shd w:val="clear" w:color="auto" w:fill="FFFFFF"/>
            <w:tcMar>
              <w:top w:w="150" w:type="dxa"/>
              <w:left w:w="150" w:type="dxa"/>
              <w:bottom w:w="150" w:type="dxa"/>
              <w:right w:w="150" w:type="dxa"/>
            </w:tcMar>
            <w:vAlign w:val="center"/>
          </w:tcPr>
          <w:p w14:paraId="44E0BA03">
            <w:pPr>
              <w:rPr>
                <w:rFonts w:ascii="Segoe UI" w:hAnsi="Segoe UI" w:eastAsia="Segoe UI" w:cs="Segoe UI"/>
                <w:color w:val="404040"/>
                <w:sz w:val="22"/>
              </w:rPr>
            </w:pPr>
          </w:p>
        </w:tc>
        <w:tc>
          <w:tcPr>
            <w:tcW w:w="0" w:type="auto"/>
            <w:shd w:val="clear" w:color="auto" w:fill="FFFFFF"/>
            <w:tcMar>
              <w:top w:w="150" w:type="dxa"/>
              <w:left w:w="150" w:type="dxa"/>
              <w:bottom w:w="150" w:type="dxa"/>
              <w:right w:w="150" w:type="dxa"/>
            </w:tcMar>
            <w:vAlign w:val="center"/>
          </w:tcPr>
          <w:p w14:paraId="7C4CD7E2">
            <w:pPr>
              <w:rPr>
                <w:rFonts w:ascii="Segoe UI" w:hAnsi="Segoe UI" w:eastAsia="Segoe UI" w:cs="Segoe UI"/>
                <w:color w:val="404040"/>
                <w:sz w:val="22"/>
              </w:rPr>
            </w:pPr>
          </w:p>
        </w:tc>
      </w:tr>
      <w:tr w14:paraId="158E6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43" w:type="dxa"/>
            <w:vMerge w:val="restart"/>
            <w:shd w:val="clear" w:color="auto" w:fill="FFFFFF"/>
            <w:tcMar>
              <w:top w:w="150" w:type="dxa"/>
              <w:left w:w="0" w:type="dxa"/>
              <w:bottom w:w="150" w:type="dxa"/>
              <w:right w:w="150" w:type="dxa"/>
            </w:tcMar>
            <w:vAlign w:val="center"/>
          </w:tcPr>
          <w:p w14:paraId="2A7C6A05">
            <w:pPr>
              <w:widowControl/>
              <w:spacing w:line="26" w:lineRule="atLeast"/>
              <w:jc w:val="center"/>
              <w:rPr>
                <w:rFonts w:ascii="Segoe UI" w:hAnsi="Segoe UI" w:eastAsia="Segoe UI" w:cs="Segoe UI"/>
                <w:color w:val="404040"/>
                <w:sz w:val="22"/>
              </w:rPr>
            </w:pPr>
            <w:r>
              <w:rPr>
                <w:rFonts w:ascii="Segoe UI" w:hAnsi="Segoe UI" w:eastAsia="Segoe UI" w:cs="Segoe UI"/>
                <w:b/>
                <w:bCs/>
                <w:color w:val="404040"/>
                <w:kern w:val="0"/>
                <w:sz w:val="22"/>
                <w:lang w:bidi="ar"/>
              </w:rPr>
              <w:t xml:space="preserve">5. </w:t>
            </w:r>
            <w:r>
              <w:rPr>
                <w:rFonts w:hint="eastAsia" w:ascii="微软雅黑" w:hAnsi="微软雅黑" w:eastAsia="微软雅黑" w:cs="微软雅黑"/>
                <w:b/>
                <w:bCs/>
                <w:color w:val="404040"/>
                <w:kern w:val="0"/>
                <w:sz w:val="22"/>
                <w:lang w:bidi="ar"/>
              </w:rPr>
              <w:t>用户反馈</w:t>
            </w:r>
            <w:r>
              <w:rPr>
                <w:rFonts w:ascii="Segoe UI" w:hAnsi="Segoe UI" w:eastAsia="Segoe UI" w:cs="Segoe UI"/>
                <w:b/>
                <w:color w:val="404040"/>
                <w:kern w:val="0"/>
                <w:sz w:val="22"/>
                <w:lang w:bidi="ar"/>
              </w:rPr>
              <w:br w:type="textWrapping"/>
            </w:r>
            <w:r>
              <w:rPr>
                <w:rFonts w:hint="eastAsia" w:ascii="微软雅黑" w:hAnsi="微软雅黑" w:eastAsia="微软雅黑" w:cs="微软雅黑"/>
                <w:b/>
                <w:color w:val="404040"/>
                <w:kern w:val="0"/>
                <w:sz w:val="22"/>
                <w:lang w:bidi="ar"/>
              </w:rPr>
              <w:t>（</w:t>
            </w:r>
            <w:r>
              <w:rPr>
                <w:rFonts w:ascii="Segoe UI" w:hAnsi="Segoe UI" w:eastAsia="Segoe UI" w:cs="Segoe UI"/>
                <w:b/>
                <w:color w:val="404040"/>
                <w:kern w:val="0"/>
                <w:sz w:val="22"/>
                <w:lang w:bidi="ar"/>
              </w:rPr>
              <w:t>10</w:t>
            </w:r>
            <w:r>
              <w:rPr>
                <w:rFonts w:hint="eastAsia" w:ascii="微软雅黑" w:hAnsi="微软雅黑" w:eastAsia="微软雅黑" w:cs="微软雅黑"/>
                <w:b/>
                <w:color w:val="404040"/>
                <w:kern w:val="0"/>
                <w:sz w:val="22"/>
                <w:lang w:bidi="ar"/>
              </w:rPr>
              <w:t>分）</w:t>
            </w:r>
          </w:p>
        </w:tc>
        <w:tc>
          <w:tcPr>
            <w:tcW w:w="1559" w:type="dxa"/>
            <w:shd w:val="clear" w:color="auto" w:fill="FFFFFF"/>
            <w:tcMar>
              <w:top w:w="150" w:type="dxa"/>
              <w:left w:w="150" w:type="dxa"/>
              <w:bottom w:w="150" w:type="dxa"/>
              <w:right w:w="150" w:type="dxa"/>
            </w:tcMar>
            <w:vAlign w:val="center"/>
          </w:tcPr>
          <w:p w14:paraId="01FC1331">
            <w:pPr>
              <w:widowControl/>
              <w:spacing w:line="26" w:lineRule="atLeast"/>
              <w:jc w:val="left"/>
              <w:rPr>
                <w:rFonts w:ascii="Segoe UI" w:hAnsi="Segoe UI" w:eastAsia="Segoe UI" w:cs="Segoe UI"/>
                <w:color w:val="404040"/>
                <w:sz w:val="22"/>
              </w:rPr>
            </w:pPr>
            <w:r>
              <w:rPr>
                <w:rFonts w:ascii="Segoe UI" w:hAnsi="Segoe UI" w:eastAsia="Segoe UI" w:cs="Segoe UI"/>
                <w:color w:val="404040"/>
                <w:kern w:val="0"/>
                <w:sz w:val="22"/>
                <w:lang w:bidi="ar"/>
              </w:rPr>
              <w:t xml:space="preserve">5.1 </w:t>
            </w:r>
            <w:r>
              <w:rPr>
                <w:rFonts w:hint="eastAsia" w:ascii="微软雅黑" w:hAnsi="微软雅黑" w:eastAsia="微软雅黑" w:cs="微软雅黑"/>
                <w:color w:val="404040"/>
                <w:kern w:val="0"/>
                <w:sz w:val="22"/>
                <w:lang w:bidi="ar"/>
              </w:rPr>
              <w:t>满意度调查</w:t>
            </w:r>
          </w:p>
        </w:tc>
        <w:tc>
          <w:tcPr>
            <w:tcW w:w="4426" w:type="dxa"/>
            <w:shd w:val="clear" w:color="auto" w:fill="FFFFFF"/>
            <w:tcMar>
              <w:top w:w="150" w:type="dxa"/>
              <w:left w:w="150" w:type="dxa"/>
              <w:bottom w:w="150" w:type="dxa"/>
              <w:right w:w="150" w:type="dxa"/>
            </w:tcMar>
            <w:vAlign w:val="center"/>
          </w:tcPr>
          <w:p w14:paraId="3E78FC51">
            <w:pPr>
              <w:widowControl/>
              <w:spacing w:line="26" w:lineRule="atLeast"/>
              <w:jc w:val="left"/>
              <w:rPr>
                <w:rFonts w:ascii="Segoe UI" w:hAnsi="Segoe UI" w:eastAsia="Segoe UI" w:cs="Segoe UI"/>
                <w:color w:val="404040"/>
                <w:sz w:val="22"/>
              </w:rPr>
            </w:pPr>
            <w:r>
              <w:rPr>
                <w:rFonts w:hint="eastAsia" w:ascii="微软雅黑" w:hAnsi="微软雅黑" w:eastAsia="微软雅黑" w:cs="微软雅黑"/>
                <w:color w:val="404040"/>
                <w:kern w:val="0"/>
                <w:sz w:val="22"/>
                <w:lang w:bidi="ar"/>
              </w:rPr>
              <w:t>师生满意度</w:t>
            </w:r>
            <w:r>
              <w:rPr>
                <w:rFonts w:ascii="Segoe UI" w:hAnsi="Segoe UI" w:eastAsia="Segoe UI" w:cs="Segoe UI"/>
                <w:color w:val="404040"/>
                <w:kern w:val="0"/>
                <w:sz w:val="22"/>
                <w:lang w:bidi="ar"/>
              </w:rPr>
              <w:t>≥90%</w:t>
            </w:r>
            <w:r>
              <w:rPr>
                <w:rFonts w:hint="eastAsia" w:ascii="微软雅黑" w:hAnsi="微软雅黑" w:eastAsia="微软雅黑" w:cs="微软雅黑"/>
                <w:color w:val="404040"/>
                <w:kern w:val="0"/>
                <w:sz w:val="22"/>
                <w:lang w:bidi="ar"/>
              </w:rPr>
              <w:t>得满分，每降低</w:t>
            </w:r>
            <w:r>
              <w:rPr>
                <w:rFonts w:ascii="Segoe UI" w:hAnsi="Segoe UI" w:eastAsia="Segoe UI" w:cs="Segoe UI"/>
                <w:color w:val="404040"/>
                <w:kern w:val="0"/>
                <w:sz w:val="22"/>
                <w:lang w:bidi="ar"/>
              </w:rPr>
              <w:t>5%</w:t>
            </w:r>
            <w:r>
              <w:rPr>
                <w:rFonts w:hint="eastAsia" w:ascii="微软雅黑" w:hAnsi="微软雅黑" w:eastAsia="微软雅黑" w:cs="微软雅黑"/>
                <w:color w:val="404040"/>
                <w:kern w:val="0"/>
                <w:sz w:val="22"/>
                <w:lang w:bidi="ar"/>
              </w:rPr>
              <w:t>扣</w:t>
            </w:r>
            <w:r>
              <w:rPr>
                <w:rFonts w:ascii="Segoe UI" w:hAnsi="Segoe UI" w:eastAsia="Segoe UI" w:cs="Segoe UI"/>
                <w:color w:val="404040"/>
                <w:kern w:val="0"/>
                <w:sz w:val="22"/>
                <w:lang w:bidi="ar"/>
              </w:rPr>
              <w:t>2</w:t>
            </w:r>
            <w:r>
              <w:rPr>
                <w:rFonts w:hint="eastAsia" w:ascii="微软雅黑" w:hAnsi="微软雅黑" w:eastAsia="微软雅黑" w:cs="微软雅黑"/>
                <w:color w:val="404040"/>
                <w:kern w:val="0"/>
                <w:sz w:val="22"/>
                <w:lang w:bidi="ar"/>
              </w:rPr>
              <w:t>分。</w:t>
            </w:r>
          </w:p>
        </w:tc>
        <w:tc>
          <w:tcPr>
            <w:tcW w:w="0" w:type="auto"/>
            <w:shd w:val="clear" w:color="auto" w:fill="FFFFFF"/>
            <w:tcMar>
              <w:top w:w="150" w:type="dxa"/>
              <w:left w:w="150" w:type="dxa"/>
              <w:bottom w:w="150" w:type="dxa"/>
              <w:right w:w="150" w:type="dxa"/>
            </w:tcMar>
            <w:vAlign w:val="center"/>
          </w:tcPr>
          <w:p w14:paraId="42748E23">
            <w:pPr>
              <w:widowControl/>
              <w:spacing w:line="26" w:lineRule="atLeast"/>
              <w:jc w:val="left"/>
              <w:rPr>
                <w:rFonts w:ascii="Segoe UI" w:hAnsi="Segoe UI" w:eastAsia="Segoe UI" w:cs="Segoe UI"/>
                <w:color w:val="404040"/>
                <w:sz w:val="22"/>
              </w:rPr>
            </w:pPr>
            <w:r>
              <w:rPr>
                <w:rFonts w:ascii="Segoe UI" w:hAnsi="Segoe UI" w:eastAsia="Segoe UI" w:cs="Segoe UI"/>
                <w:color w:val="404040"/>
                <w:kern w:val="0"/>
                <w:sz w:val="22"/>
                <w:lang w:bidi="ar"/>
              </w:rPr>
              <w:t>6</w:t>
            </w:r>
          </w:p>
        </w:tc>
        <w:tc>
          <w:tcPr>
            <w:tcW w:w="0" w:type="auto"/>
            <w:shd w:val="clear" w:color="auto" w:fill="FFFFFF"/>
            <w:tcMar>
              <w:top w:w="150" w:type="dxa"/>
              <w:left w:w="150" w:type="dxa"/>
              <w:bottom w:w="150" w:type="dxa"/>
              <w:right w:w="150" w:type="dxa"/>
            </w:tcMar>
            <w:vAlign w:val="center"/>
          </w:tcPr>
          <w:p w14:paraId="0C7DB5FA">
            <w:pPr>
              <w:rPr>
                <w:rFonts w:ascii="Segoe UI" w:hAnsi="Segoe UI" w:eastAsia="Segoe UI" w:cs="Segoe UI"/>
                <w:color w:val="404040"/>
                <w:sz w:val="22"/>
              </w:rPr>
            </w:pPr>
          </w:p>
        </w:tc>
        <w:tc>
          <w:tcPr>
            <w:tcW w:w="0" w:type="auto"/>
            <w:shd w:val="clear" w:color="auto" w:fill="FFFFFF"/>
            <w:tcMar>
              <w:top w:w="150" w:type="dxa"/>
              <w:left w:w="150" w:type="dxa"/>
              <w:bottom w:w="150" w:type="dxa"/>
              <w:right w:w="150" w:type="dxa"/>
            </w:tcMar>
            <w:vAlign w:val="center"/>
          </w:tcPr>
          <w:p w14:paraId="4DBAE274">
            <w:pPr>
              <w:rPr>
                <w:rFonts w:ascii="Segoe UI" w:hAnsi="Segoe UI" w:eastAsia="Segoe UI" w:cs="Segoe UI"/>
                <w:color w:val="404040"/>
                <w:sz w:val="22"/>
              </w:rPr>
            </w:pPr>
          </w:p>
        </w:tc>
      </w:tr>
      <w:tr w14:paraId="4DBDD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43" w:type="dxa"/>
            <w:vMerge w:val="continue"/>
            <w:shd w:val="clear" w:color="auto" w:fill="FFFFFF"/>
            <w:tcMar>
              <w:top w:w="150" w:type="dxa"/>
              <w:left w:w="0" w:type="dxa"/>
              <w:bottom w:w="150" w:type="dxa"/>
              <w:right w:w="150" w:type="dxa"/>
            </w:tcMar>
            <w:vAlign w:val="center"/>
          </w:tcPr>
          <w:p w14:paraId="128D9873">
            <w:pPr>
              <w:rPr>
                <w:rFonts w:ascii="Segoe UI" w:hAnsi="Segoe UI" w:eastAsia="Segoe UI" w:cs="Segoe UI"/>
                <w:color w:val="404040"/>
                <w:sz w:val="22"/>
              </w:rPr>
            </w:pPr>
          </w:p>
        </w:tc>
        <w:tc>
          <w:tcPr>
            <w:tcW w:w="1559" w:type="dxa"/>
            <w:shd w:val="clear" w:color="auto" w:fill="FFFFFF"/>
            <w:tcMar>
              <w:top w:w="150" w:type="dxa"/>
              <w:left w:w="150" w:type="dxa"/>
              <w:bottom w:w="150" w:type="dxa"/>
              <w:right w:w="150" w:type="dxa"/>
            </w:tcMar>
            <w:vAlign w:val="center"/>
          </w:tcPr>
          <w:p w14:paraId="5D1E3C28">
            <w:pPr>
              <w:widowControl/>
              <w:spacing w:line="26" w:lineRule="atLeast"/>
              <w:jc w:val="left"/>
              <w:rPr>
                <w:rFonts w:ascii="Segoe UI" w:hAnsi="Segoe UI" w:eastAsia="Segoe UI" w:cs="Segoe UI"/>
                <w:color w:val="404040"/>
                <w:sz w:val="22"/>
              </w:rPr>
            </w:pPr>
            <w:r>
              <w:rPr>
                <w:rFonts w:ascii="Segoe UI" w:hAnsi="Segoe UI" w:eastAsia="Segoe UI" w:cs="Segoe UI"/>
                <w:color w:val="404040"/>
                <w:kern w:val="0"/>
                <w:sz w:val="22"/>
                <w:lang w:bidi="ar"/>
              </w:rPr>
              <w:t xml:space="preserve">5.2 </w:t>
            </w:r>
            <w:r>
              <w:rPr>
                <w:rFonts w:hint="eastAsia" w:ascii="微软雅黑" w:hAnsi="微软雅黑" w:eastAsia="微软雅黑" w:cs="微软雅黑"/>
                <w:color w:val="404040"/>
                <w:kern w:val="0"/>
                <w:sz w:val="22"/>
                <w:lang w:bidi="ar"/>
              </w:rPr>
              <w:t>投诉处理</w:t>
            </w:r>
          </w:p>
        </w:tc>
        <w:tc>
          <w:tcPr>
            <w:tcW w:w="4426" w:type="dxa"/>
            <w:shd w:val="clear" w:color="auto" w:fill="FFFFFF"/>
            <w:tcMar>
              <w:top w:w="150" w:type="dxa"/>
              <w:left w:w="150" w:type="dxa"/>
              <w:bottom w:w="150" w:type="dxa"/>
              <w:right w:w="150" w:type="dxa"/>
            </w:tcMar>
            <w:vAlign w:val="center"/>
          </w:tcPr>
          <w:p w14:paraId="6BF6B633">
            <w:pPr>
              <w:widowControl/>
              <w:spacing w:line="26" w:lineRule="atLeast"/>
              <w:jc w:val="left"/>
              <w:rPr>
                <w:rFonts w:ascii="Segoe UI" w:hAnsi="Segoe UI" w:eastAsia="Segoe UI" w:cs="Segoe UI"/>
                <w:color w:val="404040"/>
                <w:sz w:val="22"/>
              </w:rPr>
            </w:pPr>
            <w:r>
              <w:rPr>
                <w:rFonts w:hint="eastAsia" w:ascii="微软雅黑" w:hAnsi="微软雅黑" w:eastAsia="微软雅黑" w:cs="微软雅黑"/>
                <w:color w:val="404040"/>
                <w:kern w:val="0"/>
                <w:sz w:val="22"/>
                <w:lang w:bidi="ar"/>
              </w:rPr>
              <w:t>有效投诉</w:t>
            </w:r>
            <w:r>
              <w:rPr>
                <w:rFonts w:ascii="Segoe UI" w:hAnsi="Segoe UI" w:eastAsia="Segoe UI" w:cs="Segoe UI"/>
                <w:color w:val="404040"/>
                <w:kern w:val="0"/>
                <w:sz w:val="22"/>
                <w:lang w:bidi="ar"/>
              </w:rPr>
              <w:t>≤2</w:t>
            </w:r>
            <w:r>
              <w:rPr>
                <w:rFonts w:hint="eastAsia" w:ascii="微软雅黑" w:hAnsi="微软雅黑" w:eastAsia="微软雅黑" w:cs="微软雅黑"/>
                <w:color w:val="404040"/>
                <w:kern w:val="0"/>
                <w:sz w:val="22"/>
                <w:lang w:bidi="ar"/>
              </w:rPr>
              <w:t>次</w:t>
            </w:r>
            <w:r>
              <w:rPr>
                <w:rFonts w:ascii="Segoe UI" w:hAnsi="Segoe UI" w:eastAsia="Segoe UI" w:cs="Segoe UI"/>
                <w:color w:val="404040"/>
                <w:kern w:val="0"/>
                <w:sz w:val="22"/>
                <w:lang w:bidi="ar"/>
              </w:rPr>
              <w:t>/</w:t>
            </w:r>
            <w:r>
              <w:rPr>
                <w:rFonts w:hint="eastAsia" w:ascii="微软雅黑" w:hAnsi="微软雅黑" w:eastAsia="微软雅黑" w:cs="微软雅黑"/>
                <w:color w:val="404040"/>
                <w:kern w:val="0"/>
                <w:sz w:val="22"/>
                <w:lang w:bidi="ar"/>
              </w:rPr>
              <w:t>月，超次或未及时解决每次扣</w:t>
            </w:r>
            <w:r>
              <w:rPr>
                <w:rFonts w:ascii="Segoe UI" w:hAnsi="Segoe UI" w:eastAsia="Segoe UI" w:cs="Segoe UI"/>
                <w:color w:val="404040"/>
                <w:kern w:val="0"/>
                <w:sz w:val="22"/>
                <w:lang w:bidi="ar"/>
              </w:rPr>
              <w:t>2</w:t>
            </w:r>
            <w:r>
              <w:rPr>
                <w:rFonts w:hint="eastAsia" w:ascii="微软雅黑" w:hAnsi="微软雅黑" w:eastAsia="微软雅黑" w:cs="微软雅黑"/>
                <w:color w:val="404040"/>
                <w:kern w:val="0"/>
                <w:sz w:val="22"/>
                <w:lang w:bidi="ar"/>
              </w:rPr>
              <w:t>分。</w:t>
            </w:r>
          </w:p>
        </w:tc>
        <w:tc>
          <w:tcPr>
            <w:tcW w:w="0" w:type="auto"/>
            <w:shd w:val="clear" w:color="auto" w:fill="FFFFFF"/>
            <w:tcMar>
              <w:top w:w="150" w:type="dxa"/>
              <w:left w:w="150" w:type="dxa"/>
              <w:bottom w:w="150" w:type="dxa"/>
              <w:right w:w="150" w:type="dxa"/>
            </w:tcMar>
            <w:vAlign w:val="center"/>
          </w:tcPr>
          <w:p w14:paraId="72B8C367">
            <w:pPr>
              <w:widowControl/>
              <w:spacing w:line="26" w:lineRule="atLeast"/>
              <w:jc w:val="left"/>
              <w:rPr>
                <w:rFonts w:ascii="Segoe UI" w:hAnsi="Segoe UI" w:eastAsia="Segoe UI" w:cs="Segoe UI"/>
                <w:color w:val="404040"/>
                <w:sz w:val="22"/>
              </w:rPr>
            </w:pPr>
            <w:r>
              <w:rPr>
                <w:rFonts w:ascii="Segoe UI" w:hAnsi="Segoe UI" w:eastAsia="Segoe UI" w:cs="Segoe UI"/>
                <w:color w:val="404040"/>
                <w:kern w:val="0"/>
                <w:sz w:val="22"/>
                <w:lang w:bidi="ar"/>
              </w:rPr>
              <w:t>4</w:t>
            </w:r>
          </w:p>
        </w:tc>
        <w:tc>
          <w:tcPr>
            <w:tcW w:w="0" w:type="auto"/>
            <w:shd w:val="clear" w:color="auto" w:fill="FFFFFF"/>
            <w:tcMar>
              <w:top w:w="150" w:type="dxa"/>
              <w:left w:w="150" w:type="dxa"/>
              <w:bottom w:w="150" w:type="dxa"/>
              <w:right w:w="150" w:type="dxa"/>
            </w:tcMar>
            <w:vAlign w:val="center"/>
          </w:tcPr>
          <w:p w14:paraId="352D3071">
            <w:pPr>
              <w:rPr>
                <w:rFonts w:ascii="Segoe UI" w:hAnsi="Segoe UI" w:eastAsia="Segoe UI" w:cs="Segoe UI"/>
                <w:color w:val="404040"/>
                <w:sz w:val="22"/>
              </w:rPr>
            </w:pPr>
          </w:p>
        </w:tc>
        <w:tc>
          <w:tcPr>
            <w:tcW w:w="0" w:type="auto"/>
            <w:shd w:val="clear" w:color="auto" w:fill="FFFFFF"/>
            <w:tcMar>
              <w:top w:w="150" w:type="dxa"/>
              <w:left w:w="150" w:type="dxa"/>
              <w:bottom w:w="150" w:type="dxa"/>
              <w:right w:w="150" w:type="dxa"/>
            </w:tcMar>
            <w:vAlign w:val="center"/>
          </w:tcPr>
          <w:p w14:paraId="21A839CB">
            <w:pPr>
              <w:rPr>
                <w:rFonts w:ascii="Segoe UI" w:hAnsi="Segoe UI" w:eastAsia="Segoe UI" w:cs="Segoe UI"/>
                <w:color w:val="404040"/>
                <w:sz w:val="22"/>
              </w:rPr>
            </w:pPr>
          </w:p>
        </w:tc>
      </w:tr>
    </w:tbl>
    <w:p w14:paraId="2906EFD6">
      <w:pPr>
        <w:pStyle w:val="9"/>
        <w:widowControl/>
        <w:spacing w:line="429" w:lineRule="atLeast"/>
        <w:rPr>
          <w:rFonts w:hint="eastAsia" w:ascii="微软雅黑" w:hAnsi="微软雅黑" w:eastAsia="微软雅黑" w:cs="微软雅黑"/>
          <w:color w:val="404040"/>
          <w:szCs w:val="24"/>
          <w:shd w:val="clear" w:color="auto" w:fill="FFFFFF"/>
        </w:rPr>
      </w:pPr>
    </w:p>
    <w:p w14:paraId="1D3D17FB">
      <w:pPr>
        <w:pStyle w:val="9"/>
        <w:widowControl/>
        <w:spacing w:line="429" w:lineRule="atLeast"/>
        <w:ind w:right="1200"/>
        <w:jc w:val="right"/>
        <w:rPr>
          <w:rFonts w:hint="eastAsia"/>
        </w:rPr>
      </w:pPr>
      <w:r>
        <w:rPr>
          <w:rFonts w:hint="eastAsia" w:ascii="微软雅黑" w:hAnsi="微软雅黑" w:eastAsia="微软雅黑" w:cs="微软雅黑"/>
          <w:color w:val="404040"/>
          <w:szCs w:val="24"/>
          <w:shd w:val="clear" w:color="auto" w:fill="FFFFFF"/>
        </w:rPr>
        <w:t>服务方负责人：</w:t>
      </w:r>
      <w:r>
        <w:rPr>
          <w:rFonts w:ascii="Segoe UI" w:hAnsi="Segoe UI" w:eastAsia="Segoe UI" w:cs="Segoe UI"/>
          <w:color w:val="404040"/>
          <w:szCs w:val="24"/>
          <w:shd w:val="clear" w:color="auto" w:fill="FFFFFF"/>
        </w:rPr>
        <w:t>______</w:t>
      </w:r>
      <w:r>
        <w:rPr>
          <w:rFonts w:hint="eastAsia" w:ascii="Segoe UI" w:hAnsi="Segoe UI" w:cs="Segoe UI"/>
          <w:color w:val="404040"/>
          <w:szCs w:val="24"/>
          <w:u w:val="single"/>
          <w:shd w:val="clear" w:color="auto" w:fill="FFFFFF"/>
        </w:rPr>
        <w:t xml:space="preserve">      </w:t>
      </w:r>
      <w:r>
        <w:rPr>
          <w:rFonts w:ascii="Segoe UI" w:hAnsi="Segoe UI" w:eastAsia="Segoe UI" w:cs="Segoe UI"/>
          <w:color w:val="404040"/>
          <w:szCs w:val="24"/>
          <w:u w:val="single"/>
          <w:shd w:val="clear" w:color="auto" w:fill="FFFFFF"/>
        </w:rPr>
        <w:t> </w:t>
      </w:r>
      <w:r>
        <w:rPr>
          <w:rFonts w:ascii="Segoe UI" w:hAnsi="Segoe UI" w:eastAsia="Segoe UI" w:cs="Segoe UI"/>
          <w:color w:val="404040"/>
          <w:szCs w:val="24"/>
          <w:shd w:val="clear" w:color="auto" w:fill="FFFFFF"/>
        </w:rPr>
        <w:t> </w:t>
      </w:r>
      <w:r>
        <w:rPr>
          <w:rFonts w:hint="eastAsia" w:ascii="微软雅黑" w:hAnsi="微软雅黑" w:eastAsia="微软雅黑" w:cs="微软雅黑"/>
          <w:color w:val="404040"/>
          <w:szCs w:val="24"/>
          <w:shd w:val="clear" w:color="auto" w:fill="FFFFFF"/>
        </w:rPr>
        <w:t>日期：</w:t>
      </w:r>
      <w:r>
        <w:rPr>
          <w:rFonts w:ascii="Segoe UI" w:hAnsi="Segoe UI" w:eastAsia="Segoe UI" w:cs="Segoe UI"/>
          <w:color w:val="404040"/>
          <w:szCs w:val="24"/>
          <w:shd w:val="clear" w:color="auto" w:fill="FFFFFF"/>
        </w:rPr>
        <w:t>_________</w:t>
      </w:r>
      <w:r>
        <w:rPr>
          <w:rFonts w:hint="eastAsia" w:ascii="Segoe UI" w:hAnsi="Segoe UI" w:cs="Segoe UI"/>
          <w:color w:val="404040"/>
          <w:szCs w:val="24"/>
          <w:u w:val="single"/>
          <w:shd w:val="clear" w:color="auto" w:fill="FFFFFF"/>
        </w:rPr>
        <w:t xml:space="preserve">  </w:t>
      </w:r>
      <w:r>
        <w:rPr>
          <w:rFonts w:hint="eastAsia" w:ascii="Segoe UI" w:hAnsi="Segoe UI" w:cs="Segoe UI"/>
          <w:color w:val="404040"/>
          <w:szCs w:val="24"/>
          <w:shd w:val="clear" w:color="auto" w:fill="FFFFFF"/>
        </w:rPr>
        <w:t xml:space="preserve">       </w:t>
      </w:r>
    </w:p>
    <w:p w14:paraId="3A148B71">
      <w:pPr>
        <w:pStyle w:val="9"/>
        <w:widowControl/>
        <w:spacing w:line="429" w:lineRule="atLeast"/>
        <w:ind w:left="2100" w:right="1015"/>
        <w:jc w:val="center"/>
        <w:rPr>
          <w:rFonts w:ascii="Segoe UI" w:hAnsi="Segoe UI" w:cs="Segoe UI"/>
          <w:color w:val="404040"/>
          <w:szCs w:val="24"/>
          <w:shd w:val="clear" w:color="auto" w:fill="FFFFFF"/>
        </w:rPr>
      </w:pPr>
      <w:r>
        <w:rPr>
          <w:rFonts w:hint="eastAsia" w:ascii="微软雅黑" w:hAnsi="微软雅黑" w:eastAsia="微软雅黑" w:cs="微软雅黑"/>
          <w:color w:val="404040"/>
          <w:szCs w:val="24"/>
          <w:shd w:val="clear" w:color="auto" w:fill="FFFFFF"/>
        </w:rPr>
        <w:t xml:space="preserve">  校方考核人：</w:t>
      </w:r>
      <w:r>
        <w:rPr>
          <w:rFonts w:ascii="Segoe UI" w:hAnsi="Segoe UI" w:eastAsia="Segoe UI" w:cs="Segoe UI"/>
          <w:color w:val="404040"/>
          <w:szCs w:val="24"/>
          <w:shd w:val="clear" w:color="auto" w:fill="FFFFFF"/>
        </w:rPr>
        <w:t>_____</w:t>
      </w:r>
      <w:r>
        <w:rPr>
          <w:rFonts w:hint="eastAsia" w:ascii="Segoe UI" w:hAnsi="Segoe UI" w:cs="Segoe UI"/>
          <w:color w:val="404040"/>
          <w:szCs w:val="24"/>
          <w:u w:val="single"/>
          <w:shd w:val="clear" w:color="auto" w:fill="FFFFFF"/>
        </w:rPr>
        <w:t xml:space="preserve">          </w:t>
      </w:r>
      <w:r>
        <w:rPr>
          <w:rFonts w:hint="eastAsia" w:ascii="Segoe UI" w:hAnsi="Segoe UI" w:eastAsia="Segoe UI" w:cs="Segoe UI"/>
          <w:color w:val="404040"/>
          <w:szCs w:val="24"/>
          <w:shd w:val="clear" w:color="auto" w:fill="FFFFFF"/>
        </w:rPr>
        <w:t xml:space="preserve"> </w:t>
      </w:r>
      <w:r>
        <w:rPr>
          <w:rFonts w:hint="eastAsia" w:ascii="Segoe UI" w:hAnsi="Segoe UI" w:cs="Segoe UI"/>
          <w:color w:val="404040"/>
          <w:szCs w:val="24"/>
          <w:shd w:val="clear" w:color="auto" w:fill="FFFFFF"/>
        </w:rPr>
        <w:t xml:space="preserve">  </w:t>
      </w:r>
      <w:r>
        <w:rPr>
          <w:rFonts w:hint="eastAsia" w:ascii="微软雅黑" w:hAnsi="微软雅黑" w:eastAsia="微软雅黑" w:cs="微软雅黑"/>
          <w:color w:val="404040"/>
          <w:szCs w:val="24"/>
          <w:shd w:val="clear" w:color="auto" w:fill="FFFFFF"/>
        </w:rPr>
        <w:t>日期：</w:t>
      </w:r>
      <w:r>
        <w:rPr>
          <w:rFonts w:ascii="Segoe UI" w:hAnsi="Segoe UI" w:eastAsia="Segoe UI" w:cs="Segoe UI"/>
          <w:color w:val="404040"/>
          <w:szCs w:val="24"/>
          <w:shd w:val="clear" w:color="auto" w:fill="FFFFFF"/>
        </w:rPr>
        <w:t>_________</w:t>
      </w:r>
      <w:r>
        <w:rPr>
          <w:rFonts w:hint="eastAsia" w:ascii="Segoe UI" w:hAnsi="Segoe UI" w:cs="Segoe UI"/>
          <w:color w:val="404040"/>
          <w:szCs w:val="24"/>
          <w:u w:val="single"/>
          <w:shd w:val="clear" w:color="auto" w:fill="FFFFFF"/>
        </w:rPr>
        <w:t xml:space="preserve">      </w:t>
      </w:r>
    </w:p>
    <w:p w14:paraId="2161B865">
      <w:pPr>
        <w:pStyle w:val="3"/>
        <w:widowControl/>
        <w:numPr>
          <w:ilvl w:val="0"/>
          <w:numId w:val="18"/>
        </w:numPr>
        <w:spacing w:before="274" w:beforeAutospacing="0" w:after="206" w:afterAutospacing="0" w:line="429" w:lineRule="atLeast"/>
        <w:rPr>
          <w:rStyle w:val="14"/>
          <w:rFonts w:ascii="楷体" w:hAnsi="楷体" w:eastAsia="楷体"/>
          <w:b w:val="0"/>
          <w:color w:val="404040"/>
          <w:sz w:val="32"/>
          <w:shd w:val="clear" w:color="auto" w:fill="FFFFFF"/>
        </w:rPr>
      </w:pPr>
      <w:r>
        <w:rPr>
          <w:rStyle w:val="14"/>
          <w:rFonts w:hint="default" w:ascii="楷体" w:hAnsi="楷体" w:eastAsia="楷体"/>
          <w:b/>
          <w:color w:val="404040"/>
          <w:sz w:val="32"/>
          <w:shd w:val="clear" w:color="auto" w:fill="FFFFFF"/>
        </w:rPr>
        <w:t>总分计算与等级评定</w:t>
      </w:r>
    </w:p>
    <w:p w14:paraId="529D2591">
      <w:pPr>
        <w:widowControl/>
        <w:spacing w:before="60" w:afterAutospacing="1"/>
        <w:rPr>
          <w:rFonts w:hint="eastAsia" w:ascii="仿宋" w:hAnsi="仿宋" w:eastAsia="仿宋" w:cs="Segoe UI"/>
          <w:color w:val="404040"/>
          <w:sz w:val="32"/>
          <w:szCs w:val="24"/>
          <w:shd w:val="clear" w:color="auto" w:fill="FFFFFF"/>
        </w:rPr>
      </w:pPr>
      <w:r>
        <w:rPr>
          <w:rStyle w:val="14"/>
          <w:rFonts w:ascii="仿宋" w:hAnsi="仿宋" w:eastAsia="仿宋" w:cs="Segoe UI"/>
          <w:color w:val="404040"/>
          <w:sz w:val="32"/>
          <w:szCs w:val="24"/>
          <w:shd w:val="clear" w:color="auto" w:fill="FFFFFF"/>
        </w:rPr>
        <w:t>总分</w:t>
      </w:r>
      <w:r>
        <w:rPr>
          <w:rFonts w:ascii="仿宋" w:hAnsi="仿宋" w:eastAsia="仿宋" w:cs="Segoe UI"/>
          <w:color w:val="404040"/>
          <w:sz w:val="32"/>
          <w:szCs w:val="24"/>
          <w:shd w:val="clear" w:color="auto" w:fill="FFFFFF"/>
        </w:rPr>
        <w:t> = 各子项得分总和</w:t>
      </w:r>
      <w:r>
        <w:rPr>
          <w:rFonts w:hint="eastAsia" w:ascii="仿宋" w:hAnsi="仿宋" w:eastAsia="仿宋" w:cs="Segoe UI"/>
          <w:color w:val="404040"/>
          <w:sz w:val="32"/>
          <w:szCs w:val="24"/>
          <w:shd w:val="clear" w:color="auto" w:fill="FFFFFF"/>
        </w:rPr>
        <w:t xml:space="preserve"> </w:t>
      </w:r>
      <w:r>
        <w:rPr>
          <w:rFonts w:ascii="仿宋" w:hAnsi="仿宋" w:eastAsia="仿宋" w:cs="Segoe UI"/>
          <w:color w:val="404040"/>
          <w:sz w:val="32"/>
          <w:szCs w:val="24"/>
          <w:shd w:val="clear" w:color="auto" w:fill="FFFFFF"/>
        </w:rPr>
        <w:t>- 扣分</w:t>
      </w:r>
    </w:p>
    <w:p w14:paraId="03CC329D">
      <w:pPr>
        <w:widowControl/>
        <w:spacing w:before="60" w:afterAutospacing="1"/>
        <w:rPr>
          <w:rFonts w:hint="eastAsia" w:ascii="仿宋" w:hAnsi="仿宋" w:eastAsia="仿宋"/>
          <w:sz w:val="32"/>
        </w:rPr>
      </w:pPr>
      <w:r>
        <w:rPr>
          <w:rStyle w:val="14"/>
          <w:rFonts w:ascii="仿宋" w:hAnsi="仿宋" w:eastAsia="仿宋" w:cs="Segoe UI"/>
          <w:color w:val="404040"/>
          <w:sz w:val="32"/>
          <w:szCs w:val="24"/>
          <w:shd w:val="clear" w:color="auto" w:fill="FFFFFF"/>
        </w:rPr>
        <w:t>等级划分</w:t>
      </w:r>
      <w:r>
        <w:rPr>
          <w:rFonts w:ascii="仿宋" w:hAnsi="仿宋" w:eastAsia="仿宋" w:cs="Segoe UI"/>
          <w:color w:val="404040"/>
          <w:sz w:val="32"/>
          <w:szCs w:val="24"/>
          <w:shd w:val="clear" w:color="auto" w:fill="FFFFFF"/>
        </w:rPr>
        <w:t>：优秀（≥90分）良好（80-89分）合格（60-79分）不合格（＜60分）</w:t>
      </w:r>
    </w:p>
    <w:p w14:paraId="51FE55B6">
      <w:pPr>
        <w:pStyle w:val="3"/>
        <w:widowControl/>
        <w:numPr>
          <w:ilvl w:val="0"/>
          <w:numId w:val="18"/>
        </w:numPr>
        <w:spacing w:before="274" w:beforeAutospacing="0" w:after="206" w:afterAutospacing="0" w:line="429" w:lineRule="atLeast"/>
        <w:rPr>
          <w:rStyle w:val="14"/>
          <w:rFonts w:ascii="楷体" w:hAnsi="楷体" w:eastAsia="楷体"/>
          <w:b/>
          <w:color w:val="404040"/>
          <w:sz w:val="32"/>
          <w:shd w:val="clear" w:color="auto" w:fill="FFFFFF"/>
        </w:rPr>
      </w:pPr>
      <w:r>
        <w:rPr>
          <w:rStyle w:val="14"/>
          <w:rFonts w:hint="default" w:ascii="楷体" w:hAnsi="楷体" w:eastAsia="楷体"/>
          <w:b/>
          <w:color w:val="404040"/>
          <w:sz w:val="32"/>
          <w:shd w:val="clear" w:color="auto" w:fill="FFFFFF"/>
        </w:rPr>
        <w:t>考核说明</w:t>
      </w:r>
    </w:p>
    <w:p w14:paraId="095CBD13">
      <w:pPr>
        <w:pStyle w:val="9"/>
        <w:widowControl/>
        <w:numPr>
          <w:ilvl w:val="0"/>
          <w:numId w:val="19"/>
        </w:numPr>
        <w:spacing w:line="429" w:lineRule="atLeast"/>
        <w:rPr>
          <w:rFonts w:hint="eastAsia" w:ascii="仿宋" w:hAnsi="仿宋" w:eastAsia="仿宋"/>
          <w:sz w:val="32"/>
        </w:rPr>
      </w:pPr>
      <w:r>
        <w:rPr>
          <w:rStyle w:val="14"/>
          <w:rFonts w:hint="eastAsia" w:ascii="仿宋" w:hAnsi="仿宋" w:eastAsia="仿宋" w:cs="微软雅黑"/>
          <w:color w:val="404040"/>
          <w:sz w:val="32"/>
          <w:szCs w:val="24"/>
          <w:shd w:val="clear" w:color="auto" w:fill="FFFFFF"/>
        </w:rPr>
        <w:t>检查方式</w:t>
      </w:r>
      <w:r>
        <w:rPr>
          <w:rFonts w:hint="eastAsia" w:ascii="仿宋" w:hAnsi="仿宋" w:eastAsia="仿宋" w:cs="微软雅黑"/>
          <w:color w:val="404040"/>
          <w:sz w:val="32"/>
          <w:szCs w:val="24"/>
          <w:shd w:val="clear" w:color="auto" w:fill="FFFFFF"/>
        </w:rPr>
        <w:t>：现场抽检、系统日志核查、用户访谈、工单记录抽查等。</w:t>
      </w:r>
    </w:p>
    <w:p w14:paraId="4B8D1831">
      <w:pPr>
        <w:pStyle w:val="16"/>
        <w:widowControl/>
        <w:numPr>
          <w:ilvl w:val="0"/>
          <w:numId w:val="20"/>
        </w:numPr>
        <w:shd w:val="clear" w:color="auto" w:fill="FFFFFF"/>
        <w:spacing w:line="429" w:lineRule="atLeast"/>
        <w:ind w:firstLineChars="0"/>
        <w:jc w:val="left"/>
        <w:rPr>
          <w:rFonts w:hint="eastAsia" w:ascii="仿宋" w:hAnsi="仿宋" w:eastAsia="仿宋" w:cs="Segoe UI"/>
          <w:color w:val="404040"/>
          <w:kern w:val="0"/>
          <w:sz w:val="32"/>
          <w:szCs w:val="24"/>
        </w:rPr>
      </w:pPr>
      <w:r>
        <w:rPr>
          <w:rFonts w:ascii="仿宋" w:hAnsi="仿宋" w:eastAsia="仿宋" w:cs="Segoe UI"/>
          <w:b/>
          <w:bCs/>
          <w:color w:val="404040"/>
          <w:kern w:val="0"/>
          <w:sz w:val="32"/>
          <w:szCs w:val="24"/>
        </w:rPr>
        <w:t>≥90分</w:t>
      </w:r>
      <w:r>
        <w:rPr>
          <w:rFonts w:ascii="仿宋" w:hAnsi="仿宋" w:eastAsia="仿宋" w:cs="Segoe UI"/>
          <w:color w:val="404040"/>
          <w:kern w:val="0"/>
          <w:sz w:val="32"/>
          <w:szCs w:val="24"/>
        </w:rPr>
        <w:t>：全额支付</w:t>
      </w:r>
      <w:r>
        <w:rPr>
          <w:rFonts w:hint="eastAsia" w:ascii="仿宋" w:hAnsi="仿宋" w:eastAsia="仿宋" w:cs="Segoe UI"/>
          <w:color w:val="404040"/>
          <w:kern w:val="0"/>
          <w:sz w:val="32"/>
          <w:szCs w:val="24"/>
        </w:rPr>
        <w:t>当年</w:t>
      </w:r>
      <w:r>
        <w:rPr>
          <w:rFonts w:ascii="仿宋" w:hAnsi="仿宋" w:eastAsia="仿宋" w:cs="Segoe UI"/>
          <w:color w:val="404040"/>
          <w:kern w:val="0"/>
          <w:sz w:val="32"/>
          <w:szCs w:val="24"/>
        </w:rPr>
        <w:t>服务费用。</w:t>
      </w:r>
    </w:p>
    <w:p w14:paraId="7EE5E78A">
      <w:pPr>
        <w:pStyle w:val="16"/>
        <w:widowControl/>
        <w:numPr>
          <w:ilvl w:val="0"/>
          <w:numId w:val="20"/>
        </w:numPr>
        <w:shd w:val="clear" w:color="auto" w:fill="FFFFFF"/>
        <w:spacing w:line="429" w:lineRule="atLeast"/>
        <w:ind w:firstLineChars="0"/>
        <w:jc w:val="left"/>
        <w:rPr>
          <w:rFonts w:hint="eastAsia" w:ascii="仿宋" w:hAnsi="仿宋" w:eastAsia="仿宋" w:cs="Segoe UI"/>
          <w:color w:val="404040"/>
          <w:kern w:val="0"/>
          <w:sz w:val="32"/>
          <w:szCs w:val="24"/>
        </w:rPr>
      </w:pPr>
      <w:r>
        <w:rPr>
          <w:rFonts w:ascii="仿宋" w:hAnsi="仿宋" w:eastAsia="仿宋" w:cs="Segoe UI"/>
          <w:b/>
          <w:bCs/>
          <w:color w:val="404040"/>
          <w:kern w:val="0"/>
          <w:sz w:val="32"/>
          <w:szCs w:val="24"/>
        </w:rPr>
        <w:t>80-89分</w:t>
      </w:r>
      <w:r>
        <w:rPr>
          <w:rFonts w:ascii="仿宋" w:hAnsi="仿宋" w:eastAsia="仿宋" w:cs="Segoe UI"/>
          <w:color w:val="404040"/>
          <w:kern w:val="0"/>
          <w:sz w:val="32"/>
          <w:szCs w:val="24"/>
        </w:rPr>
        <w:t>：扣减当</w:t>
      </w:r>
      <w:r>
        <w:rPr>
          <w:rFonts w:hint="eastAsia" w:ascii="仿宋" w:hAnsi="仿宋" w:eastAsia="仿宋" w:cs="Segoe UI"/>
          <w:color w:val="404040"/>
          <w:kern w:val="0"/>
          <w:sz w:val="32"/>
          <w:szCs w:val="24"/>
        </w:rPr>
        <w:t>年</w:t>
      </w:r>
      <w:r>
        <w:rPr>
          <w:rFonts w:ascii="仿宋" w:hAnsi="仿宋" w:eastAsia="仿宋" w:cs="Segoe UI"/>
          <w:color w:val="404040"/>
          <w:kern w:val="0"/>
          <w:sz w:val="32"/>
          <w:szCs w:val="24"/>
        </w:rPr>
        <w:t>合同金额的3%。</w:t>
      </w:r>
    </w:p>
    <w:p w14:paraId="54F08DDF">
      <w:pPr>
        <w:pStyle w:val="16"/>
        <w:widowControl/>
        <w:numPr>
          <w:ilvl w:val="0"/>
          <w:numId w:val="20"/>
        </w:numPr>
        <w:shd w:val="clear" w:color="auto" w:fill="FFFFFF"/>
        <w:spacing w:line="429" w:lineRule="atLeast"/>
        <w:ind w:firstLineChars="0"/>
        <w:jc w:val="left"/>
        <w:rPr>
          <w:rFonts w:hint="eastAsia" w:ascii="仿宋" w:hAnsi="仿宋" w:eastAsia="仿宋" w:cs="Segoe UI"/>
          <w:color w:val="404040"/>
          <w:kern w:val="0"/>
          <w:sz w:val="32"/>
          <w:szCs w:val="24"/>
        </w:rPr>
      </w:pPr>
      <w:r>
        <w:rPr>
          <w:rFonts w:ascii="仿宋" w:hAnsi="仿宋" w:eastAsia="仿宋" w:cs="Segoe UI"/>
          <w:b/>
          <w:bCs/>
          <w:color w:val="404040"/>
          <w:kern w:val="0"/>
          <w:sz w:val="32"/>
          <w:szCs w:val="24"/>
        </w:rPr>
        <w:t>70-79分</w:t>
      </w:r>
      <w:r>
        <w:rPr>
          <w:rFonts w:ascii="仿宋" w:hAnsi="仿宋" w:eastAsia="仿宋" w:cs="Segoe UI"/>
          <w:color w:val="404040"/>
          <w:kern w:val="0"/>
          <w:sz w:val="32"/>
          <w:szCs w:val="24"/>
        </w:rPr>
        <w:t>：扣减当</w:t>
      </w:r>
      <w:r>
        <w:rPr>
          <w:rFonts w:hint="eastAsia" w:ascii="仿宋" w:hAnsi="仿宋" w:eastAsia="仿宋" w:cs="Segoe UI"/>
          <w:color w:val="404040"/>
          <w:kern w:val="0"/>
          <w:sz w:val="32"/>
          <w:szCs w:val="24"/>
        </w:rPr>
        <w:t>年</w:t>
      </w:r>
      <w:r>
        <w:rPr>
          <w:rFonts w:ascii="仿宋" w:hAnsi="仿宋" w:eastAsia="仿宋" w:cs="Segoe UI"/>
          <w:color w:val="404040"/>
          <w:kern w:val="0"/>
          <w:sz w:val="32"/>
          <w:szCs w:val="24"/>
        </w:rPr>
        <w:t>合同金额5%，并要求限期整改。</w:t>
      </w:r>
    </w:p>
    <w:p w14:paraId="2B7F7DDA">
      <w:pPr>
        <w:pStyle w:val="16"/>
        <w:widowControl/>
        <w:numPr>
          <w:ilvl w:val="0"/>
          <w:numId w:val="20"/>
        </w:numPr>
        <w:shd w:val="clear" w:color="auto" w:fill="FFFFFF"/>
        <w:spacing w:line="429" w:lineRule="atLeast"/>
        <w:ind w:firstLineChars="0"/>
        <w:jc w:val="left"/>
        <w:rPr>
          <w:rFonts w:hint="eastAsia" w:ascii="仿宋" w:hAnsi="仿宋" w:eastAsia="仿宋" w:cs="Segoe UI"/>
          <w:color w:val="404040"/>
          <w:kern w:val="0"/>
          <w:sz w:val="32"/>
          <w:szCs w:val="24"/>
        </w:rPr>
      </w:pPr>
      <w:r>
        <w:rPr>
          <w:rFonts w:ascii="仿宋" w:hAnsi="仿宋" w:eastAsia="仿宋" w:cs="Segoe UI"/>
          <w:b/>
          <w:bCs/>
          <w:color w:val="404040"/>
          <w:kern w:val="0"/>
          <w:sz w:val="32"/>
          <w:szCs w:val="24"/>
        </w:rPr>
        <w:t>&lt;70分</w:t>
      </w:r>
      <w:r>
        <w:rPr>
          <w:rFonts w:ascii="仿宋" w:hAnsi="仿宋" w:eastAsia="仿宋" w:cs="Segoe UI"/>
          <w:color w:val="404040"/>
          <w:kern w:val="0"/>
          <w:sz w:val="32"/>
          <w:szCs w:val="24"/>
        </w:rPr>
        <w:t>：扣减当</w:t>
      </w:r>
      <w:r>
        <w:rPr>
          <w:rFonts w:hint="eastAsia" w:ascii="仿宋" w:hAnsi="仿宋" w:eastAsia="仿宋" w:cs="Segoe UI"/>
          <w:color w:val="404040"/>
          <w:kern w:val="0"/>
          <w:sz w:val="32"/>
          <w:szCs w:val="24"/>
        </w:rPr>
        <w:t>年</w:t>
      </w:r>
      <w:r>
        <w:rPr>
          <w:rFonts w:ascii="仿宋" w:hAnsi="仿宋" w:eastAsia="仿宋" w:cs="Segoe UI"/>
          <w:color w:val="404040"/>
          <w:kern w:val="0"/>
          <w:sz w:val="32"/>
          <w:szCs w:val="24"/>
        </w:rPr>
        <w:t>合同金额10%</w:t>
      </w:r>
      <w:r>
        <w:rPr>
          <w:rFonts w:hint="eastAsia" w:ascii="仿宋" w:hAnsi="仿宋" w:eastAsia="仿宋" w:cs="Segoe UI"/>
          <w:color w:val="404040"/>
          <w:kern w:val="0"/>
          <w:sz w:val="32"/>
          <w:szCs w:val="24"/>
        </w:rPr>
        <w:t>且</w:t>
      </w:r>
      <w:r>
        <w:rPr>
          <w:rFonts w:hint="eastAsia" w:ascii="仿宋" w:hAnsi="仿宋" w:eastAsia="仿宋" w:cs="微软雅黑"/>
          <w:color w:val="404040"/>
          <w:sz w:val="32"/>
          <w:szCs w:val="24"/>
          <w:shd w:val="clear" w:color="auto" w:fill="FFFFFF"/>
        </w:rPr>
        <w:t>在</w:t>
      </w:r>
      <w:r>
        <w:rPr>
          <w:rFonts w:ascii="仿宋" w:hAnsi="仿宋" w:eastAsia="仿宋" w:cs="Segoe UI"/>
          <w:color w:val="404040"/>
          <w:sz w:val="32"/>
          <w:szCs w:val="24"/>
          <w:shd w:val="clear" w:color="auto" w:fill="FFFFFF"/>
        </w:rPr>
        <w:t>3</w:t>
      </w:r>
      <w:r>
        <w:rPr>
          <w:rFonts w:hint="eastAsia" w:ascii="仿宋" w:hAnsi="仿宋" w:eastAsia="仿宋" w:cs="微软雅黑"/>
          <w:color w:val="404040"/>
          <w:sz w:val="32"/>
          <w:szCs w:val="24"/>
          <w:shd w:val="clear" w:color="auto" w:fill="FFFFFF"/>
        </w:rPr>
        <w:t>个工作日内提交整改方案，如</w:t>
      </w:r>
      <w:r>
        <w:rPr>
          <w:rFonts w:ascii="仿宋" w:hAnsi="仿宋" w:eastAsia="仿宋" w:cs="Segoe UI"/>
          <w:color w:val="404040"/>
          <w:kern w:val="0"/>
          <w:sz w:val="32"/>
          <w:szCs w:val="24"/>
        </w:rPr>
        <w:t>整改未通过可终止合同。</w:t>
      </w:r>
    </w:p>
    <w:p w14:paraId="6CAB1D8A">
      <w:pPr>
        <w:pStyle w:val="23"/>
        <w:numPr>
          <w:ilvl w:val="0"/>
          <w:numId w:val="20"/>
        </w:numPr>
        <w:shd w:val="clear" w:color="auto" w:fill="FFFFFF"/>
        <w:spacing w:before="0" w:beforeAutospacing="0" w:after="0" w:afterAutospacing="0" w:line="429" w:lineRule="atLeast"/>
        <w:rPr>
          <w:rFonts w:hint="eastAsia" w:ascii="仿宋" w:hAnsi="仿宋" w:eastAsia="仿宋" w:cs="Segoe UI"/>
          <w:color w:val="404040"/>
          <w:sz w:val="32"/>
        </w:rPr>
      </w:pPr>
      <w:r>
        <w:rPr>
          <w:rFonts w:hint="eastAsia" w:ascii="仿宋" w:hAnsi="仿宋" w:eastAsia="仿宋" w:cs="Segoe UI"/>
          <w:color w:val="404040"/>
          <w:sz w:val="32"/>
        </w:rPr>
        <w:t>项目结束时考核</w:t>
      </w:r>
      <w:r>
        <w:rPr>
          <w:rFonts w:ascii="仿宋" w:hAnsi="仿宋" w:eastAsia="仿宋" w:cs="Segoe UI"/>
          <w:color w:val="404040"/>
          <w:sz w:val="32"/>
        </w:rPr>
        <w:t>平均分≥85分，续约优先；&lt;80分启动重新招标。</w:t>
      </w:r>
    </w:p>
    <w:p w14:paraId="22981E66">
      <w:pPr>
        <w:pStyle w:val="23"/>
        <w:numPr>
          <w:ilvl w:val="0"/>
          <w:numId w:val="20"/>
        </w:numPr>
        <w:shd w:val="clear" w:color="auto" w:fill="FFFFFF"/>
        <w:spacing w:before="0" w:beforeAutospacing="0" w:after="0" w:afterAutospacing="0" w:line="429" w:lineRule="atLeast"/>
        <w:rPr>
          <w:rFonts w:hint="eastAsia" w:ascii="仿宋" w:hAnsi="仿宋" w:eastAsia="仿宋"/>
          <w:b/>
          <w:sz w:val="32"/>
        </w:rPr>
      </w:pPr>
      <w:r>
        <w:rPr>
          <w:rFonts w:ascii="仿宋" w:hAnsi="仿宋" w:eastAsia="仿宋" w:cs="Segoe UI"/>
          <w:color w:val="404040"/>
          <w:sz w:val="32"/>
        </w:rPr>
        <w:t>扣</w:t>
      </w:r>
      <w:r>
        <w:rPr>
          <w:rFonts w:hint="eastAsia" w:ascii="仿宋" w:hAnsi="仿宋" w:eastAsia="仿宋" w:cs="Segoe UI"/>
          <w:color w:val="404040"/>
          <w:sz w:val="32"/>
        </w:rPr>
        <w:t>减金额</w:t>
      </w:r>
      <w:r>
        <w:rPr>
          <w:rFonts w:ascii="仿宋" w:hAnsi="仿宋" w:eastAsia="仿宋" w:cs="Segoe UI"/>
          <w:color w:val="404040"/>
          <w:sz w:val="32"/>
        </w:rPr>
        <w:t>累计不</w:t>
      </w:r>
      <w:r>
        <w:rPr>
          <w:rFonts w:hint="eastAsia" w:ascii="仿宋" w:hAnsi="仿宋" w:eastAsia="仿宋" w:cs="Segoe UI"/>
          <w:color w:val="404040"/>
          <w:sz w:val="32"/>
        </w:rPr>
        <w:t>得</w:t>
      </w:r>
      <w:r>
        <w:rPr>
          <w:rFonts w:ascii="仿宋" w:hAnsi="仿宋" w:eastAsia="仿宋" w:cs="Segoe UI"/>
          <w:color w:val="404040"/>
          <w:sz w:val="32"/>
        </w:rPr>
        <w:t>超过合同总额的10%</w:t>
      </w:r>
      <w:r>
        <w:rPr>
          <w:rFonts w:hint="eastAsia" w:ascii="仿宋" w:hAnsi="仿宋" w:eastAsia="仿宋" w:cs="Segoe UI"/>
          <w:color w:val="404040"/>
          <w:sz w:val="32"/>
        </w:rPr>
        <w:t>，</w:t>
      </w:r>
      <w:r>
        <w:rPr>
          <w:rFonts w:ascii="仿宋" w:hAnsi="仿宋" w:eastAsia="仿宋" w:cs="Segoe UI"/>
          <w:color w:val="404040"/>
          <w:sz w:val="32"/>
        </w:rPr>
        <w:t>重大事故直接终止合同并追责。</w:t>
      </w:r>
    </w:p>
    <w:p w14:paraId="32368FE7">
      <w:pPr>
        <w:pStyle w:val="3"/>
        <w:widowControl/>
        <w:numPr>
          <w:ilvl w:val="0"/>
          <w:numId w:val="18"/>
        </w:numPr>
        <w:spacing w:before="274" w:beforeAutospacing="0" w:after="206" w:afterAutospacing="0" w:line="429" w:lineRule="atLeast"/>
        <w:rPr>
          <w:rStyle w:val="14"/>
          <w:rFonts w:ascii="楷体" w:hAnsi="楷体" w:eastAsia="楷体"/>
          <w:b w:val="0"/>
          <w:sz w:val="32"/>
          <w:shd w:val="clear" w:color="auto" w:fill="FFFFFF"/>
        </w:rPr>
      </w:pPr>
      <w:r>
        <w:rPr>
          <w:rStyle w:val="14"/>
          <w:rFonts w:hint="default" w:ascii="楷体" w:hAnsi="楷体" w:eastAsia="楷体"/>
          <w:b/>
          <w:color w:val="404040"/>
          <w:sz w:val="32"/>
          <w:shd w:val="clear" w:color="auto" w:fill="FFFFFF"/>
        </w:rPr>
        <w:t>改进建议</w:t>
      </w:r>
    </w:p>
    <w:p w14:paraId="2D39CC10">
      <w:pPr>
        <w:pStyle w:val="9"/>
        <w:widowControl/>
        <w:shd w:val="clear" w:color="auto" w:fill="FFFFFF"/>
        <w:spacing w:before="206" w:after="206" w:line="429" w:lineRule="atLeast"/>
        <w:rPr>
          <w:rFonts w:hint="eastAsia" w:ascii="仿宋" w:hAnsi="仿宋" w:eastAsia="仿宋" w:cs="Segoe UI"/>
          <w:color w:val="404040"/>
          <w:sz w:val="32"/>
          <w:szCs w:val="24"/>
        </w:rPr>
      </w:pPr>
      <w:r>
        <w:rPr>
          <w:rFonts w:ascii="仿宋" w:hAnsi="仿宋" w:eastAsia="仿宋" w:cs="Segoe UI"/>
          <w:color w:val="404040"/>
          <w:sz w:val="32"/>
          <w:szCs w:val="24"/>
          <w:shd w:val="clear" w:color="auto" w:fill="FFFFFF"/>
        </w:rPr>
        <w:t>根据</w:t>
      </w:r>
      <w:r>
        <w:rPr>
          <w:rFonts w:hint="eastAsia" w:ascii="仿宋" w:hAnsi="仿宋" w:eastAsia="仿宋" w:cs="Segoe UI"/>
          <w:color w:val="404040"/>
          <w:sz w:val="32"/>
          <w:szCs w:val="24"/>
          <w:shd w:val="clear" w:color="auto" w:fill="FFFFFF"/>
        </w:rPr>
        <w:t>当年运维</w:t>
      </w:r>
      <w:r>
        <w:rPr>
          <w:rFonts w:ascii="仿宋" w:hAnsi="仿宋" w:eastAsia="仿宋" w:cs="Segoe UI"/>
          <w:color w:val="404040"/>
          <w:sz w:val="32"/>
          <w:szCs w:val="24"/>
          <w:shd w:val="clear" w:color="auto" w:fill="FFFFFF"/>
        </w:rPr>
        <w:t>问题提出针对性优化</w:t>
      </w:r>
      <w:r>
        <w:rPr>
          <w:rFonts w:hint="eastAsia" w:ascii="仿宋" w:hAnsi="仿宋" w:eastAsia="仿宋" w:cs="Segoe UI"/>
          <w:color w:val="404040"/>
          <w:sz w:val="32"/>
          <w:szCs w:val="24"/>
          <w:shd w:val="clear" w:color="auto" w:fill="FFFFFF"/>
        </w:rPr>
        <w:t>方案。</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Sans Serif">
    <w:panose1 w:val="020B0604020202020204"/>
    <w:charset w:val="00"/>
    <w:family w:val="swiss"/>
    <w:pitch w:val="default"/>
    <w:sig w:usb0="E5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ebdings">
    <w:panose1 w:val="05030102010509060703"/>
    <w:charset w:val="02"/>
    <w:family w:val="roman"/>
    <w:pitch w:val="default"/>
    <w:sig w:usb0="00000000" w:usb1="00000000" w:usb2="00000000" w:usb3="00000000" w:csb0="80000000"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247FF"/>
    <w:multiLevelType w:val="multilevel"/>
    <w:tmpl w:val="03C247FF"/>
    <w:lvl w:ilvl="0" w:tentative="0">
      <w:start w:val="1"/>
      <w:numFmt w:val="decimal"/>
      <w:lvlText w:val="%1"/>
      <w:lvlJc w:val="left"/>
      <w:pPr>
        <w:ind w:left="420" w:hanging="420"/>
      </w:pPr>
      <w:rPr>
        <w:rFonts w:hint="default"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8D052AC"/>
    <w:multiLevelType w:val="singleLevel"/>
    <w:tmpl w:val="08D052AC"/>
    <w:lvl w:ilvl="0" w:tentative="0">
      <w:start w:val="1"/>
      <w:numFmt w:val="chineseCountingThousand"/>
      <w:suff w:val="nothing"/>
      <w:lvlText w:val="（%1）"/>
      <w:lvlJc w:val="left"/>
      <w:pPr>
        <w:ind w:left="0" w:firstLine="0"/>
      </w:pPr>
    </w:lvl>
  </w:abstractNum>
  <w:abstractNum w:abstractNumId="2">
    <w:nsid w:val="0E52250F"/>
    <w:multiLevelType w:val="multilevel"/>
    <w:tmpl w:val="0E52250F"/>
    <w:lvl w:ilvl="0" w:tentative="0">
      <w:start w:val="1"/>
      <w:numFmt w:val="bullet"/>
      <w:lvlText w:val=""/>
      <w:lvlJc w:val="left"/>
      <w:pPr>
        <w:ind w:left="440" w:hanging="440"/>
      </w:pPr>
      <w:rPr>
        <w:rFonts w:hint="default" w:ascii="Webdings" w:hAnsi="Web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
    <w:nsid w:val="141D4709"/>
    <w:multiLevelType w:val="singleLevel"/>
    <w:tmpl w:val="141D4709"/>
    <w:lvl w:ilvl="0" w:tentative="0">
      <w:start w:val="1"/>
      <w:numFmt w:val="decimal"/>
      <w:suff w:val="nothing"/>
      <w:lvlText w:val="（%1）"/>
      <w:lvlJc w:val="left"/>
      <w:pPr>
        <w:ind w:left="0" w:firstLine="0"/>
      </w:pPr>
    </w:lvl>
  </w:abstractNum>
  <w:abstractNum w:abstractNumId="4">
    <w:nsid w:val="190222FF"/>
    <w:multiLevelType w:val="multilevel"/>
    <w:tmpl w:val="190222FF"/>
    <w:lvl w:ilvl="0" w:tentative="0">
      <w:start w:val="1"/>
      <w:numFmt w:val="bullet"/>
      <w:lvlText w:val=""/>
      <w:lvlJc w:val="left"/>
      <w:pPr>
        <w:ind w:left="440" w:hanging="440"/>
      </w:pPr>
      <w:rPr>
        <w:rFonts w:hint="default" w:ascii="Webdings" w:hAnsi="Web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
    <w:nsid w:val="2FAA4A84"/>
    <w:multiLevelType w:val="singleLevel"/>
    <w:tmpl w:val="2FAA4A84"/>
    <w:lvl w:ilvl="0" w:tentative="0">
      <w:start w:val="1"/>
      <w:numFmt w:val="decimal"/>
      <w:suff w:val="nothing"/>
      <w:lvlText w:val="（%1）"/>
      <w:lvlJc w:val="left"/>
      <w:pPr>
        <w:ind w:left="0" w:firstLine="0"/>
      </w:pPr>
    </w:lvl>
  </w:abstractNum>
  <w:abstractNum w:abstractNumId="6">
    <w:nsid w:val="317057B1"/>
    <w:multiLevelType w:val="multilevel"/>
    <w:tmpl w:val="317057B1"/>
    <w:lvl w:ilvl="0" w:tentative="0">
      <w:start w:val="1"/>
      <w:numFmt w:val="decimal"/>
      <w:lvlText w:val="%1"/>
      <w:lvlJc w:val="left"/>
      <w:pPr>
        <w:ind w:left="420" w:hanging="420"/>
      </w:pPr>
      <w:rPr>
        <w:rFonts w:hint="default"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6B38B0"/>
    <w:multiLevelType w:val="singleLevel"/>
    <w:tmpl w:val="376B38B0"/>
    <w:lvl w:ilvl="0" w:tentative="0">
      <w:start w:val="1"/>
      <w:numFmt w:val="decimal"/>
      <w:suff w:val="nothing"/>
      <w:lvlText w:val="（%1）"/>
      <w:lvlJc w:val="left"/>
      <w:pPr>
        <w:ind w:left="0" w:firstLine="0"/>
      </w:pPr>
    </w:lvl>
  </w:abstractNum>
  <w:abstractNum w:abstractNumId="8">
    <w:nsid w:val="3BC53067"/>
    <w:multiLevelType w:val="multilevel"/>
    <w:tmpl w:val="3BC53067"/>
    <w:lvl w:ilvl="0" w:tentative="0">
      <w:start w:val="1"/>
      <w:numFmt w:val="chineseCountingThousand"/>
      <w:suff w:val="noth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4EE84F4F"/>
    <w:multiLevelType w:val="singleLevel"/>
    <w:tmpl w:val="4EE84F4F"/>
    <w:lvl w:ilvl="0" w:tentative="0">
      <w:start w:val="1"/>
      <w:numFmt w:val="decimal"/>
      <w:suff w:val="nothing"/>
      <w:lvlText w:val="%1．"/>
      <w:lvlJc w:val="left"/>
      <w:pPr>
        <w:ind w:left="0" w:firstLine="0"/>
      </w:pPr>
    </w:lvl>
  </w:abstractNum>
  <w:abstractNum w:abstractNumId="10">
    <w:nsid w:val="52B35999"/>
    <w:multiLevelType w:val="multilevel"/>
    <w:tmpl w:val="52B35999"/>
    <w:lvl w:ilvl="0" w:tentative="0">
      <w:start w:val="1"/>
      <w:numFmt w:val="decimal"/>
      <w:lvlText w:val="%1"/>
      <w:lvlJc w:val="left"/>
      <w:pPr>
        <w:ind w:left="420" w:hanging="420"/>
      </w:pPr>
      <w:rPr>
        <w:rFonts w:hint="default"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D6B2D88"/>
    <w:multiLevelType w:val="singleLevel"/>
    <w:tmpl w:val="5D6B2D88"/>
    <w:lvl w:ilvl="0" w:tentative="0">
      <w:start w:val="1"/>
      <w:numFmt w:val="decimal"/>
      <w:suff w:val="nothing"/>
      <w:lvlText w:val="（%1）"/>
      <w:lvlJc w:val="left"/>
      <w:pPr>
        <w:ind w:left="0" w:firstLine="0"/>
      </w:pPr>
    </w:lvl>
  </w:abstractNum>
  <w:abstractNum w:abstractNumId="12">
    <w:nsid w:val="5EE71336"/>
    <w:multiLevelType w:val="multilevel"/>
    <w:tmpl w:val="5EE71336"/>
    <w:lvl w:ilvl="0" w:tentative="0">
      <w:start w:val="1"/>
      <w:numFmt w:val="bullet"/>
      <w:lvlText w:val=""/>
      <w:lvlJc w:val="left"/>
      <w:pPr>
        <w:ind w:left="440" w:hanging="440"/>
      </w:pPr>
      <w:rPr>
        <w:rFonts w:hint="default" w:ascii="Webdings" w:hAnsi="Web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3">
    <w:nsid w:val="60980296"/>
    <w:multiLevelType w:val="singleLevel"/>
    <w:tmpl w:val="60980296"/>
    <w:lvl w:ilvl="0" w:tentative="0">
      <w:start w:val="1"/>
      <w:numFmt w:val="decimal"/>
      <w:suff w:val="nothing"/>
      <w:lvlText w:val="%1．"/>
      <w:lvlJc w:val="left"/>
      <w:pPr>
        <w:ind w:left="0" w:firstLine="0"/>
      </w:pPr>
    </w:lvl>
  </w:abstractNum>
  <w:abstractNum w:abstractNumId="14">
    <w:nsid w:val="669B0D3D"/>
    <w:multiLevelType w:val="singleLevel"/>
    <w:tmpl w:val="669B0D3D"/>
    <w:lvl w:ilvl="0" w:tentative="0">
      <w:start w:val="1"/>
      <w:numFmt w:val="decimal"/>
      <w:suff w:val="nothing"/>
      <w:lvlText w:val="%1．"/>
      <w:lvlJc w:val="left"/>
      <w:pPr>
        <w:ind w:left="0" w:firstLine="0"/>
      </w:pPr>
    </w:lvl>
  </w:abstractNum>
  <w:abstractNum w:abstractNumId="15">
    <w:nsid w:val="67613A18"/>
    <w:multiLevelType w:val="multilevel"/>
    <w:tmpl w:val="67613A18"/>
    <w:lvl w:ilvl="0" w:tentative="0">
      <w:start w:val="1"/>
      <w:numFmt w:val="decimal"/>
      <w:lvlText w:val="%1"/>
      <w:lvlJc w:val="left"/>
      <w:pPr>
        <w:ind w:left="420" w:hanging="420"/>
      </w:pPr>
      <w:rPr>
        <w:rFonts w:hint="default"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0CD4430"/>
    <w:multiLevelType w:val="singleLevel"/>
    <w:tmpl w:val="70CD4430"/>
    <w:lvl w:ilvl="0" w:tentative="0">
      <w:start w:val="1"/>
      <w:numFmt w:val="chineseCountingThousand"/>
      <w:suff w:val="nothing"/>
      <w:lvlText w:val="%1、"/>
      <w:lvlJc w:val="left"/>
      <w:pPr>
        <w:ind w:left="0" w:firstLine="0"/>
      </w:pPr>
    </w:lvl>
  </w:abstractNum>
  <w:abstractNum w:abstractNumId="17">
    <w:nsid w:val="76F44D31"/>
    <w:multiLevelType w:val="multilevel"/>
    <w:tmpl w:val="76F44D31"/>
    <w:lvl w:ilvl="0" w:tentative="0">
      <w:start w:val="1"/>
      <w:numFmt w:val="decimal"/>
      <w:lvlText w:val="%1"/>
      <w:lvlJc w:val="left"/>
      <w:pPr>
        <w:ind w:left="420" w:hanging="420"/>
      </w:pPr>
      <w:rPr>
        <w:rFonts w:hint="default"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BD569ED"/>
    <w:multiLevelType w:val="singleLevel"/>
    <w:tmpl w:val="7BD569ED"/>
    <w:lvl w:ilvl="0" w:tentative="0">
      <w:start w:val="1"/>
      <w:numFmt w:val="decimal"/>
      <w:suff w:val="nothing"/>
      <w:lvlText w:val="（%1）"/>
      <w:lvlJc w:val="left"/>
      <w:pPr>
        <w:ind w:left="0" w:firstLine="0"/>
      </w:pPr>
    </w:lvl>
  </w:abstractNum>
  <w:num w:numId="1">
    <w:abstractNumId w:val="16"/>
  </w:num>
  <w:num w:numId="2">
    <w:abstractNumId w:val="17"/>
  </w:num>
  <w:num w:numId="3">
    <w:abstractNumId w:val="14"/>
  </w:num>
  <w:num w:numId="4">
    <w:abstractNumId w:val="10"/>
  </w:num>
  <w:num w:numId="5">
    <w:abstractNumId w:val="6"/>
  </w:num>
  <w:num w:numId="6">
    <w:abstractNumId w:val="15"/>
  </w:num>
  <w:num w:numId="7">
    <w:abstractNumId w:val="0"/>
  </w:num>
  <w:num w:numId="8">
    <w:abstractNumId w:val="1"/>
  </w:num>
  <w:num w:numId="9">
    <w:abstractNumId w:val="13"/>
  </w:num>
  <w:num w:numId="10">
    <w:abstractNumId w:val="3"/>
  </w:num>
  <w:num w:numId="11">
    <w:abstractNumId w:val="3"/>
    <w:lvlOverride w:ilvl="0">
      <w:lvl w:ilvl="0" w:tentative="1">
        <w:start w:val="2"/>
        <w:numFmt w:val="decimal"/>
        <w:suff w:val="nothing"/>
        <w:lvlText w:val="（%1）"/>
        <w:lvlJc w:val="left"/>
        <w:pPr>
          <w:ind w:left="0" w:firstLine="0"/>
        </w:pPr>
      </w:lvl>
    </w:lvlOverride>
  </w:num>
  <w:num w:numId="12">
    <w:abstractNumId w:val="11"/>
  </w:num>
  <w:num w:numId="13">
    <w:abstractNumId w:val="5"/>
  </w:num>
  <w:num w:numId="14">
    <w:abstractNumId w:val="7"/>
  </w:num>
  <w:num w:numId="15">
    <w:abstractNumId w:val="18"/>
  </w:num>
  <w:num w:numId="16">
    <w:abstractNumId w:val="9"/>
  </w:num>
  <w:num w:numId="17">
    <w:abstractNumId w:val="4"/>
  </w:num>
  <w:num w:numId="18">
    <w:abstractNumId w:val="8"/>
  </w:num>
  <w:num w:numId="19">
    <w:abstractNumId w:val="12"/>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yNzliN2YwOGViYTlmODVjZmQ1OWMwZGEzYzJlMTMifQ=="/>
  </w:docVars>
  <w:rsids>
    <w:rsidRoot w:val="001D5647"/>
    <w:rsid w:val="00006A4E"/>
    <w:rsid w:val="00022E50"/>
    <w:rsid w:val="00032AB8"/>
    <w:rsid w:val="00033CB9"/>
    <w:rsid w:val="00034170"/>
    <w:rsid w:val="00034505"/>
    <w:rsid w:val="00035640"/>
    <w:rsid w:val="00036885"/>
    <w:rsid w:val="00041239"/>
    <w:rsid w:val="00041E17"/>
    <w:rsid w:val="000453F1"/>
    <w:rsid w:val="000601BE"/>
    <w:rsid w:val="00061453"/>
    <w:rsid w:val="000641EC"/>
    <w:rsid w:val="00082DA9"/>
    <w:rsid w:val="000869C0"/>
    <w:rsid w:val="00090C95"/>
    <w:rsid w:val="00094552"/>
    <w:rsid w:val="00094F83"/>
    <w:rsid w:val="00095357"/>
    <w:rsid w:val="000956A7"/>
    <w:rsid w:val="0009799D"/>
    <w:rsid w:val="000A67C5"/>
    <w:rsid w:val="000C0582"/>
    <w:rsid w:val="000C2252"/>
    <w:rsid w:val="000C400D"/>
    <w:rsid w:val="000C77A2"/>
    <w:rsid w:val="000D0DF7"/>
    <w:rsid w:val="000D5DE4"/>
    <w:rsid w:val="000D7993"/>
    <w:rsid w:val="000E04FA"/>
    <w:rsid w:val="000E0FE4"/>
    <w:rsid w:val="000F0D8D"/>
    <w:rsid w:val="000F2E38"/>
    <w:rsid w:val="000F4F0E"/>
    <w:rsid w:val="000F5ACA"/>
    <w:rsid w:val="000F7E82"/>
    <w:rsid w:val="001016E9"/>
    <w:rsid w:val="001070B1"/>
    <w:rsid w:val="00113755"/>
    <w:rsid w:val="00113F52"/>
    <w:rsid w:val="0011700B"/>
    <w:rsid w:val="0011790B"/>
    <w:rsid w:val="00121AF8"/>
    <w:rsid w:val="001278CA"/>
    <w:rsid w:val="0013072F"/>
    <w:rsid w:val="00130A9E"/>
    <w:rsid w:val="001319C9"/>
    <w:rsid w:val="0013384B"/>
    <w:rsid w:val="0013489B"/>
    <w:rsid w:val="00134906"/>
    <w:rsid w:val="001354F2"/>
    <w:rsid w:val="00137A96"/>
    <w:rsid w:val="00140ED9"/>
    <w:rsid w:val="0014100A"/>
    <w:rsid w:val="001444E1"/>
    <w:rsid w:val="00145B25"/>
    <w:rsid w:val="001546F6"/>
    <w:rsid w:val="00155A67"/>
    <w:rsid w:val="00155AE3"/>
    <w:rsid w:val="00171158"/>
    <w:rsid w:val="00173387"/>
    <w:rsid w:val="00174163"/>
    <w:rsid w:val="00174F7F"/>
    <w:rsid w:val="0018025D"/>
    <w:rsid w:val="00180D38"/>
    <w:rsid w:val="00195CC5"/>
    <w:rsid w:val="001B09E2"/>
    <w:rsid w:val="001B48D5"/>
    <w:rsid w:val="001B6495"/>
    <w:rsid w:val="001C23F5"/>
    <w:rsid w:val="001C6A4F"/>
    <w:rsid w:val="001D0986"/>
    <w:rsid w:val="001D2657"/>
    <w:rsid w:val="001D49F1"/>
    <w:rsid w:val="001D5647"/>
    <w:rsid w:val="001D7A89"/>
    <w:rsid w:val="001D7DCF"/>
    <w:rsid w:val="001E01FA"/>
    <w:rsid w:val="001E058C"/>
    <w:rsid w:val="001E256A"/>
    <w:rsid w:val="001E679F"/>
    <w:rsid w:val="001E67C2"/>
    <w:rsid w:val="001F15A3"/>
    <w:rsid w:val="001F79CA"/>
    <w:rsid w:val="00201F74"/>
    <w:rsid w:val="0020276F"/>
    <w:rsid w:val="00203D69"/>
    <w:rsid w:val="002142B1"/>
    <w:rsid w:val="002237D2"/>
    <w:rsid w:val="00223E71"/>
    <w:rsid w:val="002305E7"/>
    <w:rsid w:val="00233C03"/>
    <w:rsid w:val="00255894"/>
    <w:rsid w:val="00256425"/>
    <w:rsid w:val="00270B6F"/>
    <w:rsid w:val="0027398D"/>
    <w:rsid w:val="00284B9F"/>
    <w:rsid w:val="00292269"/>
    <w:rsid w:val="00296342"/>
    <w:rsid w:val="002A5069"/>
    <w:rsid w:val="002A6D0F"/>
    <w:rsid w:val="002A7733"/>
    <w:rsid w:val="002B3BFF"/>
    <w:rsid w:val="002B55AF"/>
    <w:rsid w:val="002C420A"/>
    <w:rsid w:val="002C48A6"/>
    <w:rsid w:val="002C6DE2"/>
    <w:rsid w:val="002C7A76"/>
    <w:rsid w:val="002D63EA"/>
    <w:rsid w:val="002D7240"/>
    <w:rsid w:val="002D77C6"/>
    <w:rsid w:val="002E54F2"/>
    <w:rsid w:val="002F2FC2"/>
    <w:rsid w:val="002F466E"/>
    <w:rsid w:val="002F57A9"/>
    <w:rsid w:val="002F5AD5"/>
    <w:rsid w:val="00300155"/>
    <w:rsid w:val="0030172C"/>
    <w:rsid w:val="00306F74"/>
    <w:rsid w:val="00310BC9"/>
    <w:rsid w:val="003122D9"/>
    <w:rsid w:val="00315C65"/>
    <w:rsid w:val="00320CBE"/>
    <w:rsid w:val="003211CC"/>
    <w:rsid w:val="00321F9D"/>
    <w:rsid w:val="00322B27"/>
    <w:rsid w:val="0032303E"/>
    <w:rsid w:val="00323B71"/>
    <w:rsid w:val="00331711"/>
    <w:rsid w:val="00333840"/>
    <w:rsid w:val="003377E6"/>
    <w:rsid w:val="003412ED"/>
    <w:rsid w:val="00342DB8"/>
    <w:rsid w:val="00342DF2"/>
    <w:rsid w:val="00343533"/>
    <w:rsid w:val="00346B8B"/>
    <w:rsid w:val="00357E35"/>
    <w:rsid w:val="00361979"/>
    <w:rsid w:val="00362602"/>
    <w:rsid w:val="00363B4C"/>
    <w:rsid w:val="003641A0"/>
    <w:rsid w:val="003710FE"/>
    <w:rsid w:val="003726B1"/>
    <w:rsid w:val="00374301"/>
    <w:rsid w:val="0037780E"/>
    <w:rsid w:val="003778CB"/>
    <w:rsid w:val="00380D3F"/>
    <w:rsid w:val="00384179"/>
    <w:rsid w:val="003850BD"/>
    <w:rsid w:val="0038575E"/>
    <w:rsid w:val="00391EBD"/>
    <w:rsid w:val="00393007"/>
    <w:rsid w:val="003942B6"/>
    <w:rsid w:val="0039676B"/>
    <w:rsid w:val="003A08DA"/>
    <w:rsid w:val="003A29DF"/>
    <w:rsid w:val="003A5A28"/>
    <w:rsid w:val="003B5BB3"/>
    <w:rsid w:val="003B750B"/>
    <w:rsid w:val="003C1D2F"/>
    <w:rsid w:val="003C25D8"/>
    <w:rsid w:val="003C4BA1"/>
    <w:rsid w:val="003C776A"/>
    <w:rsid w:val="003D000A"/>
    <w:rsid w:val="003D0134"/>
    <w:rsid w:val="003E0FD1"/>
    <w:rsid w:val="003E33BF"/>
    <w:rsid w:val="003E33CD"/>
    <w:rsid w:val="003E6A40"/>
    <w:rsid w:val="003F1B55"/>
    <w:rsid w:val="003F4F9C"/>
    <w:rsid w:val="00402CB5"/>
    <w:rsid w:val="00405F67"/>
    <w:rsid w:val="0040657D"/>
    <w:rsid w:val="00406BA2"/>
    <w:rsid w:val="00432889"/>
    <w:rsid w:val="0043289A"/>
    <w:rsid w:val="00434727"/>
    <w:rsid w:val="00435B2A"/>
    <w:rsid w:val="00451546"/>
    <w:rsid w:val="0045186E"/>
    <w:rsid w:val="00451976"/>
    <w:rsid w:val="00452A66"/>
    <w:rsid w:val="00455D22"/>
    <w:rsid w:val="00463155"/>
    <w:rsid w:val="004637F5"/>
    <w:rsid w:val="004639AB"/>
    <w:rsid w:val="00465503"/>
    <w:rsid w:val="004702B3"/>
    <w:rsid w:val="00475230"/>
    <w:rsid w:val="00475FD3"/>
    <w:rsid w:val="004776C1"/>
    <w:rsid w:val="004865BD"/>
    <w:rsid w:val="00491A13"/>
    <w:rsid w:val="00493DA8"/>
    <w:rsid w:val="00494F08"/>
    <w:rsid w:val="0049755D"/>
    <w:rsid w:val="004A0FB7"/>
    <w:rsid w:val="004A1303"/>
    <w:rsid w:val="004A1662"/>
    <w:rsid w:val="004B1D0E"/>
    <w:rsid w:val="004C0B74"/>
    <w:rsid w:val="004C12C7"/>
    <w:rsid w:val="004C3313"/>
    <w:rsid w:val="004D1823"/>
    <w:rsid w:val="004D1A82"/>
    <w:rsid w:val="004D77AD"/>
    <w:rsid w:val="004D7AA0"/>
    <w:rsid w:val="004E14E2"/>
    <w:rsid w:val="004E782C"/>
    <w:rsid w:val="004F08BC"/>
    <w:rsid w:val="004F2F32"/>
    <w:rsid w:val="005004C3"/>
    <w:rsid w:val="00500A15"/>
    <w:rsid w:val="005068B9"/>
    <w:rsid w:val="005114B2"/>
    <w:rsid w:val="00517F6D"/>
    <w:rsid w:val="00526784"/>
    <w:rsid w:val="005334D4"/>
    <w:rsid w:val="005347EF"/>
    <w:rsid w:val="005364E0"/>
    <w:rsid w:val="00543EA2"/>
    <w:rsid w:val="005443B1"/>
    <w:rsid w:val="00553024"/>
    <w:rsid w:val="00554E7A"/>
    <w:rsid w:val="00560F37"/>
    <w:rsid w:val="0056394D"/>
    <w:rsid w:val="00563BC4"/>
    <w:rsid w:val="00574AE7"/>
    <w:rsid w:val="005847AF"/>
    <w:rsid w:val="00593D12"/>
    <w:rsid w:val="00593F0D"/>
    <w:rsid w:val="00594966"/>
    <w:rsid w:val="00595E45"/>
    <w:rsid w:val="005A0639"/>
    <w:rsid w:val="005A1AB8"/>
    <w:rsid w:val="005A23F3"/>
    <w:rsid w:val="005A383E"/>
    <w:rsid w:val="005A526F"/>
    <w:rsid w:val="005B2065"/>
    <w:rsid w:val="005B463B"/>
    <w:rsid w:val="005B58E2"/>
    <w:rsid w:val="005C01B8"/>
    <w:rsid w:val="005C5022"/>
    <w:rsid w:val="005D65D6"/>
    <w:rsid w:val="005D7E44"/>
    <w:rsid w:val="005E07AF"/>
    <w:rsid w:val="005E3670"/>
    <w:rsid w:val="005E4800"/>
    <w:rsid w:val="005F11EA"/>
    <w:rsid w:val="005F1226"/>
    <w:rsid w:val="00604A2C"/>
    <w:rsid w:val="00605006"/>
    <w:rsid w:val="00605CF0"/>
    <w:rsid w:val="00616F45"/>
    <w:rsid w:val="00620303"/>
    <w:rsid w:val="00632679"/>
    <w:rsid w:val="006447C1"/>
    <w:rsid w:val="00644AED"/>
    <w:rsid w:val="00647461"/>
    <w:rsid w:val="006517AA"/>
    <w:rsid w:val="00652B5A"/>
    <w:rsid w:val="00655605"/>
    <w:rsid w:val="006558EB"/>
    <w:rsid w:val="00662E5B"/>
    <w:rsid w:val="00664600"/>
    <w:rsid w:val="00666707"/>
    <w:rsid w:val="00666DAD"/>
    <w:rsid w:val="00671784"/>
    <w:rsid w:val="006753B8"/>
    <w:rsid w:val="006762D6"/>
    <w:rsid w:val="00681B60"/>
    <w:rsid w:val="00681F76"/>
    <w:rsid w:val="006872EA"/>
    <w:rsid w:val="006908D7"/>
    <w:rsid w:val="00695918"/>
    <w:rsid w:val="006965A7"/>
    <w:rsid w:val="006A0AE7"/>
    <w:rsid w:val="006A0DAF"/>
    <w:rsid w:val="006A4D66"/>
    <w:rsid w:val="006A63E6"/>
    <w:rsid w:val="006B347C"/>
    <w:rsid w:val="006B5EED"/>
    <w:rsid w:val="006B64EF"/>
    <w:rsid w:val="006C1367"/>
    <w:rsid w:val="006C2B7F"/>
    <w:rsid w:val="006C2F06"/>
    <w:rsid w:val="006D6DF1"/>
    <w:rsid w:val="006D7587"/>
    <w:rsid w:val="006E13C0"/>
    <w:rsid w:val="006E2E61"/>
    <w:rsid w:val="006E5E80"/>
    <w:rsid w:val="006F36BA"/>
    <w:rsid w:val="006F57A6"/>
    <w:rsid w:val="006F6D96"/>
    <w:rsid w:val="0070073D"/>
    <w:rsid w:val="00700EF7"/>
    <w:rsid w:val="00702D5C"/>
    <w:rsid w:val="007057B0"/>
    <w:rsid w:val="00710422"/>
    <w:rsid w:val="00715434"/>
    <w:rsid w:val="0072067B"/>
    <w:rsid w:val="00723203"/>
    <w:rsid w:val="00725086"/>
    <w:rsid w:val="007264D3"/>
    <w:rsid w:val="00730205"/>
    <w:rsid w:val="007316F5"/>
    <w:rsid w:val="00733F45"/>
    <w:rsid w:val="00735F30"/>
    <w:rsid w:val="007411AD"/>
    <w:rsid w:val="00741BD8"/>
    <w:rsid w:val="00752817"/>
    <w:rsid w:val="007567F7"/>
    <w:rsid w:val="00762DFB"/>
    <w:rsid w:val="007774A4"/>
    <w:rsid w:val="007825B4"/>
    <w:rsid w:val="00782D84"/>
    <w:rsid w:val="0079389B"/>
    <w:rsid w:val="007962B5"/>
    <w:rsid w:val="007A270E"/>
    <w:rsid w:val="007A3A42"/>
    <w:rsid w:val="007A69FD"/>
    <w:rsid w:val="007B32B8"/>
    <w:rsid w:val="007B702B"/>
    <w:rsid w:val="007D2447"/>
    <w:rsid w:val="007D7285"/>
    <w:rsid w:val="007D7EEE"/>
    <w:rsid w:val="007E0BF2"/>
    <w:rsid w:val="007E1607"/>
    <w:rsid w:val="007E4C6E"/>
    <w:rsid w:val="007F011C"/>
    <w:rsid w:val="007F1D9C"/>
    <w:rsid w:val="007F41ED"/>
    <w:rsid w:val="007F4D1E"/>
    <w:rsid w:val="007F5BB6"/>
    <w:rsid w:val="00802FA7"/>
    <w:rsid w:val="0081104F"/>
    <w:rsid w:val="00812DC2"/>
    <w:rsid w:val="0081430C"/>
    <w:rsid w:val="00824BA0"/>
    <w:rsid w:val="00826707"/>
    <w:rsid w:val="00833B80"/>
    <w:rsid w:val="008370ED"/>
    <w:rsid w:val="00837627"/>
    <w:rsid w:val="008414D8"/>
    <w:rsid w:val="00844256"/>
    <w:rsid w:val="0084479B"/>
    <w:rsid w:val="008457A4"/>
    <w:rsid w:val="008457A6"/>
    <w:rsid w:val="00846C0E"/>
    <w:rsid w:val="008521C5"/>
    <w:rsid w:val="0085563D"/>
    <w:rsid w:val="00855C99"/>
    <w:rsid w:val="008579D3"/>
    <w:rsid w:val="00857DEC"/>
    <w:rsid w:val="00862153"/>
    <w:rsid w:val="0086673F"/>
    <w:rsid w:val="00866962"/>
    <w:rsid w:val="00873649"/>
    <w:rsid w:val="008745DA"/>
    <w:rsid w:val="00875017"/>
    <w:rsid w:val="00882D9D"/>
    <w:rsid w:val="00885F1C"/>
    <w:rsid w:val="008A583C"/>
    <w:rsid w:val="008A7A9B"/>
    <w:rsid w:val="008B187E"/>
    <w:rsid w:val="008C29FF"/>
    <w:rsid w:val="008C3EB3"/>
    <w:rsid w:val="008C4518"/>
    <w:rsid w:val="008E07AE"/>
    <w:rsid w:val="008E39F3"/>
    <w:rsid w:val="008E468A"/>
    <w:rsid w:val="008E5673"/>
    <w:rsid w:val="008E6D3C"/>
    <w:rsid w:val="008F0865"/>
    <w:rsid w:val="008F0B36"/>
    <w:rsid w:val="008F103E"/>
    <w:rsid w:val="008F11BE"/>
    <w:rsid w:val="008F1A3B"/>
    <w:rsid w:val="008F230D"/>
    <w:rsid w:val="008F4840"/>
    <w:rsid w:val="008F52E6"/>
    <w:rsid w:val="008F5C13"/>
    <w:rsid w:val="00901DA1"/>
    <w:rsid w:val="00904187"/>
    <w:rsid w:val="009118B3"/>
    <w:rsid w:val="00913D2D"/>
    <w:rsid w:val="00913DEA"/>
    <w:rsid w:val="00916FF6"/>
    <w:rsid w:val="009210AB"/>
    <w:rsid w:val="009227F5"/>
    <w:rsid w:val="00925A3D"/>
    <w:rsid w:val="0092727C"/>
    <w:rsid w:val="009300FA"/>
    <w:rsid w:val="00930E2A"/>
    <w:rsid w:val="009314A3"/>
    <w:rsid w:val="00933D8C"/>
    <w:rsid w:val="009357B4"/>
    <w:rsid w:val="00941CA6"/>
    <w:rsid w:val="009444DD"/>
    <w:rsid w:val="00944D22"/>
    <w:rsid w:val="00945CE1"/>
    <w:rsid w:val="009468A2"/>
    <w:rsid w:val="00946C27"/>
    <w:rsid w:val="009512AE"/>
    <w:rsid w:val="009516D2"/>
    <w:rsid w:val="00955FBE"/>
    <w:rsid w:val="009562A0"/>
    <w:rsid w:val="00966DC9"/>
    <w:rsid w:val="00966F1F"/>
    <w:rsid w:val="0097529E"/>
    <w:rsid w:val="009757C8"/>
    <w:rsid w:val="00982360"/>
    <w:rsid w:val="00982A15"/>
    <w:rsid w:val="0098386A"/>
    <w:rsid w:val="00985F2F"/>
    <w:rsid w:val="00996FE8"/>
    <w:rsid w:val="009A3C72"/>
    <w:rsid w:val="009A4978"/>
    <w:rsid w:val="009A6CF5"/>
    <w:rsid w:val="009B27F5"/>
    <w:rsid w:val="009B5556"/>
    <w:rsid w:val="009C02C6"/>
    <w:rsid w:val="009C4636"/>
    <w:rsid w:val="009C6FB7"/>
    <w:rsid w:val="009C7654"/>
    <w:rsid w:val="009D07D1"/>
    <w:rsid w:val="009D0D62"/>
    <w:rsid w:val="009E3433"/>
    <w:rsid w:val="009E4670"/>
    <w:rsid w:val="009E568A"/>
    <w:rsid w:val="009E5CB9"/>
    <w:rsid w:val="009F5D2B"/>
    <w:rsid w:val="00A011D7"/>
    <w:rsid w:val="00A10CE2"/>
    <w:rsid w:val="00A1166A"/>
    <w:rsid w:val="00A229FC"/>
    <w:rsid w:val="00A277CC"/>
    <w:rsid w:val="00A31533"/>
    <w:rsid w:val="00A400FD"/>
    <w:rsid w:val="00A401BC"/>
    <w:rsid w:val="00A42CAA"/>
    <w:rsid w:val="00A44BFD"/>
    <w:rsid w:val="00A5624A"/>
    <w:rsid w:val="00A56AEC"/>
    <w:rsid w:val="00A5771E"/>
    <w:rsid w:val="00A66038"/>
    <w:rsid w:val="00A66059"/>
    <w:rsid w:val="00A66F41"/>
    <w:rsid w:val="00A73087"/>
    <w:rsid w:val="00A82C23"/>
    <w:rsid w:val="00A86CF8"/>
    <w:rsid w:val="00A87A91"/>
    <w:rsid w:val="00A921F9"/>
    <w:rsid w:val="00A92865"/>
    <w:rsid w:val="00A94710"/>
    <w:rsid w:val="00AA0BB5"/>
    <w:rsid w:val="00AA468B"/>
    <w:rsid w:val="00AA5B8A"/>
    <w:rsid w:val="00AB1EB7"/>
    <w:rsid w:val="00AB5BD4"/>
    <w:rsid w:val="00AB7FC4"/>
    <w:rsid w:val="00AC1652"/>
    <w:rsid w:val="00AC178B"/>
    <w:rsid w:val="00AD520B"/>
    <w:rsid w:val="00AE1C20"/>
    <w:rsid w:val="00AE3767"/>
    <w:rsid w:val="00AE5348"/>
    <w:rsid w:val="00AF1136"/>
    <w:rsid w:val="00AF299F"/>
    <w:rsid w:val="00B02529"/>
    <w:rsid w:val="00B06882"/>
    <w:rsid w:val="00B12AE7"/>
    <w:rsid w:val="00B144D9"/>
    <w:rsid w:val="00B1686F"/>
    <w:rsid w:val="00B208E5"/>
    <w:rsid w:val="00B2159A"/>
    <w:rsid w:val="00B243C3"/>
    <w:rsid w:val="00B31D49"/>
    <w:rsid w:val="00B355D8"/>
    <w:rsid w:val="00B35D95"/>
    <w:rsid w:val="00B40180"/>
    <w:rsid w:val="00B41564"/>
    <w:rsid w:val="00B41E29"/>
    <w:rsid w:val="00B44DDA"/>
    <w:rsid w:val="00B474AE"/>
    <w:rsid w:val="00B50582"/>
    <w:rsid w:val="00B51F70"/>
    <w:rsid w:val="00B52CB7"/>
    <w:rsid w:val="00B5316A"/>
    <w:rsid w:val="00B54673"/>
    <w:rsid w:val="00B54EC3"/>
    <w:rsid w:val="00B555B6"/>
    <w:rsid w:val="00B634EB"/>
    <w:rsid w:val="00B63C43"/>
    <w:rsid w:val="00B66835"/>
    <w:rsid w:val="00B669CD"/>
    <w:rsid w:val="00B674DB"/>
    <w:rsid w:val="00B71B36"/>
    <w:rsid w:val="00B71E8E"/>
    <w:rsid w:val="00B84487"/>
    <w:rsid w:val="00B8590A"/>
    <w:rsid w:val="00B86608"/>
    <w:rsid w:val="00B87FC9"/>
    <w:rsid w:val="00B92A8F"/>
    <w:rsid w:val="00B952FD"/>
    <w:rsid w:val="00BA3804"/>
    <w:rsid w:val="00BA41DD"/>
    <w:rsid w:val="00BA5443"/>
    <w:rsid w:val="00BA620E"/>
    <w:rsid w:val="00BB03A5"/>
    <w:rsid w:val="00BB1655"/>
    <w:rsid w:val="00BB2BBA"/>
    <w:rsid w:val="00BB3B85"/>
    <w:rsid w:val="00BB452A"/>
    <w:rsid w:val="00BC2BC5"/>
    <w:rsid w:val="00BC2D88"/>
    <w:rsid w:val="00BC5EED"/>
    <w:rsid w:val="00BC7322"/>
    <w:rsid w:val="00BC75E9"/>
    <w:rsid w:val="00BD3539"/>
    <w:rsid w:val="00BD3805"/>
    <w:rsid w:val="00BD4C2F"/>
    <w:rsid w:val="00BD6961"/>
    <w:rsid w:val="00BE0183"/>
    <w:rsid w:val="00BE4F8E"/>
    <w:rsid w:val="00BE5D0F"/>
    <w:rsid w:val="00BF0431"/>
    <w:rsid w:val="00BF6A23"/>
    <w:rsid w:val="00C01F2D"/>
    <w:rsid w:val="00C0372B"/>
    <w:rsid w:val="00C105F8"/>
    <w:rsid w:val="00C108B6"/>
    <w:rsid w:val="00C21859"/>
    <w:rsid w:val="00C223F0"/>
    <w:rsid w:val="00C22705"/>
    <w:rsid w:val="00C230E5"/>
    <w:rsid w:val="00C269FE"/>
    <w:rsid w:val="00C3160F"/>
    <w:rsid w:val="00C31BB4"/>
    <w:rsid w:val="00C34584"/>
    <w:rsid w:val="00C34946"/>
    <w:rsid w:val="00C377F5"/>
    <w:rsid w:val="00C4043B"/>
    <w:rsid w:val="00C41ACA"/>
    <w:rsid w:val="00C4201A"/>
    <w:rsid w:val="00C50926"/>
    <w:rsid w:val="00C559E4"/>
    <w:rsid w:val="00C55A7A"/>
    <w:rsid w:val="00C62683"/>
    <w:rsid w:val="00C635A2"/>
    <w:rsid w:val="00C67936"/>
    <w:rsid w:val="00C72DAF"/>
    <w:rsid w:val="00C72FE3"/>
    <w:rsid w:val="00C74944"/>
    <w:rsid w:val="00C8019C"/>
    <w:rsid w:val="00C8685F"/>
    <w:rsid w:val="00C9566D"/>
    <w:rsid w:val="00C962EF"/>
    <w:rsid w:val="00CA1561"/>
    <w:rsid w:val="00CA15F7"/>
    <w:rsid w:val="00CA2BEE"/>
    <w:rsid w:val="00CA2EEF"/>
    <w:rsid w:val="00CB0E21"/>
    <w:rsid w:val="00CC23B3"/>
    <w:rsid w:val="00CD27B0"/>
    <w:rsid w:val="00CE4083"/>
    <w:rsid w:val="00CE4983"/>
    <w:rsid w:val="00D0118C"/>
    <w:rsid w:val="00D03BEF"/>
    <w:rsid w:val="00D055B2"/>
    <w:rsid w:val="00D0599F"/>
    <w:rsid w:val="00D06784"/>
    <w:rsid w:val="00D0783C"/>
    <w:rsid w:val="00D07C1C"/>
    <w:rsid w:val="00D15528"/>
    <w:rsid w:val="00D17783"/>
    <w:rsid w:val="00D17BDB"/>
    <w:rsid w:val="00D21A71"/>
    <w:rsid w:val="00D25A2A"/>
    <w:rsid w:val="00D26435"/>
    <w:rsid w:val="00D27997"/>
    <w:rsid w:val="00D30162"/>
    <w:rsid w:val="00D32109"/>
    <w:rsid w:val="00D3299E"/>
    <w:rsid w:val="00D333E1"/>
    <w:rsid w:val="00D35B1C"/>
    <w:rsid w:val="00D35D10"/>
    <w:rsid w:val="00D41904"/>
    <w:rsid w:val="00D458F7"/>
    <w:rsid w:val="00D459D5"/>
    <w:rsid w:val="00D53495"/>
    <w:rsid w:val="00D611D9"/>
    <w:rsid w:val="00D6675E"/>
    <w:rsid w:val="00D70C11"/>
    <w:rsid w:val="00D737DF"/>
    <w:rsid w:val="00D746DE"/>
    <w:rsid w:val="00D77400"/>
    <w:rsid w:val="00D91C97"/>
    <w:rsid w:val="00D93EE8"/>
    <w:rsid w:val="00D95B2B"/>
    <w:rsid w:val="00DA2DED"/>
    <w:rsid w:val="00DA324B"/>
    <w:rsid w:val="00DA4725"/>
    <w:rsid w:val="00DA58A8"/>
    <w:rsid w:val="00DA6294"/>
    <w:rsid w:val="00DB12BE"/>
    <w:rsid w:val="00DB2E4F"/>
    <w:rsid w:val="00DB3C2F"/>
    <w:rsid w:val="00DB4AC5"/>
    <w:rsid w:val="00DB672C"/>
    <w:rsid w:val="00DC29F8"/>
    <w:rsid w:val="00DC484D"/>
    <w:rsid w:val="00DC48FB"/>
    <w:rsid w:val="00DC6F8D"/>
    <w:rsid w:val="00DD4736"/>
    <w:rsid w:val="00DD66E5"/>
    <w:rsid w:val="00DE0F05"/>
    <w:rsid w:val="00DE18D3"/>
    <w:rsid w:val="00DE415A"/>
    <w:rsid w:val="00DF25A4"/>
    <w:rsid w:val="00E00FB2"/>
    <w:rsid w:val="00E045CA"/>
    <w:rsid w:val="00E04785"/>
    <w:rsid w:val="00E04C27"/>
    <w:rsid w:val="00E06319"/>
    <w:rsid w:val="00E066B0"/>
    <w:rsid w:val="00E15623"/>
    <w:rsid w:val="00E17A7E"/>
    <w:rsid w:val="00E2470A"/>
    <w:rsid w:val="00E2710A"/>
    <w:rsid w:val="00E337F9"/>
    <w:rsid w:val="00E34583"/>
    <w:rsid w:val="00E3490B"/>
    <w:rsid w:val="00E435C9"/>
    <w:rsid w:val="00E4417D"/>
    <w:rsid w:val="00E453A5"/>
    <w:rsid w:val="00E50005"/>
    <w:rsid w:val="00E513FD"/>
    <w:rsid w:val="00E53AE2"/>
    <w:rsid w:val="00E56414"/>
    <w:rsid w:val="00E571DC"/>
    <w:rsid w:val="00E57346"/>
    <w:rsid w:val="00E608CF"/>
    <w:rsid w:val="00E60E01"/>
    <w:rsid w:val="00E65731"/>
    <w:rsid w:val="00E6613F"/>
    <w:rsid w:val="00E7298A"/>
    <w:rsid w:val="00E7335C"/>
    <w:rsid w:val="00E9290A"/>
    <w:rsid w:val="00E94958"/>
    <w:rsid w:val="00E9609C"/>
    <w:rsid w:val="00EA0658"/>
    <w:rsid w:val="00EA090E"/>
    <w:rsid w:val="00EA77A4"/>
    <w:rsid w:val="00EB1BEE"/>
    <w:rsid w:val="00EB4460"/>
    <w:rsid w:val="00EC2830"/>
    <w:rsid w:val="00EC4C4C"/>
    <w:rsid w:val="00EC72EF"/>
    <w:rsid w:val="00ED242F"/>
    <w:rsid w:val="00ED3041"/>
    <w:rsid w:val="00ED6F25"/>
    <w:rsid w:val="00ED78F8"/>
    <w:rsid w:val="00EE2C6E"/>
    <w:rsid w:val="00EE46F8"/>
    <w:rsid w:val="00EF5415"/>
    <w:rsid w:val="00EF6A4E"/>
    <w:rsid w:val="00EF6AFA"/>
    <w:rsid w:val="00F005CE"/>
    <w:rsid w:val="00F00EB4"/>
    <w:rsid w:val="00F0137D"/>
    <w:rsid w:val="00F01768"/>
    <w:rsid w:val="00F01C82"/>
    <w:rsid w:val="00F05EC3"/>
    <w:rsid w:val="00F07157"/>
    <w:rsid w:val="00F124F6"/>
    <w:rsid w:val="00F13B25"/>
    <w:rsid w:val="00F15CA3"/>
    <w:rsid w:val="00F226F5"/>
    <w:rsid w:val="00F25DAF"/>
    <w:rsid w:val="00F42FD0"/>
    <w:rsid w:val="00F43336"/>
    <w:rsid w:val="00F47A6B"/>
    <w:rsid w:val="00F50F8F"/>
    <w:rsid w:val="00F51377"/>
    <w:rsid w:val="00F52B9D"/>
    <w:rsid w:val="00F545F2"/>
    <w:rsid w:val="00F60CD2"/>
    <w:rsid w:val="00F60E82"/>
    <w:rsid w:val="00F744D5"/>
    <w:rsid w:val="00F753FF"/>
    <w:rsid w:val="00F75BCD"/>
    <w:rsid w:val="00F85D6D"/>
    <w:rsid w:val="00F900AA"/>
    <w:rsid w:val="00F9249C"/>
    <w:rsid w:val="00F9327D"/>
    <w:rsid w:val="00F93779"/>
    <w:rsid w:val="00F9541E"/>
    <w:rsid w:val="00F97EBB"/>
    <w:rsid w:val="00FB03B7"/>
    <w:rsid w:val="00FB0F5D"/>
    <w:rsid w:val="00FB5FB5"/>
    <w:rsid w:val="00FC1C1C"/>
    <w:rsid w:val="00FC40E3"/>
    <w:rsid w:val="00FE649A"/>
    <w:rsid w:val="00FF1CEF"/>
    <w:rsid w:val="071F2612"/>
    <w:rsid w:val="09242161"/>
    <w:rsid w:val="0994433E"/>
    <w:rsid w:val="0F551FA3"/>
    <w:rsid w:val="104A7E16"/>
    <w:rsid w:val="11EC29A4"/>
    <w:rsid w:val="11F37546"/>
    <w:rsid w:val="127C300E"/>
    <w:rsid w:val="1BCB0FDD"/>
    <w:rsid w:val="23496F3C"/>
    <w:rsid w:val="29490955"/>
    <w:rsid w:val="2A2E29E8"/>
    <w:rsid w:val="2C5702B0"/>
    <w:rsid w:val="3CA803D8"/>
    <w:rsid w:val="3E2B3ACE"/>
    <w:rsid w:val="44A72F7D"/>
    <w:rsid w:val="47C02B3E"/>
    <w:rsid w:val="506F1764"/>
    <w:rsid w:val="5303402D"/>
    <w:rsid w:val="53CE651E"/>
    <w:rsid w:val="576C677A"/>
    <w:rsid w:val="5BAA5AC3"/>
    <w:rsid w:val="5CA242D7"/>
    <w:rsid w:val="5D2A4D65"/>
    <w:rsid w:val="647B7FFD"/>
    <w:rsid w:val="6B7C465A"/>
    <w:rsid w:val="6BB87218"/>
    <w:rsid w:val="6FA8125A"/>
    <w:rsid w:val="74A470FC"/>
    <w:rsid w:val="79851F99"/>
    <w:rsid w:val="7C1A7CA3"/>
    <w:rsid w:val="7EFF7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paragraph" w:styleId="3">
    <w:name w:val="heading 4"/>
    <w:basedOn w:val="1"/>
    <w:next w:val="1"/>
    <w:link w:val="22"/>
    <w:unhideWhenUsed/>
    <w:qFormat/>
    <w:uiPriority w:val="9"/>
    <w:pPr>
      <w:spacing w:beforeAutospacing="1" w:afterAutospacing="1"/>
      <w:jc w:val="left"/>
      <w:outlineLvl w:val="3"/>
    </w:pPr>
    <w:rPr>
      <w:rFonts w:hint="eastAsia" w:ascii="宋体" w:hAnsi="宋体" w:eastAsia="宋体" w:cs="Times New Roman"/>
      <w:b/>
      <w:bCs/>
      <w:kern w:val="0"/>
      <w:sz w:val="24"/>
      <w:szCs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unhideWhenUsed/>
    <w:qFormat/>
    <w:uiPriority w:val="99"/>
    <w:pPr>
      <w:jc w:val="left"/>
    </w:pPr>
  </w:style>
  <w:style w:type="paragraph" w:styleId="5">
    <w:name w:val="Body Text"/>
    <w:basedOn w:val="1"/>
    <w:qFormat/>
    <w:uiPriority w:val="0"/>
    <w:pPr>
      <w:spacing w:after="120"/>
    </w:pPr>
  </w:style>
  <w:style w:type="paragraph" w:styleId="6">
    <w:name w:val="Balloon Text"/>
    <w:basedOn w:val="1"/>
    <w:link w:val="19"/>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sz w:val="24"/>
    </w:rPr>
  </w:style>
  <w:style w:type="paragraph" w:styleId="10">
    <w:name w:val="annotation subject"/>
    <w:basedOn w:val="4"/>
    <w:next w:val="4"/>
    <w:link w:val="21"/>
    <w:semiHidden/>
    <w:unhideWhenUsed/>
    <w:qFormat/>
    <w:uiPriority w:val="99"/>
    <w:rPr>
      <w:b/>
      <w:bCs/>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character" w:styleId="15">
    <w:name w:val="annotation reference"/>
    <w:basedOn w:val="13"/>
    <w:semiHidden/>
    <w:unhideWhenUsed/>
    <w:qFormat/>
    <w:uiPriority w:val="99"/>
    <w:rPr>
      <w:sz w:val="21"/>
      <w:szCs w:val="21"/>
    </w:rPr>
  </w:style>
  <w:style w:type="paragraph" w:styleId="16">
    <w:name w:val="List Paragraph"/>
    <w:basedOn w:val="1"/>
    <w:qFormat/>
    <w:uiPriority w:val="34"/>
    <w:pPr>
      <w:ind w:firstLine="420" w:firstLineChars="200"/>
    </w:pPr>
  </w:style>
  <w:style w:type="character" w:customStyle="1" w:styleId="17">
    <w:name w:val="页眉 字符"/>
    <w:basedOn w:val="13"/>
    <w:link w:val="8"/>
    <w:qFormat/>
    <w:uiPriority w:val="99"/>
    <w:rPr>
      <w:sz w:val="18"/>
      <w:szCs w:val="18"/>
    </w:rPr>
  </w:style>
  <w:style w:type="character" w:customStyle="1" w:styleId="18">
    <w:name w:val="页脚 字符"/>
    <w:basedOn w:val="13"/>
    <w:link w:val="7"/>
    <w:qFormat/>
    <w:uiPriority w:val="99"/>
    <w:rPr>
      <w:sz w:val="18"/>
      <w:szCs w:val="18"/>
    </w:rPr>
  </w:style>
  <w:style w:type="character" w:customStyle="1" w:styleId="19">
    <w:name w:val="批注框文本 字符"/>
    <w:basedOn w:val="13"/>
    <w:link w:val="6"/>
    <w:semiHidden/>
    <w:qFormat/>
    <w:uiPriority w:val="99"/>
    <w:rPr>
      <w:sz w:val="18"/>
      <w:szCs w:val="18"/>
    </w:rPr>
  </w:style>
  <w:style w:type="character" w:customStyle="1" w:styleId="20">
    <w:name w:val="批注文字 字符"/>
    <w:basedOn w:val="13"/>
    <w:link w:val="4"/>
    <w:qFormat/>
    <w:uiPriority w:val="99"/>
  </w:style>
  <w:style w:type="character" w:customStyle="1" w:styleId="21">
    <w:name w:val="批注主题 字符"/>
    <w:basedOn w:val="20"/>
    <w:link w:val="10"/>
    <w:semiHidden/>
    <w:qFormat/>
    <w:uiPriority w:val="99"/>
    <w:rPr>
      <w:b/>
      <w:bCs/>
    </w:rPr>
  </w:style>
  <w:style w:type="character" w:customStyle="1" w:styleId="22">
    <w:name w:val="标题 4 字符"/>
    <w:basedOn w:val="13"/>
    <w:link w:val="3"/>
    <w:qFormat/>
    <w:uiPriority w:val="9"/>
    <w:rPr>
      <w:rFonts w:ascii="宋体" w:hAnsi="宋体"/>
      <w:b/>
      <w:bCs/>
      <w:sz w:val="24"/>
      <w:szCs w:val="24"/>
    </w:rPr>
  </w:style>
  <w:style w:type="paragraph" w:customStyle="1" w:styleId="23">
    <w:name w:val="ds-markdown-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3476</Words>
  <Characters>3583</Characters>
  <Lines>34</Lines>
  <Paragraphs>9</Paragraphs>
  <TotalTime>13</TotalTime>
  <ScaleCrop>false</ScaleCrop>
  <LinksUpToDate>false</LinksUpToDate>
  <CharactersWithSpaces>3605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2025-04-28T01:25:00Z</dcterms:created>
  <dc:creator>崇 王</dc:creator>
  <cp:lastModifiedBy>强哥哥</cp:lastModifiedBy>
  <cp:lastPrinted>2025-04-22T02:23:00Z</cp:lastPrinted>
  <dcterms:modified xsi:type="dcterms:W3CDTF">2025-05-07T09:12:21Z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6B2ED318F42C4C098C7BAC1767115D0D_13</vt:lpwstr>
  </property>
  <property fmtid="{D5CDD505-2E9C-101B-9397-08002B2CF9AE}" pid="4" name="KSOTemplateDocerSaveRecord">
    <vt:lpwstr>eyJoZGlkIjoiNTBkMjk0NGI3NmRlOGI2ZmFjM2ZmZWZjMjVhMjkwMDciLCJ1c2VySWQiOiIyOTA2NjE4MjAifQ==</vt:lpwstr>
  </property>
</Properties>
</file>