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41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询价结果确认</w:t>
            </w:r>
          </w:p>
        </w:tc>
        <w:tc>
          <w:tcPr>
            <w:tcW w:w="41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询价结果出来后，预中标供应商1天内提供样品，采购单位对样品验收合格后确认询价结果并签订合同，如果预中标供应商所投标商品不满足招标要求、样品不合格或无法指定时间内提供样品，采购方有权取消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41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提供的应标商品必须响应招标要求，不得以任何理由更改配置，谢绝恶意低价、不按要求报价、中标后无故放弃、不按合同履行等违约行为，对出现此类行为的预中标供应商，将根据在线询价违约处理规则，依法依规提请政采云平台进行处罚，并计入政府采购诚信档案。商品性能及功能不能达到采购要求的，视为虚假响应采购要求，将列入政府采购黑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1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供货要求</w:t>
            </w:r>
          </w:p>
        </w:tc>
        <w:tc>
          <w:tcPr>
            <w:tcW w:w="41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签订合同后5日内日全部供货完毕，免费送货上门测试。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投标商的投标总价包含货物到甲方（采购单位）或甲方（采购单位）指定用户。包括包装费、运输费、装卸费、保险费、税费、出现质量问题24小时内必须响应及更换等，甲方不再承担其他任何费用。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4E831E32"/>
    <w:rsid w:val="1EFC5F0C"/>
    <w:rsid w:val="4E831E32"/>
    <w:rsid w:val="684B2DCF"/>
    <w:rsid w:val="6A6F1D09"/>
    <w:rsid w:val="6FD2681D"/>
    <w:rsid w:val="7A1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2024-04-02T03:08:00Z</dcterms:created>
  <dc:creator>田凤娟</dc:creator>
  <cp:lastModifiedBy>umar </cp:lastModifiedBy>
  <dcterms:modified xsi:type="dcterms:W3CDTF">2024-04-07T11:19:44Z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592E07B3F02D41DC90BC980759294B1E_11</vt:lpwstr>
  </property>
</Properties>
</file>