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8D089E">
      <w:pPr>
        <w:jc w:val="center"/>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吐鲁番市中等职业技术学校后勤</w:t>
      </w:r>
      <w:r>
        <w:rPr>
          <w:rFonts w:hint="eastAsia" w:ascii="方正小标宋简体" w:hAnsi="方正小标宋简体" w:eastAsia="方正小标宋简体" w:cs="方正小标宋简体"/>
          <w:sz w:val="44"/>
          <w:szCs w:val="44"/>
          <w:lang w:val="en-US" w:eastAsia="zh-CN"/>
        </w:rPr>
        <w:t>水、电、暖等维修</w:t>
      </w:r>
      <w:r>
        <w:rPr>
          <w:rFonts w:hint="eastAsia" w:ascii="方正小标宋简体" w:hAnsi="方正小标宋简体" w:eastAsia="方正小标宋简体" w:cs="方正小标宋简体"/>
          <w:sz w:val="44"/>
          <w:szCs w:val="44"/>
        </w:rPr>
        <w:t>服务</w:t>
      </w:r>
      <w:r>
        <w:rPr>
          <w:rFonts w:hint="eastAsia" w:ascii="方正小标宋简体" w:hAnsi="方正小标宋简体" w:eastAsia="方正小标宋简体" w:cs="方正小标宋简体"/>
          <w:sz w:val="44"/>
          <w:szCs w:val="44"/>
          <w:lang w:val="en-US" w:eastAsia="zh-CN"/>
        </w:rPr>
        <w:t>采购</w:t>
      </w:r>
      <w:r>
        <w:rPr>
          <w:rFonts w:hint="eastAsia" w:ascii="方正小标宋简体" w:hAnsi="方正小标宋简体" w:eastAsia="方正小标宋简体" w:cs="方正小标宋简体"/>
          <w:sz w:val="44"/>
          <w:szCs w:val="44"/>
        </w:rPr>
        <w:t>项目</w:t>
      </w:r>
      <w:r>
        <w:rPr>
          <w:rFonts w:hint="eastAsia" w:ascii="方正小标宋简体" w:hAnsi="方正小标宋简体" w:eastAsia="方正小标宋简体" w:cs="方正小标宋简体"/>
          <w:sz w:val="44"/>
          <w:szCs w:val="44"/>
          <w:lang w:val="en-US" w:eastAsia="zh-CN"/>
        </w:rPr>
        <w:t>采购需求明细</w:t>
      </w:r>
    </w:p>
    <w:p w14:paraId="38322AEE">
      <w:pPr>
        <w:pStyle w:val="6"/>
        <w:spacing w:before="115"/>
        <w:ind w:left="106"/>
        <w:rPr>
          <w:rFonts w:hint="eastAsia" w:ascii="黑体" w:hAnsi="黑体" w:eastAsia="黑体" w:cs="黑体"/>
          <w:b w:val="0"/>
          <w:bCs/>
          <w:sz w:val="32"/>
          <w:szCs w:val="32"/>
        </w:rPr>
      </w:pPr>
    </w:p>
    <w:p w14:paraId="13F7724A">
      <w:pPr>
        <w:pStyle w:val="6"/>
        <w:spacing w:before="115"/>
        <w:ind w:left="106"/>
        <w:rPr>
          <w:rFonts w:hint="eastAsia" w:ascii="黑体" w:hAnsi="黑体" w:eastAsia="黑体" w:cs="黑体"/>
          <w:b w:val="0"/>
          <w:bCs/>
          <w:sz w:val="32"/>
          <w:szCs w:val="32"/>
        </w:rPr>
      </w:pPr>
      <w:r>
        <w:rPr>
          <w:rFonts w:hint="eastAsia" w:ascii="黑体" w:hAnsi="黑体" w:eastAsia="黑体" w:cs="黑体"/>
          <w:b w:val="0"/>
          <w:bCs/>
          <w:sz w:val="32"/>
          <w:szCs w:val="32"/>
        </w:rPr>
        <w:t>资格要求：</w:t>
      </w:r>
    </w:p>
    <w:p w14:paraId="4743DFF4">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（一）满足《中华人民共和国政府采购法》第二十二条规定；</w:t>
      </w:r>
    </w:p>
    <w:p w14:paraId="544C416C">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（二）本项目的特定资格要求：</w:t>
      </w:r>
    </w:p>
    <w:p w14:paraId="4A32F795">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①须具备独立承担民事责任能力的在中华人民共和国境内注册的法人营业执照；</w:t>
      </w:r>
    </w:p>
    <w:p w14:paraId="2D90E40E">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②投标人未被“信用中国(www.creditchina.gov.cn)”网站列入“失信被执行人、重大税收违法失信主体”；未被“中国政府采购网(www.ccgp.gov.cn)”列入“政府采购严重违法失信行为信息记录名单”（尚在处罚期内的），将拒绝其参加本次采购活动；</w:t>
      </w:r>
    </w:p>
    <w:p w14:paraId="3B89ECCA">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③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019777DA">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④其它由法律法规要求的限制条件。</w:t>
      </w:r>
    </w:p>
    <w:p w14:paraId="262C1494">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⑤供应商</w:t>
      </w:r>
      <w:r>
        <w:rPr>
          <w:rFonts w:hint="eastAsia" w:ascii="仿宋_GB2312" w:hAnsi="仿宋_GB2312" w:eastAsia="仿宋_GB2312" w:cs="仿宋_GB2312"/>
          <w:b w:val="0"/>
          <w:bCs/>
          <w:snapToGrid w:val="0"/>
          <w:color w:val="000000"/>
          <w:kern w:val="0"/>
          <w:sz w:val="32"/>
          <w:szCs w:val="32"/>
          <w:lang w:val="en-US" w:eastAsia="en-US" w:bidi="ar-SA"/>
        </w:rPr>
        <w:t>项目负责人</w:t>
      </w:r>
      <w:r>
        <w:rPr>
          <w:rFonts w:hint="eastAsia" w:ascii="仿宋_GB2312" w:hAnsi="仿宋_GB2312" w:eastAsia="仿宋_GB2312" w:cs="仿宋_GB2312"/>
          <w:b w:val="0"/>
          <w:bCs/>
          <w:snapToGrid w:val="0"/>
          <w:color w:val="000000"/>
          <w:kern w:val="0"/>
          <w:sz w:val="32"/>
          <w:szCs w:val="32"/>
          <w:lang w:val="en-US" w:eastAsia="zh-CN" w:bidi="ar-SA"/>
        </w:rPr>
        <w:t>应</w:t>
      </w:r>
      <w:r>
        <w:rPr>
          <w:rFonts w:hint="eastAsia" w:ascii="仿宋_GB2312" w:hAnsi="仿宋_GB2312" w:eastAsia="仿宋_GB2312" w:cs="仿宋_GB2312"/>
          <w:b w:val="0"/>
          <w:bCs/>
          <w:snapToGrid w:val="0"/>
          <w:color w:val="000000"/>
          <w:kern w:val="0"/>
          <w:sz w:val="32"/>
          <w:szCs w:val="32"/>
          <w:lang w:val="en-US" w:eastAsia="en-US" w:bidi="ar-SA"/>
        </w:rPr>
        <w:t>具备</w:t>
      </w:r>
      <w:r>
        <w:rPr>
          <w:rFonts w:hint="eastAsia" w:ascii="仿宋_GB2312" w:hAnsi="仿宋_GB2312" w:eastAsia="仿宋_GB2312" w:cs="仿宋_GB2312"/>
          <w:b w:val="0"/>
          <w:bCs/>
          <w:snapToGrid w:val="0"/>
          <w:color w:val="000000"/>
          <w:kern w:val="0"/>
          <w:sz w:val="32"/>
          <w:szCs w:val="32"/>
          <w:lang w:val="en-US" w:eastAsia="zh-CN" w:bidi="ar-SA"/>
        </w:rPr>
        <w:t>水、暖、电相关专业（给排水、电气）中级职称及以上，其他配备人员应具备管道工、电力维修工等相关专业证书，并在本单位有近2个月以上社保，中标单位需承诺中标后不得更换现场项目负责人。（若因特殊原因更换需经甲方协商同意后配备同等级别或更高级别的项目负责人）。</w:t>
      </w:r>
    </w:p>
    <w:p w14:paraId="742C6BBE">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p>
    <w:p w14:paraId="6C2B6B05">
      <w:pPr>
        <w:pStyle w:val="7"/>
        <w:numPr>
          <w:ilvl w:val="0"/>
          <w:numId w:val="0"/>
        </w:numPr>
        <w:tabs>
          <w:tab w:val="left" w:pos="1435"/>
        </w:tabs>
        <w:spacing w:before="43" w:after="0" w:line="240" w:lineRule="auto"/>
        <w:ind w:right="0" w:rightChars="0" w:firstLine="640" w:firstLineChars="200"/>
        <w:jc w:val="left"/>
        <w:rPr>
          <w:rFonts w:hint="eastAsia" w:ascii="黑体" w:hAnsi="黑体" w:eastAsia="黑体" w:cs="黑体"/>
          <w:b w:val="0"/>
          <w:bCs/>
          <w:snapToGrid w:val="0"/>
          <w:color w:val="000000"/>
          <w:kern w:val="0"/>
          <w:sz w:val="32"/>
          <w:szCs w:val="32"/>
          <w:lang w:val="en-US" w:eastAsia="en-US" w:bidi="ar-SA"/>
        </w:rPr>
      </w:pPr>
      <w:r>
        <w:rPr>
          <w:rFonts w:hint="eastAsia" w:ascii="黑体" w:hAnsi="黑体" w:eastAsia="黑体" w:cs="黑体"/>
          <w:b w:val="0"/>
          <w:bCs/>
          <w:snapToGrid w:val="0"/>
          <w:color w:val="000000"/>
          <w:kern w:val="0"/>
          <w:sz w:val="32"/>
          <w:szCs w:val="32"/>
          <w:lang w:val="en-US" w:eastAsia="zh-CN" w:bidi="ar-SA"/>
        </w:rPr>
        <w:t>响应</w:t>
      </w:r>
      <w:r>
        <w:rPr>
          <w:rFonts w:hint="eastAsia" w:ascii="黑体" w:hAnsi="黑体" w:eastAsia="黑体" w:cs="黑体"/>
          <w:b w:val="0"/>
          <w:bCs/>
          <w:snapToGrid w:val="0"/>
          <w:color w:val="000000"/>
          <w:kern w:val="0"/>
          <w:sz w:val="32"/>
          <w:szCs w:val="32"/>
          <w:lang w:val="en-US" w:eastAsia="en-US" w:bidi="ar-SA"/>
        </w:rPr>
        <w:t>文件应按下列顺序及内容提供:</w:t>
      </w:r>
    </w:p>
    <w:p w14:paraId="33CF8A99">
      <w:pPr>
        <w:pStyle w:val="7"/>
        <w:numPr>
          <w:ilvl w:val="0"/>
          <w:numId w:val="0"/>
        </w:numPr>
        <w:tabs>
          <w:tab w:val="left" w:pos="1675"/>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（一）</w:t>
      </w:r>
      <w:r>
        <w:rPr>
          <w:rFonts w:hint="eastAsia" w:ascii="仿宋_GB2312" w:hAnsi="仿宋_GB2312" w:eastAsia="仿宋_GB2312" w:cs="仿宋_GB2312"/>
          <w:b w:val="0"/>
          <w:bCs/>
          <w:snapToGrid w:val="0"/>
          <w:color w:val="000000"/>
          <w:kern w:val="0"/>
          <w:sz w:val="32"/>
          <w:szCs w:val="32"/>
          <w:lang w:val="en-US" w:eastAsia="en-US" w:bidi="ar-SA"/>
        </w:rPr>
        <w:t>资格证明文件(以下文件必须在有效期内)</w:t>
      </w:r>
    </w:p>
    <w:p w14:paraId="50FBB14E">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1、</w:t>
      </w:r>
      <w:r>
        <w:rPr>
          <w:rFonts w:hint="eastAsia" w:ascii="仿宋_GB2312" w:hAnsi="仿宋_GB2312" w:eastAsia="仿宋_GB2312" w:cs="仿宋_GB2312"/>
          <w:b w:val="0"/>
          <w:bCs/>
          <w:snapToGrid w:val="0"/>
          <w:color w:val="000000"/>
          <w:kern w:val="0"/>
          <w:sz w:val="32"/>
          <w:szCs w:val="32"/>
          <w:lang w:val="en-US" w:eastAsia="en-US" w:bidi="ar-SA"/>
        </w:rPr>
        <w:t>企业营业执照。</w:t>
      </w:r>
    </w:p>
    <w:p w14:paraId="120D548F">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2、</w:t>
      </w:r>
      <w:r>
        <w:rPr>
          <w:rFonts w:hint="eastAsia" w:ascii="仿宋_GB2312" w:hAnsi="仿宋_GB2312" w:eastAsia="仿宋_GB2312" w:cs="仿宋_GB2312"/>
          <w:b w:val="0"/>
          <w:bCs/>
          <w:snapToGrid w:val="0"/>
          <w:color w:val="000000"/>
          <w:kern w:val="0"/>
          <w:sz w:val="32"/>
          <w:szCs w:val="32"/>
          <w:lang w:val="en-US" w:eastAsia="en-US" w:bidi="ar-SA"/>
        </w:rPr>
        <w:t>投标代表的法人授权书，法人授权委托书应由法定代表人签名并加盖公章，私章无效。</w:t>
      </w:r>
    </w:p>
    <w:p w14:paraId="1AC966FD">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3、</w:t>
      </w:r>
      <w:r>
        <w:rPr>
          <w:rFonts w:hint="eastAsia" w:ascii="仿宋_GB2312" w:hAnsi="仿宋_GB2312" w:eastAsia="仿宋_GB2312" w:cs="仿宋_GB2312"/>
          <w:b w:val="0"/>
          <w:bCs/>
          <w:snapToGrid w:val="0"/>
          <w:color w:val="000000"/>
          <w:kern w:val="0"/>
          <w:sz w:val="32"/>
          <w:szCs w:val="32"/>
          <w:lang w:val="en-US" w:eastAsia="en-US" w:bidi="ar-SA"/>
        </w:rPr>
        <w:t>被委托人社保缴纳凭证（需提供社保缴纳查询截图并加盖投标人公章）。</w:t>
      </w:r>
    </w:p>
    <w:p w14:paraId="52CCFF66">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4、</w:t>
      </w:r>
      <w:r>
        <w:rPr>
          <w:rFonts w:hint="eastAsia" w:ascii="仿宋_GB2312" w:hAnsi="仿宋_GB2312" w:eastAsia="仿宋_GB2312" w:cs="仿宋_GB2312"/>
          <w:b w:val="0"/>
          <w:bCs/>
          <w:snapToGrid w:val="0"/>
          <w:color w:val="000000"/>
          <w:kern w:val="0"/>
          <w:sz w:val="32"/>
          <w:szCs w:val="32"/>
          <w:lang w:val="en-US" w:eastAsia="en-US" w:bidi="ar-SA"/>
        </w:rPr>
        <w:t>信用资料（信用中国、中国政府采购网截图）</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577A284C">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5、</w:t>
      </w:r>
      <w:r>
        <w:rPr>
          <w:rFonts w:hint="eastAsia" w:ascii="仿宋_GB2312" w:hAnsi="仿宋_GB2312" w:eastAsia="仿宋_GB2312" w:cs="仿宋_GB2312"/>
          <w:b w:val="0"/>
          <w:bCs/>
          <w:snapToGrid w:val="0"/>
          <w:color w:val="000000"/>
          <w:kern w:val="0"/>
          <w:sz w:val="32"/>
          <w:szCs w:val="32"/>
          <w:lang w:val="en-US" w:eastAsia="en-US" w:bidi="ar-SA"/>
        </w:rPr>
        <w:t>参加政府采购活动近三年内在经营活动中没有重大违法记录的书面声明</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5F9CDF21">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6、</w:t>
      </w:r>
      <w:r>
        <w:rPr>
          <w:rFonts w:hint="eastAsia" w:ascii="仿宋_GB2312" w:hAnsi="仿宋_GB2312" w:eastAsia="仿宋_GB2312" w:cs="仿宋_GB2312"/>
          <w:b w:val="0"/>
          <w:bCs/>
          <w:snapToGrid w:val="0"/>
          <w:color w:val="000000"/>
          <w:kern w:val="0"/>
          <w:sz w:val="32"/>
          <w:szCs w:val="32"/>
          <w:highlight w:val="none"/>
          <w:lang w:val="en-US" w:eastAsia="en-US" w:bidi="ar-SA"/>
        </w:rPr>
        <w:t>人员配备</w:t>
      </w:r>
      <w:r>
        <w:rPr>
          <w:rFonts w:hint="eastAsia" w:ascii="仿宋_GB2312" w:hAnsi="仿宋_GB2312" w:eastAsia="仿宋_GB2312" w:cs="仿宋_GB2312"/>
          <w:b w:val="0"/>
          <w:bCs/>
          <w:snapToGrid w:val="0"/>
          <w:color w:val="000000"/>
          <w:kern w:val="0"/>
          <w:sz w:val="32"/>
          <w:szCs w:val="32"/>
          <w:highlight w:val="none"/>
          <w:lang w:val="en-US" w:eastAsia="zh-CN" w:bidi="ar-SA"/>
        </w:rPr>
        <w:t>情况说明。</w:t>
      </w:r>
      <w:r>
        <w:rPr>
          <w:rFonts w:hint="eastAsia" w:ascii="仿宋_GB2312" w:hAnsi="仿宋_GB2312" w:eastAsia="仿宋_GB2312" w:cs="仿宋_GB2312"/>
          <w:b w:val="0"/>
          <w:bCs/>
          <w:snapToGrid w:val="0"/>
          <w:color w:val="000000"/>
          <w:kern w:val="0"/>
          <w:sz w:val="32"/>
          <w:szCs w:val="32"/>
          <w:lang w:val="en-US" w:eastAsia="en-US" w:bidi="ar-SA"/>
        </w:rPr>
        <w:t>项目负责人</w:t>
      </w:r>
      <w:r>
        <w:rPr>
          <w:rFonts w:hint="eastAsia" w:ascii="仿宋_GB2312" w:hAnsi="仿宋_GB2312" w:eastAsia="仿宋_GB2312" w:cs="仿宋_GB2312"/>
          <w:b w:val="0"/>
          <w:bCs/>
          <w:snapToGrid w:val="0"/>
          <w:color w:val="000000"/>
          <w:kern w:val="0"/>
          <w:sz w:val="32"/>
          <w:szCs w:val="32"/>
          <w:lang w:val="en-US" w:eastAsia="zh-CN" w:bidi="ar-SA"/>
        </w:rPr>
        <w:t>应</w:t>
      </w:r>
      <w:r>
        <w:rPr>
          <w:rFonts w:hint="eastAsia" w:ascii="仿宋_GB2312" w:hAnsi="仿宋_GB2312" w:eastAsia="仿宋_GB2312" w:cs="仿宋_GB2312"/>
          <w:b w:val="0"/>
          <w:bCs/>
          <w:snapToGrid w:val="0"/>
          <w:color w:val="000000"/>
          <w:kern w:val="0"/>
          <w:sz w:val="32"/>
          <w:szCs w:val="32"/>
          <w:lang w:val="en-US" w:eastAsia="en-US" w:bidi="ar-SA"/>
        </w:rPr>
        <w:t>具备</w:t>
      </w:r>
      <w:r>
        <w:rPr>
          <w:rFonts w:hint="eastAsia" w:ascii="仿宋_GB2312" w:hAnsi="仿宋_GB2312" w:eastAsia="仿宋_GB2312" w:cs="仿宋_GB2312"/>
          <w:b w:val="0"/>
          <w:bCs/>
          <w:snapToGrid w:val="0"/>
          <w:color w:val="000000"/>
          <w:kern w:val="0"/>
          <w:sz w:val="32"/>
          <w:szCs w:val="32"/>
          <w:lang w:val="en-US" w:eastAsia="zh-CN" w:bidi="ar-SA"/>
        </w:rPr>
        <w:t>水、暖、电相关专业（给排水、电气）中级职称及以上，其他配备人员应具备管道工、电力维修工等相关专业证书，并在本单位有近2个月以上社保（身份证、相关证书、社保缴纳证明），盖公章</w:t>
      </w:r>
      <w:r>
        <w:rPr>
          <w:rFonts w:hint="eastAsia" w:ascii="仿宋_GB2312" w:hAnsi="仿宋_GB2312" w:eastAsia="仿宋_GB2312" w:cs="仿宋_GB2312"/>
          <w:b w:val="0"/>
          <w:bCs/>
          <w:snapToGrid w:val="0"/>
          <w:color w:val="000000"/>
          <w:kern w:val="0"/>
          <w:sz w:val="32"/>
          <w:szCs w:val="32"/>
          <w:lang w:val="en-US" w:eastAsia="en-US" w:bidi="ar-SA"/>
        </w:rPr>
        <w:t>。</w:t>
      </w:r>
    </w:p>
    <w:p w14:paraId="5B5E8A5B">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7、</w:t>
      </w:r>
      <w:r>
        <w:rPr>
          <w:rFonts w:hint="eastAsia" w:ascii="仿宋_GB2312" w:hAnsi="仿宋_GB2312" w:eastAsia="仿宋_GB2312" w:cs="仿宋_GB2312"/>
          <w:b w:val="0"/>
          <w:bCs/>
          <w:snapToGrid w:val="0"/>
          <w:color w:val="000000"/>
          <w:kern w:val="0"/>
          <w:sz w:val="32"/>
          <w:szCs w:val="32"/>
          <w:lang w:val="en-US" w:eastAsia="en-US" w:bidi="ar-SA"/>
        </w:rPr>
        <w:t>提供</w:t>
      </w:r>
      <w:r>
        <w:rPr>
          <w:rFonts w:hint="eastAsia" w:ascii="仿宋_GB2312" w:hAnsi="仿宋_GB2312" w:eastAsia="仿宋_GB2312" w:cs="仿宋_GB2312"/>
          <w:b w:val="0"/>
          <w:bCs/>
          <w:snapToGrid w:val="0"/>
          <w:color w:val="000000"/>
          <w:kern w:val="0"/>
          <w:sz w:val="32"/>
          <w:szCs w:val="32"/>
          <w:lang w:val="en-US" w:eastAsia="zh-CN" w:bidi="ar-SA"/>
        </w:rPr>
        <w:t>近三年（2021-</w:t>
      </w:r>
      <w:r>
        <w:rPr>
          <w:rFonts w:hint="eastAsia" w:ascii="仿宋_GB2312" w:hAnsi="仿宋_GB2312" w:eastAsia="仿宋_GB2312" w:cs="仿宋_GB2312"/>
          <w:b w:val="0"/>
          <w:bCs/>
          <w:snapToGrid w:val="0"/>
          <w:color w:val="000000"/>
          <w:kern w:val="0"/>
          <w:sz w:val="32"/>
          <w:szCs w:val="32"/>
          <w:lang w:val="en-US" w:eastAsia="en-US" w:bidi="ar-SA"/>
        </w:rPr>
        <w:t>202</w:t>
      </w:r>
      <w:r>
        <w:rPr>
          <w:rFonts w:hint="eastAsia" w:ascii="仿宋_GB2312" w:hAnsi="仿宋_GB2312" w:eastAsia="仿宋_GB2312" w:cs="仿宋_GB2312"/>
          <w:b w:val="0"/>
          <w:bCs/>
          <w:snapToGrid w:val="0"/>
          <w:color w:val="000000"/>
          <w:kern w:val="0"/>
          <w:sz w:val="32"/>
          <w:szCs w:val="32"/>
          <w:lang w:val="en-US" w:eastAsia="zh-CN" w:bidi="ar-SA"/>
        </w:rPr>
        <w:t>3</w:t>
      </w:r>
      <w:r>
        <w:rPr>
          <w:rFonts w:hint="eastAsia" w:ascii="仿宋_GB2312" w:hAnsi="仿宋_GB2312" w:eastAsia="仿宋_GB2312" w:cs="仿宋_GB2312"/>
          <w:b w:val="0"/>
          <w:bCs/>
          <w:snapToGrid w:val="0"/>
          <w:color w:val="000000"/>
          <w:kern w:val="0"/>
          <w:sz w:val="32"/>
          <w:szCs w:val="32"/>
          <w:lang w:val="en-US" w:eastAsia="en-US" w:bidi="ar-SA"/>
        </w:rPr>
        <w:t>年度</w:t>
      </w:r>
      <w:r>
        <w:rPr>
          <w:rFonts w:hint="eastAsia" w:ascii="仿宋_GB2312" w:hAnsi="仿宋_GB2312" w:eastAsia="仿宋_GB2312" w:cs="仿宋_GB2312"/>
          <w:b w:val="0"/>
          <w:bCs/>
          <w:snapToGrid w:val="0"/>
          <w:color w:val="000000"/>
          <w:kern w:val="0"/>
          <w:sz w:val="32"/>
          <w:szCs w:val="32"/>
          <w:lang w:val="en-US" w:eastAsia="zh-CN" w:bidi="ar-SA"/>
        </w:rPr>
        <w:t>）</w:t>
      </w:r>
      <w:r>
        <w:rPr>
          <w:rFonts w:hint="eastAsia" w:ascii="仿宋_GB2312" w:hAnsi="仿宋_GB2312" w:eastAsia="仿宋_GB2312" w:cs="仿宋_GB2312"/>
          <w:b w:val="0"/>
          <w:bCs/>
          <w:snapToGrid w:val="0"/>
          <w:color w:val="000000"/>
          <w:kern w:val="0"/>
          <w:sz w:val="32"/>
          <w:szCs w:val="32"/>
          <w:lang w:val="en-US" w:eastAsia="en-US" w:bidi="ar-SA"/>
        </w:rPr>
        <w:t>经审计的财务报告</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3E97243A">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8、</w:t>
      </w:r>
      <w:r>
        <w:rPr>
          <w:rFonts w:hint="eastAsia" w:ascii="仿宋_GB2312" w:hAnsi="仿宋_GB2312" w:eastAsia="仿宋_GB2312" w:cs="仿宋_GB2312"/>
          <w:b w:val="0"/>
          <w:bCs/>
          <w:snapToGrid w:val="0"/>
          <w:color w:val="auto"/>
          <w:kern w:val="0"/>
          <w:sz w:val="32"/>
          <w:szCs w:val="32"/>
          <w:lang w:val="en-US" w:eastAsia="en-US" w:bidi="ar-SA"/>
        </w:rPr>
        <w:t>供应商认为有必要提供的声明及文件资料</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4D16FA03">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en-US" w:bidi="ar-SA"/>
        </w:rPr>
      </w:pPr>
      <w:r>
        <w:rPr>
          <w:rFonts w:hint="eastAsia" w:ascii="仿宋_GB2312" w:hAnsi="仿宋_GB2312" w:eastAsia="仿宋_GB2312" w:cs="仿宋_GB2312"/>
          <w:b w:val="0"/>
          <w:bCs/>
          <w:snapToGrid w:val="0"/>
          <w:color w:val="auto"/>
          <w:kern w:val="0"/>
          <w:sz w:val="32"/>
          <w:szCs w:val="32"/>
          <w:lang w:val="en-US" w:eastAsia="zh-CN" w:bidi="ar-SA"/>
        </w:rPr>
        <w:t>9、</w:t>
      </w:r>
      <w:r>
        <w:rPr>
          <w:rFonts w:hint="eastAsia" w:ascii="仿宋_GB2312" w:hAnsi="仿宋_GB2312" w:eastAsia="仿宋_GB2312" w:cs="仿宋_GB2312"/>
          <w:b w:val="0"/>
          <w:bCs/>
          <w:snapToGrid w:val="0"/>
          <w:color w:val="auto"/>
          <w:kern w:val="0"/>
          <w:sz w:val="32"/>
          <w:szCs w:val="32"/>
          <w:lang w:val="en-US" w:eastAsia="en-US" w:bidi="ar-SA"/>
        </w:rPr>
        <w:t>报价单</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0CD58529">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en-US" w:bidi="ar-SA"/>
        </w:rPr>
      </w:pPr>
      <w:r>
        <w:rPr>
          <w:rFonts w:hint="eastAsia" w:ascii="仿宋_GB2312" w:hAnsi="仿宋_GB2312" w:eastAsia="仿宋_GB2312" w:cs="仿宋_GB2312"/>
          <w:b w:val="0"/>
          <w:bCs/>
          <w:snapToGrid w:val="0"/>
          <w:color w:val="auto"/>
          <w:kern w:val="0"/>
          <w:sz w:val="32"/>
          <w:szCs w:val="32"/>
          <w:lang w:val="en-US" w:eastAsia="zh-CN" w:bidi="ar-SA"/>
        </w:rPr>
        <w:t>10、</w:t>
      </w:r>
      <w:r>
        <w:rPr>
          <w:rFonts w:hint="eastAsia" w:ascii="仿宋_GB2312" w:hAnsi="仿宋_GB2312" w:eastAsia="仿宋_GB2312" w:cs="仿宋_GB2312"/>
          <w:b w:val="0"/>
          <w:bCs/>
          <w:snapToGrid w:val="0"/>
          <w:color w:val="auto"/>
          <w:kern w:val="0"/>
          <w:sz w:val="32"/>
          <w:szCs w:val="32"/>
          <w:lang w:val="en-US" w:eastAsia="en-US" w:bidi="ar-SA"/>
        </w:rPr>
        <w:t>服务承诺书</w:t>
      </w:r>
      <w:r>
        <w:rPr>
          <w:rFonts w:hint="eastAsia" w:ascii="仿宋_GB2312" w:hAnsi="仿宋_GB2312" w:eastAsia="仿宋_GB2312" w:cs="仿宋_GB2312"/>
          <w:b w:val="0"/>
          <w:bCs/>
          <w:snapToGrid w:val="0"/>
          <w:color w:val="000000"/>
          <w:kern w:val="0"/>
          <w:sz w:val="32"/>
          <w:szCs w:val="32"/>
          <w:lang w:val="en-US" w:eastAsia="zh-CN" w:bidi="ar-SA"/>
        </w:rPr>
        <w:t>，盖公章。</w:t>
      </w:r>
    </w:p>
    <w:p w14:paraId="432EAFD2">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en-US" w:bidi="ar-SA"/>
        </w:rPr>
      </w:pPr>
      <w:r>
        <w:rPr>
          <w:rFonts w:hint="eastAsia" w:ascii="仿宋_GB2312" w:hAnsi="仿宋_GB2312" w:eastAsia="仿宋_GB2312" w:cs="仿宋_GB2312"/>
          <w:b w:val="0"/>
          <w:bCs/>
          <w:snapToGrid w:val="0"/>
          <w:color w:val="auto"/>
          <w:kern w:val="0"/>
          <w:sz w:val="32"/>
          <w:szCs w:val="32"/>
          <w:lang w:val="en-US" w:eastAsia="zh-CN" w:bidi="ar-SA"/>
        </w:rPr>
        <w:t>11、</w:t>
      </w:r>
      <w:r>
        <w:rPr>
          <w:rFonts w:hint="eastAsia" w:ascii="仿宋_GB2312" w:hAnsi="仿宋_GB2312" w:eastAsia="仿宋_GB2312" w:cs="仿宋_GB2312"/>
          <w:b w:val="0"/>
          <w:bCs/>
          <w:snapToGrid w:val="0"/>
          <w:color w:val="auto"/>
          <w:kern w:val="0"/>
          <w:sz w:val="32"/>
          <w:szCs w:val="32"/>
          <w:lang w:val="en-US" w:eastAsia="en-US" w:bidi="ar-SA"/>
        </w:rPr>
        <w:t>服务安全责任保证书</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auto"/>
          <w:kern w:val="0"/>
          <w:sz w:val="32"/>
          <w:szCs w:val="32"/>
          <w:lang w:val="en-US" w:eastAsia="en-US" w:bidi="ar-SA"/>
        </w:rPr>
        <w:t>。</w:t>
      </w:r>
    </w:p>
    <w:p w14:paraId="54249D82">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12、</w:t>
      </w:r>
      <w:r>
        <w:rPr>
          <w:rFonts w:hint="eastAsia" w:ascii="仿宋_GB2312" w:hAnsi="仿宋_GB2312" w:eastAsia="仿宋_GB2312" w:cs="仿宋_GB2312"/>
          <w:b w:val="0"/>
          <w:bCs/>
          <w:snapToGrid w:val="0"/>
          <w:color w:val="000000"/>
          <w:kern w:val="0"/>
          <w:sz w:val="32"/>
          <w:szCs w:val="32"/>
          <w:lang w:val="en-US" w:eastAsia="en-US" w:bidi="ar-SA"/>
        </w:rPr>
        <w:t>专用机械及工具清单</w:t>
      </w:r>
      <w:r>
        <w:rPr>
          <w:rFonts w:hint="eastAsia" w:ascii="仿宋_GB2312" w:hAnsi="仿宋_GB2312" w:eastAsia="仿宋_GB2312" w:cs="仿宋_GB2312"/>
          <w:b w:val="0"/>
          <w:bCs/>
          <w:snapToGrid w:val="0"/>
          <w:color w:val="000000"/>
          <w:kern w:val="0"/>
          <w:sz w:val="32"/>
          <w:szCs w:val="32"/>
          <w:lang w:val="en-US" w:eastAsia="zh-CN" w:bidi="ar-SA"/>
        </w:rPr>
        <w:t>，盖公章。</w:t>
      </w:r>
    </w:p>
    <w:p w14:paraId="7B031025">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响应文件用中文书写，以上材料须加盖公章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不符合要求的视为无效报价。</w:t>
      </w:r>
    </w:p>
    <w:p w14:paraId="2AE8C367">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sz w:val="32"/>
          <w:szCs w:val="32"/>
        </w:rPr>
      </w:pPr>
    </w:p>
    <w:p w14:paraId="7042A82D">
      <w:pPr>
        <w:pStyle w:val="7"/>
        <w:numPr>
          <w:ilvl w:val="0"/>
          <w:numId w:val="0"/>
        </w:numPr>
        <w:tabs>
          <w:tab w:val="left" w:pos="1348"/>
        </w:tabs>
        <w:spacing w:before="0" w:after="0" w:line="240" w:lineRule="auto"/>
        <w:ind w:right="0" w:rightChars="0" w:firstLine="640" w:firstLineChars="200"/>
        <w:jc w:val="left"/>
        <w:rPr>
          <w:rFonts w:hint="default"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买家留言：现场踏勘证明扫描件（请自行前往吐鲁番市中等职业技术学校进行现场踏勘，现场踏勘证明由校方提供，</w:t>
      </w:r>
      <w:r>
        <w:rPr>
          <w:rFonts w:hint="eastAsia" w:ascii="仿宋_GB2312" w:hAnsi="仿宋_GB2312" w:eastAsia="仿宋_GB2312" w:cs="仿宋_GB2312"/>
          <w:b w:val="0"/>
          <w:bCs/>
          <w:snapToGrid w:val="0"/>
          <w:color w:val="000000"/>
          <w:kern w:val="0"/>
          <w:sz w:val="32"/>
          <w:szCs w:val="32"/>
          <w:lang w:val="en-US" w:eastAsia="en-US" w:bidi="ar-SA"/>
        </w:rPr>
        <w:t>于</w:t>
      </w:r>
      <w:r>
        <w:rPr>
          <w:rFonts w:hint="eastAsia" w:ascii="仿宋_GB2312" w:hAnsi="仿宋_GB2312" w:eastAsia="仿宋_GB2312" w:cs="仿宋_GB2312"/>
          <w:b w:val="0"/>
          <w:bCs/>
          <w:snapToGrid w:val="0"/>
          <w:color w:val="000000"/>
          <w:kern w:val="0"/>
          <w:sz w:val="32"/>
          <w:szCs w:val="32"/>
          <w:lang w:val="en-US" w:eastAsia="zh-CN" w:bidi="ar-SA"/>
        </w:rPr>
        <w:t>8月2日17</w:t>
      </w:r>
      <w:r>
        <w:rPr>
          <w:rFonts w:hint="eastAsia" w:ascii="仿宋_GB2312" w:hAnsi="仿宋_GB2312" w:eastAsia="仿宋_GB2312" w:cs="仿宋_GB2312"/>
          <w:b w:val="0"/>
          <w:bCs/>
          <w:snapToGrid w:val="0"/>
          <w:color w:val="000000"/>
          <w:kern w:val="0"/>
          <w:sz w:val="32"/>
          <w:szCs w:val="32"/>
          <w:lang w:val="en-US" w:eastAsia="en-US" w:bidi="ar-SA"/>
        </w:rPr>
        <w:t>:00</w:t>
      </w:r>
      <w:r>
        <w:rPr>
          <w:rFonts w:hint="eastAsia" w:ascii="仿宋_GB2312" w:hAnsi="仿宋_GB2312" w:eastAsia="仿宋_GB2312" w:cs="仿宋_GB2312"/>
          <w:b w:val="0"/>
          <w:bCs/>
          <w:snapToGrid w:val="0"/>
          <w:color w:val="000000"/>
          <w:kern w:val="0"/>
          <w:sz w:val="32"/>
          <w:szCs w:val="32"/>
          <w:lang w:val="en-US" w:eastAsia="zh-CN" w:bidi="ar-SA"/>
        </w:rPr>
        <w:t>统一</w:t>
      </w:r>
      <w:r>
        <w:rPr>
          <w:rFonts w:hint="eastAsia" w:ascii="仿宋_GB2312" w:hAnsi="仿宋_GB2312" w:eastAsia="仿宋_GB2312" w:cs="仿宋_GB2312"/>
          <w:b w:val="0"/>
          <w:bCs/>
          <w:snapToGrid w:val="0"/>
          <w:color w:val="000000"/>
          <w:kern w:val="0"/>
          <w:sz w:val="32"/>
          <w:szCs w:val="32"/>
          <w:lang w:val="en-US" w:eastAsia="en-US" w:bidi="ar-SA"/>
        </w:rPr>
        <w:t>现场</w:t>
      </w:r>
      <w:r>
        <w:rPr>
          <w:rFonts w:hint="eastAsia" w:ascii="仿宋_GB2312" w:hAnsi="仿宋_GB2312" w:eastAsia="仿宋_GB2312" w:cs="仿宋_GB2312"/>
          <w:b w:val="0"/>
          <w:bCs/>
          <w:snapToGrid w:val="0"/>
          <w:color w:val="000000"/>
          <w:kern w:val="0"/>
          <w:sz w:val="32"/>
          <w:szCs w:val="32"/>
          <w:lang w:val="en-US" w:eastAsia="zh-CN" w:bidi="ar-SA"/>
        </w:rPr>
        <w:t>踏勘，采购单位联系电话19999519503）</w:t>
      </w:r>
    </w:p>
    <w:p w14:paraId="4CE4E9D8">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sz w:val="32"/>
          <w:szCs w:val="32"/>
          <w:lang w:val="en-US" w:eastAsia="en-US"/>
        </w:rPr>
      </w:pPr>
    </w:p>
    <w:p w14:paraId="373EF846">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★注：1.</w:t>
      </w:r>
      <w:r>
        <w:rPr>
          <w:rFonts w:hint="eastAsia" w:ascii="仿宋_GB2312" w:hAnsi="仿宋_GB2312" w:eastAsia="仿宋_GB2312" w:cs="仿宋_GB2312"/>
          <w:b w:val="0"/>
          <w:bCs/>
          <w:snapToGrid w:val="0"/>
          <w:color w:val="000000"/>
          <w:kern w:val="0"/>
          <w:sz w:val="32"/>
          <w:szCs w:val="32"/>
          <w:lang w:val="en-US" w:eastAsia="en-US" w:bidi="ar-SA"/>
        </w:rPr>
        <w:t>在</w:t>
      </w:r>
      <w:r>
        <w:rPr>
          <w:rFonts w:hint="eastAsia" w:ascii="仿宋_GB2312" w:hAnsi="仿宋_GB2312" w:eastAsia="仿宋_GB2312" w:cs="仿宋_GB2312"/>
          <w:b w:val="0"/>
          <w:bCs/>
          <w:snapToGrid w:val="0"/>
          <w:color w:val="000000"/>
          <w:kern w:val="0"/>
          <w:sz w:val="32"/>
          <w:szCs w:val="32"/>
          <w:lang w:val="en-US" w:eastAsia="zh-CN" w:bidi="ar-SA"/>
        </w:rPr>
        <w:t>资料审核或资格审查</w:t>
      </w:r>
      <w:r>
        <w:rPr>
          <w:rFonts w:hint="eastAsia" w:ascii="仿宋_GB2312" w:hAnsi="仿宋_GB2312" w:eastAsia="仿宋_GB2312" w:cs="仿宋_GB2312"/>
          <w:b w:val="0"/>
          <w:bCs/>
          <w:snapToGrid w:val="0"/>
          <w:color w:val="000000"/>
          <w:kern w:val="0"/>
          <w:sz w:val="32"/>
          <w:szCs w:val="32"/>
          <w:lang w:val="en-US" w:eastAsia="en-US" w:bidi="ar-SA"/>
        </w:rPr>
        <w:t>过程直至签订合同前的任何时间，</w:t>
      </w:r>
      <w:r>
        <w:rPr>
          <w:rFonts w:hint="eastAsia" w:ascii="仿宋_GB2312" w:hAnsi="仿宋_GB2312" w:eastAsia="仿宋_GB2312" w:cs="仿宋_GB2312"/>
          <w:b w:val="0"/>
          <w:bCs/>
          <w:snapToGrid w:val="0"/>
          <w:color w:val="000000"/>
          <w:kern w:val="0"/>
          <w:sz w:val="32"/>
          <w:szCs w:val="32"/>
          <w:lang w:val="en-US" w:eastAsia="zh-CN" w:bidi="ar-SA"/>
        </w:rPr>
        <w:t>需提供原件备查，</w:t>
      </w:r>
      <w:r>
        <w:rPr>
          <w:rFonts w:hint="eastAsia" w:ascii="仿宋_GB2312" w:hAnsi="仿宋_GB2312" w:eastAsia="仿宋_GB2312" w:cs="仿宋_GB2312"/>
          <w:b w:val="0"/>
          <w:bCs/>
          <w:snapToGrid w:val="0"/>
          <w:color w:val="000000"/>
          <w:kern w:val="0"/>
          <w:sz w:val="32"/>
          <w:szCs w:val="32"/>
          <w:lang w:val="en-US" w:eastAsia="en-US" w:bidi="ar-SA"/>
        </w:rPr>
        <w:t>如经证实发现供应商提供虚假投标资料或信息骗取中标的或者未按本</w:t>
      </w:r>
      <w:r>
        <w:rPr>
          <w:rFonts w:hint="eastAsia" w:ascii="仿宋_GB2312" w:hAnsi="仿宋_GB2312" w:eastAsia="仿宋_GB2312" w:cs="仿宋_GB2312"/>
          <w:b w:val="0"/>
          <w:bCs/>
          <w:snapToGrid w:val="0"/>
          <w:color w:val="000000"/>
          <w:kern w:val="0"/>
          <w:sz w:val="32"/>
          <w:szCs w:val="32"/>
          <w:lang w:val="en-US" w:eastAsia="zh-CN" w:bidi="ar-SA"/>
        </w:rPr>
        <w:t>响应</w:t>
      </w:r>
      <w:r>
        <w:rPr>
          <w:rFonts w:hint="eastAsia" w:ascii="仿宋_GB2312" w:hAnsi="仿宋_GB2312" w:eastAsia="仿宋_GB2312" w:cs="仿宋_GB2312"/>
          <w:b w:val="0"/>
          <w:bCs/>
          <w:snapToGrid w:val="0"/>
          <w:color w:val="000000"/>
          <w:kern w:val="0"/>
          <w:sz w:val="32"/>
          <w:szCs w:val="32"/>
          <w:lang w:val="en-US" w:eastAsia="en-US" w:bidi="ar-SA"/>
        </w:rPr>
        <w:t>文件要求的，将取消其中标资格，并报主管部门备案。</w:t>
      </w:r>
    </w:p>
    <w:p w14:paraId="5639EAB2">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en-US" w:bidi="ar-SA"/>
        </w:rPr>
        <w:t>2</w:t>
      </w:r>
      <w:r>
        <w:rPr>
          <w:rFonts w:hint="eastAsia" w:ascii="仿宋_GB2312" w:hAnsi="仿宋_GB2312" w:eastAsia="仿宋_GB2312" w:cs="仿宋_GB2312"/>
          <w:b w:val="0"/>
          <w:bCs/>
          <w:snapToGrid w:val="0"/>
          <w:color w:val="000000"/>
          <w:kern w:val="0"/>
          <w:sz w:val="32"/>
          <w:szCs w:val="32"/>
          <w:lang w:val="en-US" w:eastAsia="zh-CN" w:bidi="ar-SA"/>
        </w:rPr>
        <w:t>.采购人</w:t>
      </w:r>
      <w:r>
        <w:rPr>
          <w:rFonts w:hint="eastAsia" w:ascii="仿宋_GB2312" w:hAnsi="仿宋_GB2312" w:eastAsia="仿宋_GB2312" w:cs="仿宋_GB2312"/>
          <w:b w:val="0"/>
          <w:bCs/>
          <w:snapToGrid w:val="0"/>
          <w:color w:val="000000"/>
          <w:kern w:val="0"/>
          <w:sz w:val="32"/>
          <w:szCs w:val="32"/>
          <w:lang w:val="en-US" w:eastAsia="en-US" w:bidi="ar-SA"/>
        </w:rPr>
        <w:t>认为</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的报价明显低于其他通过符合性审查投标人的报价，有可能影响服务质量或者不能诚信履约的，应当在</w:t>
      </w:r>
      <w:r>
        <w:rPr>
          <w:rFonts w:hint="eastAsia" w:ascii="仿宋_GB2312" w:hAnsi="仿宋_GB2312" w:eastAsia="仿宋_GB2312" w:cs="仿宋_GB2312"/>
          <w:b w:val="0"/>
          <w:bCs/>
          <w:snapToGrid w:val="0"/>
          <w:color w:val="000000"/>
          <w:kern w:val="0"/>
          <w:sz w:val="32"/>
          <w:szCs w:val="32"/>
          <w:lang w:val="en-US" w:eastAsia="zh-CN" w:bidi="ar-SA"/>
        </w:rPr>
        <w:t>接采购人通知（含电话通知等方式）60</w:t>
      </w:r>
      <w:r>
        <w:rPr>
          <w:rFonts w:hint="eastAsia" w:ascii="仿宋_GB2312" w:hAnsi="仿宋_GB2312" w:eastAsia="仿宋_GB2312" w:cs="仿宋_GB2312"/>
          <w:b w:val="0"/>
          <w:bCs/>
          <w:snapToGrid w:val="0"/>
          <w:color w:val="000000"/>
          <w:kern w:val="0"/>
          <w:sz w:val="32"/>
          <w:szCs w:val="32"/>
          <w:lang w:val="en-US" w:eastAsia="en-US" w:bidi="ar-SA"/>
        </w:rPr>
        <w:t>分钟内提供书面说明，必要时提交相关证明材料；</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书面说明应当按照国家财务会计制度的规定要求，逐项就</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提供的服务主营业务成本（应根据</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企业类型予以区别）、税金及附加、销售费用、管理费用、财务费用等成本构成事项详细陈述。</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书面说明应当签字确认或者加盖公章，否则无效。书面说明的签字确认，</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为法人的，由其法定代表人或者代理人签字确认；</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为其他组织的，由其主要负责人或者代理人签字确认；投标人为自然人的，由其本人或者代理人签字确认。</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提供书面说明后，</w:t>
      </w:r>
      <w:r>
        <w:rPr>
          <w:rFonts w:hint="eastAsia" w:ascii="仿宋_GB2312" w:hAnsi="仿宋_GB2312" w:eastAsia="仿宋_GB2312" w:cs="仿宋_GB2312"/>
          <w:b w:val="0"/>
          <w:bCs/>
          <w:snapToGrid w:val="0"/>
          <w:color w:val="000000"/>
          <w:kern w:val="0"/>
          <w:sz w:val="32"/>
          <w:szCs w:val="32"/>
          <w:lang w:val="en-US" w:eastAsia="zh-CN" w:bidi="ar-SA"/>
        </w:rPr>
        <w:t>采购人</w:t>
      </w:r>
      <w:r>
        <w:rPr>
          <w:rFonts w:hint="eastAsia" w:ascii="仿宋_GB2312" w:hAnsi="仿宋_GB2312" w:eastAsia="仿宋_GB2312" w:cs="仿宋_GB2312"/>
          <w:b w:val="0"/>
          <w:bCs/>
          <w:snapToGrid w:val="0"/>
          <w:color w:val="000000"/>
          <w:kern w:val="0"/>
          <w:sz w:val="32"/>
          <w:szCs w:val="32"/>
          <w:lang w:val="en-US" w:eastAsia="en-US" w:bidi="ar-SA"/>
        </w:rPr>
        <w:t>应当结合采购项目采购需求、专业实际情况、</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财务状况报告、与其他</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比较情况等就</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书面说明进行审查评价。</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拒绝或者变相拒绝提供有效书面说明或者书面说明不能证明其报价合理性的，</w:t>
      </w:r>
      <w:r>
        <w:rPr>
          <w:rFonts w:hint="eastAsia" w:ascii="仿宋_GB2312" w:hAnsi="仿宋_GB2312" w:eastAsia="仿宋_GB2312" w:cs="仿宋_GB2312"/>
          <w:b w:val="0"/>
          <w:bCs/>
          <w:snapToGrid w:val="0"/>
          <w:color w:val="000000"/>
          <w:kern w:val="0"/>
          <w:sz w:val="32"/>
          <w:szCs w:val="32"/>
          <w:lang w:val="en-US" w:eastAsia="zh-CN" w:bidi="ar-SA"/>
        </w:rPr>
        <w:t>采购人</w:t>
      </w:r>
      <w:r>
        <w:rPr>
          <w:rFonts w:hint="eastAsia" w:ascii="仿宋_GB2312" w:hAnsi="仿宋_GB2312" w:eastAsia="仿宋_GB2312" w:cs="仿宋_GB2312"/>
          <w:b w:val="0"/>
          <w:bCs/>
          <w:snapToGrid w:val="0"/>
          <w:color w:val="000000"/>
          <w:kern w:val="0"/>
          <w:sz w:val="32"/>
          <w:szCs w:val="32"/>
          <w:lang w:val="en-US" w:eastAsia="en-US" w:bidi="ar-SA"/>
        </w:rPr>
        <w:t>应当将其投标文件作为无效处理。</w:t>
      </w:r>
      <w:r>
        <w:rPr>
          <w:rFonts w:hint="eastAsia" w:ascii="仿宋_GB2312" w:hAnsi="仿宋_GB2312" w:eastAsia="仿宋_GB2312" w:cs="仿宋_GB2312"/>
          <w:b w:val="0"/>
          <w:bCs/>
          <w:snapToGrid w:val="0"/>
          <w:color w:val="000000"/>
          <w:kern w:val="0"/>
          <w:sz w:val="32"/>
          <w:szCs w:val="32"/>
          <w:lang w:val="en-US" w:eastAsia="zh-CN" w:bidi="ar-SA"/>
        </w:rPr>
        <w:t>供应商</w:t>
      </w:r>
      <w:r>
        <w:rPr>
          <w:rFonts w:hint="eastAsia" w:ascii="仿宋_GB2312" w:hAnsi="仿宋_GB2312" w:eastAsia="仿宋_GB2312" w:cs="仿宋_GB2312"/>
          <w:b w:val="0"/>
          <w:bCs/>
          <w:snapToGrid w:val="0"/>
          <w:color w:val="000000"/>
          <w:kern w:val="0"/>
          <w:sz w:val="32"/>
          <w:szCs w:val="32"/>
          <w:lang w:val="en-US" w:eastAsia="en-US" w:bidi="ar-SA"/>
        </w:rPr>
        <w:t>不能证明其报价合理性的，</w:t>
      </w:r>
      <w:r>
        <w:rPr>
          <w:rFonts w:hint="eastAsia" w:ascii="仿宋_GB2312" w:hAnsi="仿宋_GB2312" w:eastAsia="仿宋_GB2312" w:cs="仿宋_GB2312"/>
          <w:b w:val="0"/>
          <w:bCs/>
          <w:snapToGrid w:val="0"/>
          <w:color w:val="000000"/>
          <w:kern w:val="0"/>
          <w:sz w:val="32"/>
          <w:szCs w:val="32"/>
          <w:lang w:val="en-US" w:eastAsia="zh-CN" w:bidi="ar-SA"/>
        </w:rPr>
        <w:t>采购人</w:t>
      </w:r>
      <w:r>
        <w:rPr>
          <w:rFonts w:hint="eastAsia" w:ascii="仿宋_GB2312" w:hAnsi="仿宋_GB2312" w:eastAsia="仿宋_GB2312" w:cs="仿宋_GB2312"/>
          <w:b w:val="0"/>
          <w:bCs/>
          <w:snapToGrid w:val="0"/>
          <w:color w:val="000000"/>
          <w:kern w:val="0"/>
          <w:sz w:val="32"/>
          <w:szCs w:val="32"/>
          <w:lang w:val="en-US" w:eastAsia="en-US" w:bidi="ar-SA"/>
        </w:rPr>
        <w:t>应当将其作为无效投标处理。</w:t>
      </w:r>
    </w:p>
    <w:p w14:paraId="10EF0DB9"/>
    <w:p w14:paraId="791E91D3">
      <w:pPr>
        <w:sectPr>
          <w:pgSz w:w="11906" w:h="16838"/>
          <w:pgMar w:top="1440" w:right="1800" w:bottom="1440" w:left="1800" w:header="851" w:footer="992" w:gutter="0"/>
          <w:cols w:space="425" w:num="1"/>
          <w:docGrid w:type="lines" w:linePitch="312" w:charSpace="0"/>
        </w:sectPr>
      </w:pPr>
    </w:p>
    <w:p w14:paraId="57450FC5">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吐鲁番市中等职业技术学校后勤</w:t>
      </w:r>
      <w:r>
        <w:rPr>
          <w:rFonts w:hint="eastAsia" w:ascii="方正小标宋简体" w:hAnsi="方正小标宋简体" w:eastAsia="方正小标宋简体" w:cs="方正小标宋简体"/>
          <w:sz w:val="44"/>
          <w:szCs w:val="44"/>
          <w:lang w:val="en-US" w:eastAsia="zh-CN"/>
        </w:rPr>
        <w:t>水、电、暖等维修</w:t>
      </w:r>
      <w:r>
        <w:rPr>
          <w:rFonts w:hint="eastAsia" w:ascii="方正小标宋简体" w:hAnsi="方正小标宋简体" w:eastAsia="方正小标宋简体" w:cs="方正小标宋简体"/>
          <w:sz w:val="44"/>
          <w:szCs w:val="44"/>
        </w:rPr>
        <w:t>服务</w:t>
      </w:r>
      <w:r>
        <w:rPr>
          <w:rFonts w:hint="eastAsia" w:ascii="方正小标宋简体" w:hAnsi="方正小标宋简体" w:eastAsia="方正小标宋简体" w:cs="方正小标宋简体"/>
          <w:sz w:val="44"/>
          <w:szCs w:val="44"/>
          <w:lang w:val="en-US" w:eastAsia="zh-CN"/>
        </w:rPr>
        <w:t>采购</w:t>
      </w:r>
      <w:r>
        <w:rPr>
          <w:rFonts w:hint="eastAsia" w:ascii="方正小标宋简体" w:hAnsi="方正小标宋简体" w:eastAsia="方正小标宋简体" w:cs="方正小标宋简体"/>
          <w:sz w:val="44"/>
          <w:szCs w:val="44"/>
        </w:rPr>
        <w:t>项目</w:t>
      </w:r>
    </w:p>
    <w:p w14:paraId="0D050F34">
      <w:pPr>
        <w:jc w:val="center"/>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竞价要求</w:t>
      </w:r>
    </w:p>
    <w:p w14:paraId="720378EE">
      <w:pPr>
        <w:rPr>
          <w:rFonts w:hint="eastAsia"/>
        </w:rPr>
      </w:pPr>
    </w:p>
    <w:p w14:paraId="6DD4A0CD">
      <w:pPr>
        <w:rPr>
          <w:rFonts w:hint="eastAsia"/>
        </w:rPr>
      </w:pPr>
    </w:p>
    <w:p w14:paraId="03F6E78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lang w:eastAsia="zh-CN"/>
        </w:rPr>
      </w:pPr>
      <w:r>
        <w:rPr>
          <w:rFonts w:hint="eastAsia" w:ascii="黑体" w:hAnsi="黑体" w:eastAsia="黑体" w:cs="黑体"/>
          <w:sz w:val="32"/>
          <w:szCs w:val="32"/>
        </w:rPr>
        <w:t>一、项目</w:t>
      </w:r>
      <w:r>
        <w:rPr>
          <w:rFonts w:hint="eastAsia" w:ascii="黑体" w:hAnsi="黑体" w:eastAsia="黑体" w:cs="黑体"/>
          <w:sz w:val="32"/>
          <w:szCs w:val="32"/>
          <w:lang w:val="en-US" w:eastAsia="zh-CN"/>
        </w:rPr>
        <w:t>名称</w:t>
      </w:r>
    </w:p>
    <w:p w14:paraId="3F0F75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吐鲁番市中等职业技术学校后勤水、电、暖等维修服务采购项目。</w:t>
      </w:r>
    </w:p>
    <w:p w14:paraId="20A8ACF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二、服务内容概况</w:t>
      </w:r>
    </w:p>
    <w:p w14:paraId="6AE3556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吐鲁番市中等职业技术学校所属范围内46栋（含校园东侧、南侧实训楼）校园各类用房内及室外基础设施和学校围墙的水、电、暖等维修及服务，服务期限：1年。地址:吐鲁番市高昌区库木塔格路168号。</w:t>
      </w:r>
    </w:p>
    <w:p w14:paraId="68789C6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三、服务费（报价）说明</w:t>
      </w:r>
    </w:p>
    <w:p w14:paraId="24F5A40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1.服务期内所有相关设施、设备、维修、养护使用费用以及其材料、消耗品等。 </w:t>
      </w:r>
    </w:p>
    <w:p w14:paraId="353F3AB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2.含服务期内学校所有易耗易损等零部件费用。 </w:t>
      </w:r>
    </w:p>
    <w:p w14:paraId="245B2CC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3.含服务期内设施设备配件维修、更换等费用。</w:t>
      </w:r>
    </w:p>
    <w:p w14:paraId="0504BA6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4.服务期内所有相关工作人员费用。</w:t>
      </w:r>
    </w:p>
    <w:p w14:paraId="00EFE2C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5.本项目为服务类，投标报价应根据项目的实际需要整体报价，报价应包含合同期限内服务及其他相关工作的所有费用，总价包干方式报价不得以任何理由、任何名目增加任何费用。</w:t>
      </w:r>
    </w:p>
    <w:p w14:paraId="576D641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6.以上事项若有增减，具体服务以实际为准。乙方应甲方的要求，以科学合理的配备人员、优良的服务质量、优惠的价格制定详细的服务方案前来投标，充分显示自身的竞争实力。</w:t>
      </w:r>
    </w:p>
    <w:p w14:paraId="698DD209">
      <w:pPr>
        <w:pStyle w:val="2"/>
        <w:keepNext w:val="0"/>
        <w:keepLines w:val="0"/>
        <w:pageBreakBefore w:val="0"/>
        <w:wordWrap/>
        <w:overflowPunct/>
        <w:topLinePunct w:val="0"/>
        <w:bidi w:val="0"/>
        <w:spacing w:line="560" w:lineRule="exact"/>
        <w:ind w:right="0" w:firstLine="640" w:firstLineChars="200"/>
        <w:rPr>
          <w:rFonts w:hint="eastAsia" w:ascii="黑体" w:hAnsi="黑体" w:eastAsia="黑体" w:cs="黑体"/>
          <w:snapToGrid w:val="0"/>
          <w:color w:val="000000"/>
          <w:kern w:val="0"/>
          <w:sz w:val="32"/>
          <w:szCs w:val="32"/>
          <w:lang w:val="en-US" w:eastAsia="zh-CN" w:bidi="ar-SA"/>
        </w:rPr>
      </w:pPr>
      <w:r>
        <w:rPr>
          <w:rFonts w:hint="eastAsia" w:ascii="黑体" w:hAnsi="黑体" w:eastAsia="黑体" w:cs="黑体"/>
          <w:snapToGrid w:val="0"/>
          <w:color w:val="000000"/>
          <w:kern w:val="0"/>
          <w:sz w:val="32"/>
          <w:szCs w:val="32"/>
          <w:lang w:val="en-US" w:eastAsia="zh-CN" w:bidi="ar-SA"/>
        </w:rPr>
        <w:t>四、付款方式</w:t>
      </w:r>
    </w:p>
    <w:p w14:paraId="23E45857">
      <w:pPr>
        <w:pStyle w:val="2"/>
        <w:keepNext w:val="0"/>
        <w:keepLines w:val="0"/>
        <w:pageBreakBefore w:val="0"/>
        <w:wordWrap/>
        <w:overflowPunct/>
        <w:topLinePunct w:val="0"/>
        <w:bidi w:val="0"/>
        <w:spacing w:line="560" w:lineRule="exact"/>
        <w:ind w:left="0" w:righ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sz w:val="32"/>
          <w:szCs w:val="32"/>
          <w:lang w:val="en-US" w:eastAsia="zh-CN"/>
        </w:rPr>
        <w:t>1.履约保证金按合同金额的3%收取，</w:t>
      </w:r>
      <w:r>
        <w:rPr>
          <w:rFonts w:hint="eastAsia" w:ascii="仿宋_GB2312" w:hAnsi="仿宋_GB2312" w:eastAsia="仿宋_GB2312" w:cs="仿宋_GB2312"/>
          <w:color w:val="auto"/>
          <w:sz w:val="32"/>
          <w:szCs w:val="32"/>
          <w:highlight w:val="none"/>
          <w:lang w:val="en-US" w:eastAsia="zh-CN"/>
        </w:rPr>
        <w:t>乙方收到中标通知书，按要求向甲方缴纳履约保证金，乙方如发生不能履约时，甲方有权从扣除履约保证金。</w:t>
      </w:r>
    </w:p>
    <w:p w14:paraId="3B046CA3">
      <w:pPr>
        <w:pStyle w:val="2"/>
        <w:keepNext w:val="0"/>
        <w:keepLines w:val="0"/>
        <w:pageBreakBefore w:val="0"/>
        <w:wordWrap/>
        <w:overflowPunct/>
        <w:topLinePunct w:val="0"/>
        <w:bidi w:val="0"/>
        <w:spacing w:line="560" w:lineRule="exact"/>
        <w:ind w:left="0" w:right="0" w:firstLine="640" w:firstLineChars="200"/>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服务费为：人民币</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元，人民币￥</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元</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此费用包含以上所</w:t>
      </w:r>
      <w:r>
        <w:rPr>
          <w:rFonts w:hint="eastAsia" w:ascii="仿宋_GB2312" w:hAnsi="仿宋_GB2312" w:eastAsia="仿宋_GB2312" w:cs="仿宋_GB2312"/>
          <w:color w:val="auto"/>
          <w:kern w:val="2"/>
          <w:sz w:val="32"/>
          <w:szCs w:val="40"/>
          <w:highlight w:val="none"/>
          <w:lang w:val="en-US" w:eastAsia="zh-CN" w:bidi="ar-SA"/>
        </w:rPr>
        <w:t>有的服务工作</w:t>
      </w:r>
      <w:r>
        <w:rPr>
          <w:rFonts w:hint="eastAsia" w:ascii="仿宋_GB2312" w:hAnsi="仿宋_GB2312" w:eastAsia="仿宋_GB2312" w:cs="仿宋_GB2312"/>
          <w:color w:val="auto"/>
          <w:sz w:val="32"/>
          <w:szCs w:val="32"/>
          <w:highlight w:val="none"/>
          <w:lang w:val="en-US" w:eastAsia="zh-CN"/>
        </w:rPr>
        <w:t>内容）。付款方式:合同签订后，甲方对乙方采取月考核，按照先服务后支付的原则按月支付服务费，考核完成后次月完成支付。具体为由学校后勤保障处在次月组织人员乙方服务公司服务工作情况开展月考核，甲方依据月考核指标结果在次月给乙方支付上个月的服务费用，考核分数在85分以上，服务费用按合同金额全额支付；考核总分数在80分（不含）～85分(含)，扣除服务费用300元/次；考核总分数在75分（不含）～80分(含)，扣除服务费用1000元/次；考核总分数在75分及以下的，扣除服务费用3000元/次；考核数分数在60分以下，为考核不合格，扣除当月服务费9000元/次。全年累计出现三次不合格，立即终止合同，并由乙方承担违约责任的赔偿。</w:t>
      </w:r>
    </w:p>
    <w:p w14:paraId="72F4A0E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五、服务具体内容</w:t>
      </w:r>
    </w:p>
    <w:p w14:paraId="29F98930">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（一）总体要求</w:t>
      </w:r>
    </w:p>
    <w:p w14:paraId="516CCFD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1.乙方须配备不少于10人服务队伍，其中1名</w:t>
      </w:r>
      <w:r>
        <w:rPr>
          <w:rFonts w:hint="eastAsia" w:ascii="仿宋_GB2312" w:hAnsi="仿宋_GB2312" w:eastAsia="仿宋_GB2312" w:cs="仿宋_GB2312"/>
          <w:b w:val="0"/>
          <w:bCs/>
          <w:snapToGrid w:val="0"/>
          <w:color w:val="000000"/>
          <w:kern w:val="0"/>
          <w:sz w:val="32"/>
          <w:szCs w:val="32"/>
          <w:highlight w:val="none"/>
          <w:lang w:val="en-US" w:eastAsia="en-US" w:bidi="ar-SA"/>
        </w:rPr>
        <w:t>项目负责人（</w:t>
      </w:r>
      <w:r>
        <w:rPr>
          <w:rFonts w:hint="eastAsia" w:ascii="仿宋_GB2312" w:hAnsi="仿宋_GB2312" w:eastAsia="仿宋_GB2312" w:cs="仿宋_GB2312"/>
          <w:b w:val="0"/>
          <w:bCs/>
          <w:snapToGrid w:val="0"/>
          <w:color w:val="000000"/>
          <w:kern w:val="0"/>
          <w:sz w:val="32"/>
          <w:szCs w:val="32"/>
          <w:highlight w:val="none"/>
          <w:lang w:val="en-US" w:eastAsia="zh-CN" w:bidi="ar-SA"/>
        </w:rPr>
        <w:t>精通水电暖维修且</w:t>
      </w:r>
      <w:r>
        <w:rPr>
          <w:rFonts w:hint="eastAsia" w:ascii="仿宋_GB2312" w:hAnsi="仿宋_GB2312" w:eastAsia="仿宋_GB2312" w:cs="仿宋_GB2312"/>
          <w:b w:val="0"/>
          <w:bCs/>
          <w:snapToGrid w:val="0"/>
          <w:color w:val="000000"/>
          <w:kern w:val="0"/>
          <w:sz w:val="32"/>
          <w:szCs w:val="32"/>
          <w:highlight w:val="none"/>
          <w:lang w:val="en-US" w:eastAsia="en-US" w:bidi="ar-SA"/>
        </w:rPr>
        <w:t>具备</w:t>
      </w:r>
      <w:r>
        <w:rPr>
          <w:rFonts w:hint="eastAsia" w:ascii="仿宋_GB2312" w:hAnsi="仿宋_GB2312" w:eastAsia="仿宋_GB2312" w:cs="仿宋_GB2312"/>
          <w:sz w:val="32"/>
          <w:szCs w:val="32"/>
          <w:lang w:val="en-US" w:eastAsia="zh-CN"/>
        </w:rPr>
        <w:t>相关专业（给排水、电气）中级职称及以上做好维修人员管理工作，不少</w:t>
      </w:r>
      <w:r>
        <w:rPr>
          <w:rFonts w:hint="eastAsia" w:ascii="仿宋_GB2312" w:hAnsi="仿宋_GB2312" w:eastAsia="仿宋_GB2312" w:cs="仿宋_GB2312"/>
          <w:sz w:val="32"/>
          <w:szCs w:val="32"/>
          <w:highlight w:val="none"/>
          <w:lang w:val="en-US" w:eastAsia="zh-CN"/>
        </w:rPr>
        <w:t>于9人的专业维修队伍（具备相关专业证书）</w:t>
      </w:r>
      <w:r>
        <w:rPr>
          <w:rFonts w:hint="eastAsia" w:ascii="仿宋_GB2312" w:hAnsi="仿宋_GB2312" w:eastAsia="仿宋_GB2312" w:cs="仿宋_GB2312"/>
          <w:sz w:val="32"/>
          <w:szCs w:val="32"/>
          <w:lang w:val="en-US" w:eastAsia="zh-CN"/>
        </w:rPr>
        <w:t>，电话24小时保持畅通，每晚2人（水电专业）值班应对突发性的维修情况，值班人员在接到维修需求通知后能及时到现场解决处理问题。如管理人员不配合工作，不能履行管理工作职责等问题，学校有权要求乙方更换人员。</w:t>
      </w:r>
    </w:p>
    <w:p w14:paraId="0D0B5537">
      <w:pPr>
        <w:keepNext w:val="0"/>
        <w:keepLines w:val="0"/>
        <w:pageBreakBefore w:val="0"/>
        <w:kinsoku/>
        <w:wordWrap w:val="0"/>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sz w:val="32"/>
          <w:szCs w:val="32"/>
          <w:lang w:val="en-US" w:eastAsia="zh-CN"/>
        </w:rPr>
        <w:t>2.每日学校各类人员提出的维修诉求（20：00之前提出的）当日必须解决。</w:t>
      </w:r>
      <w:r>
        <w:rPr>
          <w:rFonts w:hint="eastAsia" w:ascii="仿宋_GB2312" w:hAnsi="仿宋_GB2312" w:eastAsia="仿宋_GB2312" w:cs="仿宋_GB2312"/>
          <w:b/>
          <w:bCs/>
          <w:sz w:val="32"/>
          <w:szCs w:val="32"/>
          <w:lang w:val="en-US" w:eastAsia="zh-CN"/>
        </w:rPr>
        <w:t>维修时限</w:t>
      </w:r>
      <w:r>
        <w:rPr>
          <w:rFonts w:hint="eastAsia" w:ascii="仿宋_GB2312" w:hAnsi="仿宋_GB2312" w:eastAsia="仿宋_GB2312" w:cs="仿宋_GB2312"/>
          <w:b/>
          <w:bCs/>
          <w:color w:val="auto"/>
          <w:kern w:val="2"/>
          <w:sz w:val="32"/>
          <w:szCs w:val="32"/>
          <w:lang w:val="en-US" w:eastAsia="zh-CN" w:bidi="ar-SA"/>
        </w:rPr>
        <w:t>具体约定如下</w:t>
      </w:r>
      <w:r>
        <w:rPr>
          <w:rFonts w:hint="eastAsia" w:ascii="仿宋_GB2312" w:hAnsi="仿宋_GB2312" w:eastAsia="仿宋_GB2312" w:cs="仿宋_GB2312"/>
          <w:b w:val="0"/>
          <w:bCs w:val="0"/>
          <w:color w:val="auto"/>
          <w:kern w:val="2"/>
          <w:sz w:val="32"/>
          <w:szCs w:val="32"/>
          <w:lang w:val="en-US" w:eastAsia="zh-CN" w:bidi="ar-SA"/>
        </w:rPr>
        <w:t>：甲方提出诉求，乙方需在20分钟内响应，30-90分钟内解决简单维修（疏通下水、更换锁芯、窗把手、灯具、水龙头、各类阀门、软管更换等配件更换），2-3小时内解决一般维修（变压器维护正常运转、室内水暖管检修、室内外灯线检修、床修复、热水器空调维修等），2小时内控制重大事件发展态势（上下水暖气主管道损坏漏水、锅炉房压力检修等）且24小时内维修完成，特殊情况除外。</w:t>
      </w:r>
    </w:p>
    <w:p w14:paraId="6DCD0EF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3.乙方有义务组织人员对学校各楼栋内设施巡检，做好巡检维修台账登记（如：上下水跑冒滴漏现象、用火用电安全、通往楼顶的门的管理等）。</w:t>
      </w:r>
    </w:p>
    <w:p w14:paraId="71B4C4D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4.乙方配备人员上岗前必须向学校后勤保障处提供二甲及以上等级医院体检结果证明材料，能熟练使用国家通用语言文字，在校园内必须使用国通语正常交流，身体健康，无重大疾病</w:t>
      </w:r>
      <w:r>
        <w:rPr>
          <w:rFonts w:hint="eastAsia" w:ascii="仿宋_GB2312" w:hAnsi="仿宋_GB2312" w:eastAsia="仿宋_GB2312" w:cs="仿宋_GB2312"/>
          <w:sz w:val="32"/>
          <w:szCs w:val="32"/>
        </w:rPr>
        <w:t>。</w:t>
      </w:r>
    </w:p>
    <w:p w14:paraId="2011FC80">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（二）具体范围及要求</w:t>
      </w:r>
    </w:p>
    <w:p w14:paraId="341814A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default" w:ascii="仿宋_GB2312" w:hAnsi="仿宋_GB2312" w:eastAsia="仿宋_GB2312" w:cs="仿宋_GB2312"/>
          <w:sz w:val="32"/>
          <w:szCs w:val="32"/>
          <w:lang w:val="en-US" w:eastAsia="zh-CN"/>
        </w:rPr>
        <w:t>学校各栋楼室内外电路</w:t>
      </w:r>
      <w:r>
        <w:rPr>
          <w:rFonts w:hint="eastAsia" w:ascii="仿宋_GB2312" w:hAnsi="仿宋_GB2312" w:eastAsia="仿宋_GB2312" w:cs="仿宋_GB2312"/>
          <w:sz w:val="32"/>
          <w:szCs w:val="32"/>
          <w:lang w:val="en-US" w:eastAsia="zh-CN"/>
        </w:rPr>
        <w:t>、电器</w:t>
      </w:r>
      <w:r>
        <w:rPr>
          <w:rFonts w:hint="default" w:ascii="仿宋_GB2312" w:hAnsi="仿宋_GB2312" w:eastAsia="仿宋_GB2312" w:cs="仿宋_GB2312"/>
          <w:sz w:val="32"/>
          <w:szCs w:val="32"/>
          <w:lang w:val="en-US" w:eastAsia="zh-CN"/>
        </w:rPr>
        <w:t>维修、养护</w:t>
      </w:r>
      <w:r>
        <w:rPr>
          <w:rFonts w:hint="eastAsia" w:ascii="仿宋_GB2312" w:hAnsi="仿宋_GB2312" w:eastAsia="仿宋_GB2312" w:cs="仿宋_GB2312"/>
          <w:sz w:val="32"/>
          <w:szCs w:val="32"/>
          <w:lang w:val="en-US" w:eastAsia="zh-CN"/>
        </w:rPr>
        <w:t>及更换</w:t>
      </w:r>
      <w:r>
        <w:rPr>
          <w:rFonts w:hint="default" w:ascii="仿宋_GB2312" w:hAnsi="仿宋_GB2312" w:eastAsia="仿宋_GB2312" w:cs="仿宋_GB2312"/>
          <w:sz w:val="32"/>
          <w:szCs w:val="32"/>
          <w:lang w:val="en-US" w:eastAsia="zh-CN"/>
        </w:rPr>
        <w:t>和管理，包括各栋楼灯、插板、</w:t>
      </w:r>
      <w:r>
        <w:rPr>
          <w:rFonts w:hint="eastAsia" w:ascii="仿宋_GB2312" w:hAnsi="仿宋_GB2312" w:eastAsia="仿宋_GB2312" w:cs="仿宋_GB2312"/>
          <w:sz w:val="32"/>
          <w:szCs w:val="32"/>
          <w:lang w:val="en-US" w:eastAsia="zh-CN"/>
        </w:rPr>
        <w:t>电风扇、冷风机、</w:t>
      </w:r>
      <w:r>
        <w:rPr>
          <w:rFonts w:hint="default" w:ascii="仿宋_GB2312" w:hAnsi="仿宋_GB2312" w:eastAsia="仿宋_GB2312" w:cs="仿宋_GB2312"/>
          <w:sz w:val="32"/>
          <w:szCs w:val="32"/>
          <w:lang w:val="en-US" w:eastAsia="zh-CN"/>
        </w:rPr>
        <w:t>电路</w:t>
      </w:r>
      <w:r>
        <w:rPr>
          <w:rFonts w:hint="eastAsia" w:ascii="仿宋_GB2312" w:hAnsi="仿宋_GB2312" w:eastAsia="仿宋_GB2312" w:cs="仿宋_GB2312"/>
          <w:sz w:val="32"/>
          <w:szCs w:val="32"/>
          <w:lang w:val="en-US" w:eastAsia="zh-CN"/>
        </w:rPr>
        <w:t>如出现断路或不亮现象及时</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 xml:space="preserve">更换配件。8 </w:t>
      </w:r>
      <w:r>
        <w:rPr>
          <w:rFonts w:hint="default" w:ascii="仿宋_GB2312" w:hAnsi="仿宋_GB2312" w:eastAsia="仿宋_GB2312" w:cs="仿宋_GB2312"/>
          <w:sz w:val="32"/>
          <w:szCs w:val="32"/>
          <w:lang w:val="en-US" w:eastAsia="zh-CN"/>
        </w:rPr>
        <w:t>个变压器</w:t>
      </w:r>
      <w:r>
        <w:rPr>
          <w:rFonts w:hint="eastAsia" w:ascii="仿宋_GB2312" w:hAnsi="仿宋_GB2312" w:eastAsia="仿宋_GB2312" w:cs="仿宋_GB2312"/>
          <w:sz w:val="32"/>
          <w:szCs w:val="32"/>
          <w:lang w:val="en-US" w:eastAsia="zh-CN"/>
        </w:rPr>
        <w:t>（含配电室高低压配件）</w:t>
      </w:r>
      <w:r>
        <w:rPr>
          <w:rFonts w:hint="default" w:ascii="仿宋_GB2312" w:hAnsi="仿宋_GB2312" w:eastAsia="仿宋_GB2312" w:cs="仿宋_GB2312"/>
          <w:sz w:val="32"/>
          <w:szCs w:val="32"/>
          <w:lang w:val="en-US" w:eastAsia="zh-CN"/>
        </w:rPr>
        <w:t>、从变压器到各栋楼的供电电缆、路灯、射灯、楼顶彩灯，配电系统</w:t>
      </w:r>
      <w:r>
        <w:rPr>
          <w:rFonts w:hint="eastAsia" w:ascii="仿宋_GB2312" w:hAnsi="仿宋_GB2312" w:eastAsia="仿宋_GB2312" w:cs="仿宋_GB2312"/>
          <w:sz w:val="32"/>
          <w:szCs w:val="32"/>
          <w:lang w:val="en-US" w:eastAsia="zh-CN"/>
        </w:rPr>
        <w:t>出现断路或不亮现象及时</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更换配件及恢复。</w:t>
      </w:r>
      <w:r>
        <w:rPr>
          <w:rFonts w:hint="default" w:ascii="仿宋_GB2312" w:hAnsi="仿宋_GB2312" w:eastAsia="仿宋_GB2312" w:cs="仿宋_GB2312"/>
          <w:sz w:val="32"/>
          <w:szCs w:val="32"/>
          <w:lang w:val="en-US" w:eastAsia="zh-CN"/>
        </w:rPr>
        <w:t>中央空调、空调</w:t>
      </w:r>
      <w:r>
        <w:rPr>
          <w:rFonts w:hint="eastAsia" w:ascii="仿宋_GB2312" w:hAnsi="仿宋_GB2312" w:eastAsia="仿宋_GB2312" w:cs="仿宋_GB2312"/>
          <w:sz w:val="32"/>
          <w:szCs w:val="32"/>
          <w:lang w:val="en-US" w:eastAsia="zh-CN"/>
        </w:rPr>
        <w:t>出现不制冷、不制热时及时</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更换配件（含加冷媒或氟利昂）并正常运行（不含更换整机）</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冷风机出现不制冷时及时</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更换配件并正常运行、</w:t>
      </w:r>
      <w:r>
        <w:rPr>
          <w:rFonts w:hint="default" w:ascii="仿宋_GB2312" w:hAnsi="仿宋_GB2312" w:eastAsia="仿宋_GB2312" w:cs="仿宋_GB2312"/>
          <w:sz w:val="32"/>
          <w:szCs w:val="32"/>
          <w:lang w:val="en-US" w:eastAsia="zh-CN"/>
        </w:rPr>
        <w:t>各种热水器、开水器等</w:t>
      </w:r>
      <w:r>
        <w:rPr>
          <w:rFonts w:hint="eastAsia" w:ascii="仿宋_GB2312" w:hAnsi="仿宋_GB2312" w:eastAsia="仿宋_GB2312" w:cs="仿宋_GB2312"/>
          <w:sz w:val="32"/>
          <w:szCs w:val="32"/>
          <w:lang w:val="en-US" w:eastAsia="zh-CN"/>
        </w:rPr>
        <w:t>出现不烧水及时</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w:t>
      </w:r>
      <w:r>
        <w:rPr>
          <w:rFonts w:hint="default" w:ascii="仿宋_GB2312" w:hAnsi="仿宋_GB2312" w:eastAsia="仿宋_GB2312" w:cs="仿宋_GB2312"/>
          <w:sz w:val="32"/>
          <w:szCs w:val="32"/>
          <w:lang w:val="en-US" w:eastAsia="zh-CN"/>
        </w:rPr>
        <w:t>；</w:t>
      </w:r>
    </w:p>
    <w:p w14:paraId="1B2EE6D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default" w:ascii="仿宋_GB2312" w:hAnsi="仿宋_GB2312" w:eastAsia="仿宋_GB2312" w:cs="仿宋_GB2312"/>
          <w:sz w:val="32"/>
          <w:szCs w:val="32"/>
          <w:lang w:val="en-US" w:eastAsia="zh-CN"/>
        </w:rPr>
        <w:t>学校室内外暖气管道维修、养护和管理，包括锅炉房的加压供水设备、配电系统，各栋楼的</w:t>
      </w:r>
      <w:r>
        <w:rPr>
          <w:rFonts w:hint="eastAsia" w:ascii="仿宋_GB2312" w:hAnsi="仿宋_GB2312" w:eastAsia="仿宋_GB2312" w:cs="仿宋_GB2312"/>
          <w:sz w:val="32"/>
          <w:szCs w:val="32"/>
          <w:lang w:val="en-US" w:eastAsia="zh-CN"/>
        </w:rPr>
        <w:t>暖气（</w:t>
      </w:r>
      <w:r>
        <w:rPr>
          <w:rFonts w:hint="default" w:ascii="仿宋_GB2312" w:hAnsi="仿宋_GB2312" w:eastAsia="仿宋_GB2312" w:cs="仿宋_GB2312"/>
          <w:sz w:val="32"/>
          <w:szCs w:val="32"/>
          <w:lang w:val="en-US" w:eastAsia="zh-CN"/>
        </w:rPr>
        <w:t>暖气</w:t>
      </w:r>
      <w:r>
        <w:rPr>
          <w:rFonts w:hint="eastAsia" w:ascii="仿宋_GB2312" w:hAnsi="仿宋_GB2312" w:eastAsia="仿宋_GB2312" w:cs="仿宋_GB2312"/>
          <w:sz w:val="32"/>
          <w:szCs w:val="32"/>
          <w:lang w:val="en-US" w:eastAsia="zh-CN"/>
        </w:rPr>
        <w:t>片、地暖、风机盘管等漏水点）</w:t>
      </w:r>
      <w:r>
        <w:rPr>
          <w:rFonts w:hint="default" w:ascii="仿宋_GB2312" w:hAnsi="仿宋_GB2312" w:eastAsia="仿宋_GB2312" w:cs="仿宋_GB2312"/>
          <w:sz w:val="32"/>
          <w:szCs w:val="32"/>
          <w:lang w:val="en-US" w:eastAsia="zh-CN"/>
        </w:rPr>
        <w:t>维修维护；</w:t>
      </w:r>
    </w:p>
    <w:p w14:paraId="7FA174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r>
        <w:rPr>
          <w:rFonts w:hint="default" w:ascii="仿宋_GB2312" w:hAnsi="仿宋_GB2312" w:eastAsia="仿宋_GB2312" w:cs="仿宋_GB2312"/>
          <w:sz w:val="32"/>
          <w:szCs w:val="32"/>
          <w:lang w:val="en-US" w:eastAsia="zh-CN"/>
        </w:rPr>
        <w:t>室内外所有供水系统维修、养护和管理。水从总水表到各分部的供水系统，包括供水管道、</w:t>
      </w:r>
      <w:r>
        <w:rPr>
          <w:rFonts w:hint="eastAsia" w:ascii="仿宋_GB2312" w:hAnsi="仿宋_GB2312" w:eastAsia="仿宋_GB2312" w:cs="仿宋_GB2312"/>
          <w:sz w:val="32"/>
          <w:szCs w:val="32"/>
          <w:lang w:val="en-US" w:eastAsia="zh-CN"/>
        </w:rPr>
        <w:t>阀门、</w:t>
      </w:r>
      <w:r>
        <w:rPr>
          <w:rFonts w:hint="default" w:ascii="仿宋_GB2312" w:hAnsi="仿宋_GB2312" w:eastAsia="仿宋_GB2312" w:cs="仿宋_GB2312"/>
          <w:sz w:val="32"/>
          <w:szCs w:val="32"/>
          <w:lang w:val="en-US" w:eastAsia="zh-CN"/>
        </w:rPr>
        <w:t>供水井、井盖</w:t>
      </w:r>
      <w:r>
        <w:rPr>
          <w:rFonts w:hint="eastAsia" w:ascii="仿宋_GB2312" w:hAnsi="仿宋_GB2312" w:eastAsia="仿宋_GB2312" w:cs="仿宋_GB2312"/>
          <w:sz w:val="32"/>
          <w:szCs w:val="32"/>
          <w:lang w:val="en-US" w:eastAsia="zh-CN"/>
        </w:rPr>
        <w:t>损坏时及时</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w:t>
      </w:r>
      <w:r>
        <w:rPr>
          <w:rFonts w:hint="default" w:ascii="仿宋_GB2312" w:hAnsi="仿宋_GB2312" w:eastAsia="仿宋_GB2312" w:cs="仿宋_GB2312"/>
          <w:sz w:val="32"/>
          <w:szCs w:val="32"/>
          <w:lang w:val="en-US" w:eastAsia="zh-CN"/>
        </w:rPr>
        <w:t>；</w:t>
      </w:r>
    </w:p>
    <w:p w14:paraId="1ABDE2D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default" w:ascii="仿宋_GB2312" w:hAnsi="仿宋_GB2312" w:eastAsia="仿宋_GB2312" w:cs="仿宋_GB2312"/>
          <w:sz w:val="32"/>
          <w:szCs w:val="32"/>
          <w:lang w:val="en-US" w:eastAsia="zh-CN"/>
        </w:rPr>
        <w:t>室内外下水（污水）管道维修、养护和管理，包括校园内外所有下水井</w:t>
      </w:r>
      <w:r>
        <w:rPr>
          <w:rFonts w:hint="eastAsia" w:ascii="仿宋_GB2312" w:hAnsi="仿宋_GB2312" w:eastAsia="仿宋_GB2312" w:cs="仿宋_GB2312"/>
          <w:sz w:val="32"/>
          <w:szCs w:val="32"/>
          <w:lang w:val="en-US" w:eastAsia="zh-CN"/>
        </w:rPr>
        <w:t>堵塞及井盖子损坏时及时疏通</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w:t>
      </w:r>
      <w:r>
        <w:rPr>
          <w:rFonts w:hint="default" w:ascii="仿宋_GB2312" w:hAnsi="仿宋_GB2312" w:eastAsia="仿宋_GB2312" w:cs="仿宋_GB2312"/>
          <w:sz w:val="32"/>
          <w:szCs w:val="32"/>
          <w:lang w:val="en-US" w:eastAsia="zh-CN"/>
        </w:rPr>
        <w:t>；</w:t>
      </w:r>
    </w:p>
    <w:p w14:paraId="7A4AF98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r>
        <w:rPr>
          <w:rFonts w:hint="default" w:ascii="仿宋_GB2312" w:hAnsi="仿宋_GB2312" w:eastAsia="仿宋_GB2312" w:cs="仿宋_GB2312"/>
          <w:sz w:val="32"/>
          <w:szCs w:val="32"/>
          <w:lang w:val="en-US" w:eastAsia="zh-CN"/>
        </w:rPr>
        <w:t>门、门</w:t>
      </w:r>
      <w:r>
        <w:rPr>
          <w:rFonts w:hint="eastAsia" w:ascii="仿宋_GB2312" w:hAnsi="仿宋_GB2312" w:eastAsia="仿宋_GB2312" w:cs="仿宋_GB2312"/>
          <w:sz w:val="32"/>
          <w:szCs w:val="32"/>
          <w:lang w:val="en-US" w:eastAsia="zh-CN"/>
        </w:rPr>
        <w:t>锁、</w:t>
      </w:r>
      <w:r>
        <w:rPr>
          <w:rFonts w:hint="default" w:ascii="仿宋_GB2312" w:hAnsi="仿宋_GB2312" w:eastAsia="仿宋_GB2312" w:cs="仿宋_GB2312"/>
          <w:sz w:val="32"/>
          <w:szCs w:val="32"/>
          <w:lang w:val="en-US" w:eastAsia="zh-CN"/>
        </w:rPr>
        <w:t>窗、床、</w:t>
      </w:r>
      <w:r>
        <w:rPr>
          <w:rFonts w:hint="eastAsia" w:ascii="仿宋_GB2312" w:hAnsi="仿宋_GB2312" w:eastAsia="仿宋_GB2312" w:cs="仿宋_GB2312"/>
          <w:sz w:val="32"/>
          <w:szCs w:val="32"/>
          <w:lang w:val="en-US" w:eastAsia="zh-CN"/>
        </w:rPr>
        <w:t>桌、椅、板凳、讲台、</w:t>
      </w:r>
      <w:r>
        <w:rPr>
          <w:rFonts w:hint="default" w:ascii="仿宋_GB2312" w:hAnsi="仿宋_GB2312" w:eastAsia="仿宋_GB2312" w:cs="仿宋_GB2312"/>
          <w:sz w:val="32"/>
          <w:szCs w:val="32"/>
          <w:lang w:val="en-US" w:eastAsia="zh-CN"/>
        </w:rPr>
        <w:t>吊顶维修养护和管理，包括门</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窗</w:t>
      </w:r>
      <w:r>
        <w:rPr>
          <w:rFonts w:hint="eastAsia" w:ascii="仿宋_GB2312" w:hAnsi="仿宋_GB2312" w:eastAsia="仿宋_GB2312" w:cs="仿宋_GB2312"/>
          <w:sz w:val="32"/>
          <w:szCs w:val="32"/>
          <w:lang w:val="en-US" w:eastAsia="zh-CN"/>
        </w:rPr>
        <w:t>、消防栓</w:t>
      </w:r>
      <w:r>
        <w:rPr>
          <w:rFonts w:hint="default" w:ascii="仿宋_GB2312" w:hAnsi="仿宋_GB2312" w:eastAsia="仿宋_GB2312" w:cs="仿宋_GB2312"/>
          <w:sz w:val="32"/>
          <w:szCs w:val="32"/>
          <w:lang w:val="en-US" w:eastAsia="zh-CN"/>
        </w:rPr>
        <w:t>玻璃、各种门锁</w:t>
      </w:r>
      <w:r>
        <w:rPr>
          <w:rFonts w:hint="eastAsia" w:ascii="仿宋_GB2312" w:hAnsi="仿宋_GB2312" w:eastAsia="仿宋_GB2312" w:cs="仿宋_GB2312"/>
          <w:sz w:val="32"/>
          <w:szCs w:val="32"/>
          <w:lang w:val="en-US" w:eastAsia="zh-CN"/>
        </w:rPr>
        <w:t>把手</w:t>
      </w:r>
      <w:r>
        <w:rPr>
          <w:rFonts w:hint="default" w:ascii="仿宋_GB2312" w:hAnsi="仿宋_GB2312" w:eastAsia="仿宋_GB2312" w:cs="仿宋_GB2312"/>
          <w:sz w:val="32"/>
          <w:szCs w:val="32"/>
          <w:lang w:val="en-US" w:eastAsia="zh-CN"/>
        </w:rPr>
        <w:t>、窗户栏维修、养护</w:t>
      </w:r>
      <w:r>
        <w:rPr>
          <w:rFonts w:hint="eastAsia" w:ascii="仿宋_GB2312" w:hAnsi="仿宋_GB2312" w:eastAsia="仿宋_GB2312" w:cs="仿宋_GB2312"/>
          <w:sz w:val="32"/>
          <w:szCs w:val="32"/>
          <w:lang w:val="en-US" w:eastAsia="zh-CN"/>
        </w:rPr>
        <w:t>更换配件、供暖期前后各楼栋进户门帘子的挂取</w:t>
      </w:r>
      <w:r>
        <w:rPr>
          <w:rFonts w:hint="default" w:ascii="仿宋_GB2312" w:hAnsi="仿宋_GB2312" w:eastAsia="仿宋_GB2312" w:cs="仿宋_GB2312"/>
          <w:sz w:val="32"/>
          <w:szCs w:val="32"/>
          <w:lang w:val="en-US" w:eastAsia="zh-CN"/>
        </w:rPr>
        <w:t>；</w:t>
      </w:r>
    </w:p>
    <w:p w14:paraId="4FD4E8C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6.校园四周</w:t>
      </w:r>
      <w:r>
        <w:rPr>
          <w:rFonts w:hint="default" w:ascii="仿宋_GB2312" w:hAnsi="仿宋_GB2312" w:eastAsia="仿宋_GB2312" w:cs="仿宋_GB2312"/>
          <w:sz w:val="32"/>
          <w:szCs w:val="32"/>
          <w:lang w:val="en-US" w:eastAsia="zh-CN"/>
        </w:rPr>
        <w:t>围栏</w:t>
      </w:r>
      <w:r>
        <w:rPr>
          <w:rFonts w:hint="eastAsia" w:ascii="仿宋_GB2312" w:hAnsi="仿宋_GB2312" w:eastAsia="仿宋_GB2312" w:cs="仿宋_GB2312"/>
          <w:sz w:val="32"/>
          <w:szCs w:val="32"/>
          <w:lang w:val="en-US" w:eastAsia="zh-CN"/>
        </w:rPr>
        <w:t>、楼梯扶手</w:t>
      </w:r>
      <w:r>
        <w:rPr>
          <w:rFonts w:hint="default" w:ascii="仿宋_GB2312" w:hAnsi="仿宋_GB2312" w:eastAsia="仿宋_GB2312" w:cs="仿宋_GB2312"/>
          <w:sz w:val="32"/>
          <w:szCs w:val="32"/>
          <w:lang w:val="en-US" w:eastAsia="zh-CN"/>
        </w:rPr>
        <w:t>维修、养护和管理。包括</w:t>
      </w:r>
      <w:r>
        <w:rPr>
          <w:rFonts w:hint="eastAsia" w:ascii="仿宋_GB2312" w:hAnsi="仿宋_GB2312" w:eastAsia="仿宋_GB2312" w:cs="仿宋_GB2312"/>
          <w:sz w:val="32"/>
          <w:szCs w:val="32"/>
          <w:lang w:val="en-US" w:eastAsia="zh-CN"/>
        </w:rPr>
        <w:t>7</w:t>
      </w:r>
      <w:r>
        <w:rPr>
          <w:rFonts w:hint="default" w:ascii="仿宋_GB2312" w:hAnsi="仿宋_GB2312" w:eastAsia="仿宋_GB2312" w:cs="仿宋_GB2312"/>
          <w:sz w:val="32"/>
          <w:szCs w:val="32"/>
          <w:lang w:val="en-US" w:eastAsia="zh-CN"/>
        </w:rPr>
        <w:t>个大门的维修</w:t>
      </w:r>
      <w:r>
        <w:rPr>
          <w:rFonts w:hint="eastAsia" w:ascii="仿宋_GB2312" w:hAnsi="仿宋_GB2312" w:eastAsia="仿宋_GB2312" w:cs="仿宋_GB2312"/>
          <w:sz w:val="32"/>
          <w:szCs w:val="32"/>
          <w:lang w:val="en-US" w:eastAsia="zh-CN"/>
        </w:rPr>
        <w:t>更换配件</w:t>
      </w:r>
      <w:r>
        <w:rPr>
          <w:rFonts w:hint="default" w:ascii="仿宋_GB2312" w:hAnsi="仿宋_GB2312" w:eastAsia="仿宋_GB2312" w:cs="仿宋_GB2312"/>
          <w:sz w:val="32"/>
          <w:szCs w:val="32"/>
          <w:lang w:val="en-US" w:eastAsia="zh-CN"/>
        </w:rPr>
        <w:t>；</w:t>
      </w:r>
    </w:p>
    <w:p w14:paraId="32C4D32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7.锅炉房使用管理，包括3台燃气锅炉（一台10T、二台6T ）试水及其它附属设备（电路、泵、水处理设备等</w:t>
      </w:r>
      <w:r>
        <w:rPr>
          <w:rFonts w:hint="default" w:ascii="仿宋_GB2312" w:hAnsi="仿宋_GB2312" w:eastAsia="仿宋_GB2312" w:cs="仿宋_GB2312"/>
          <w:sz w:val="32"/>
          <w:szCs w:val="32"/>
          <w:lang w:val="en-US" w:eastAsia="zh-CN"/>
        </w:rPr>
        <w:t>养护</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维修</w:t>
      </w:r>
      <w:r>
        <w:rPr>
          <w:rFonts w:hint="eastAsia" w:ascii="仿宋_GB2312" w:hAnsi="仿宋_GB2312" w:eastAsia="仿宋_GB2312" w:cs="仿宋_GB2312"/>
          <w:sz w:val="32"/>
          <w:szCs w:val="32"/>
          <w:lang w:val="en-US" w:eastAsia="zh-CN"/>
        </w:rPr>
        <w:t>更换配件</w:t>
      </w:r>
      <w:r>
        <w:rPr>
          <w:rFonts w:hint="default" w:ascii="仿宋_GB2312" w:hAnsi="仿宋_GB2312" w:eastAsia="仿宋_GB2312" w:cs="仿宋_GB2312"/>
          <w:sz w:val="32"/>
          <w:szCs w:val="32"/>
          <w:lang w:val="en-US" w:eastAsia="zh-CN"/>
        </w:rPr>
        <w:t>和管理</w:t>
      </w:r>
      <w:r>
        <w:rPr>
          <w:rFonts w:hint="eastAsia" w:ascii="仿宋_GB2312" w:hAnsi="仿宋_GB2312" w:eastAsia="仿宋_GB2312" w:cs="仿宋_GB2312"/>
          <w:sz w:val="32"/>
          <w:szCs w:val="32"/>
          <w:lang w:val="en-US" w:eastAsia="zh-CN"/>
        </w:rPr>
        <w:t>），供暖期间锅炉房按要求安排管理人员和专人24小时值班（不得从其他水、电、暖维修队伍中抽取），值班期间保持锅炉房内卫生及设备日常定期清扫保洁，做到按制定标准全天候、全方位保洁，保证按要求正常供暖。</w:t>
      </w:r>
    </w:p>
    <w:p w14:paraId="2544459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b w:val="0"/>
          <w:bCs w:val="0"/>
          <w:kern w:val="2"/>
          <w:sz w:val="32"/>
          <w:szCs w:val="32"/>
          <w:lang w:val="en-US" w:eastAsia="zh-CN" w:bidi="ar-SA"/>
        </w:rPr>
        <w:t>甲方因临时性工作和特殊情况需要乙方配合时，乙方应服从甲方的安排，并保质保量完成任务。</w:t>
      </w:r>
    </w:p>
    <w:p w14:paraId="4387B79C">
      <w:pPr>
        <w:pStyle w:val="2"/>
        <w:keepNext w:val="0"/>
        <w:keepLines w:val="0"/>
        <w:pageBreakBefore w:val="0"/>
        <w:wordWrap/>
        <w:overflowPunct/>
        <w:topLinePunct w:val="0"/>
        <w:bidi w:val="0"/>
        <w:spacing w:line="560" w:lineRule="exact"/>
        <w:ind w:left="0" w:right="0" w:firstLine="640" w:firstLineChars="200"/>
        <w:outlineLvl w:val="1"/>
        <w:rPr>
          <w:rFonts w:hint="eastAsia" w:ascii="黑体" w:hAnsi="黑体" w:eastAsia="黑体" w:cs="黑体"/>
          <w:snapToGrid w:val="0"/>
          <w:color w:val="000000"/>
          <w:kern w:val="0"/>
          <w:sz w:val="32"/>
          <w:szCs w:val="32"/>
          <w:lang w:val="en-US" w:eastAsia="zh-CN" w:bidi="ar-SA"/>
        </w:rPr>
      </w:pPr>
      <w:r>
        <w:rPr>
          <w:rFonts w:hint="eastAsia" w:ascii="黑体" w:hAnsi="黑体" w:eastAsia="黑体" w:cs="黑体"/>
          <w:snapToGrid w:val="0"/>
          <w:color w:val="000000"/>
          <w:kern w:val="0"/>
          <w:sz w:val="32"/>
          <w:szCs w:val="32"/>
          <w:lang w:val="en-US" w:eastAsia="zh-CN" w:bidi="ar-SA"/>
        </w:rPr>
        <w:t>六、其他要求</w:t>
      </w:r>
    </w:p>
    <w:p w14:paraId="6BC1D4D9">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1．乙方须对甲方工作目标要求、现场、周边环境在全面了解的情况下，编制科学、合理、切实可行的组织实施计划以及具体的质量保证措施、工作程序。</w:t>
      </w:r>
    </w:p>
    <w:p w14:paraId="4EAFEB5A">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2．乙方须对甲方的水、电、暖、锅炉存在问题和难点、要点等问题进行调查剖析，并针对性的提出克服难点和要点的技术措施。</w:t>
      </w:r>
    </w:p>
    <w:p w14:paraId="769265A8">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3．乙方须根据甲方本项目的实际情况制定针对性的管理服务实施方案、制度。</w:t>
      </w:r>
    </w:p>
    <w:p w14:paraId="128133F3">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4.乙方根据甲方用人需要与员工建立劳动关系，并安排到甲方指定地点工作，为本项目配备足够的劳务人员及需满足本项目的相关要求：</w:t>
      </w:r>
    </w:p>
    <w:p w14:paraId="7D45AD83">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（1）熟悉水、电、暖、锅炉系统的原理和操作符合持证上岗的要求。</w:t>
      </w:r>
    </w:p>
    <w:p w14:paraId="7D7E18D0">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（2）掌握水暖和电气设备的安装、锅炉维护和修理技术。</w:t>
      </w:r>
    </w:p>
    <w:p w14:paraId="15C99670">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（3）熟悉使用水暖和电气设备测试仪器和工具。</w:t>
      </w:r>
    </w:p>
    <w:p w14:paraId="59E44313">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（4）具备良好的问题分析和解决能力。</w:t>
      </w:r>
    </w:p>
    <w:p w14:paraId="47F4CEDB">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（5）具备团队合作和沟通能力。</w:t>
      </w:r>
    </w:p>
    <w:p w14:paraId="56077975">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（6）遵守甲方制定的值班制度。</w:t>
      </w:r>
    </w:p>
    <w:p w14:paraId="3E61CAB5">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（7）工作期间服从甲方管理，服装应统一、整洁，挂牌上岗，便于管理。</w:t>
      </w:r>
    </w:p>
    <w:p w14:paraId="41D44085">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（8）所有维修工作当天完成，如遇特殊情况，需向甲方汇报，并在甲方规定的时间完成。</w:t>
      </w:r>
    </w:p>
    <w:p w14:paraId="4BE4C181">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（9）维修工作遵守相关安全规程，使用个人防护设备，确保自身和他人的安全。</w:t>
      </w:r>
    </w:p>
    <w:p w14:paraId="67F2CEDC">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（10）若劳务人员不能达到甲方用工标准（如：乙方提供用工合同、人员工资表、各类保险等），乙方须按照甲方要求进行调整。</w:t>
      </w:r>
    </w:p>
    <w:p w14:paraId="1768951D">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（11）乙方达不到甲方要求以及乙方的各项服务承诺，甲方有权要求其整改，扣款直至终止合同。</w:t>
      </w:r>
    </w:p>
    <w:p w14:paraId="0FC159BB">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（12）乙方的所有工作除应按甲方内部流程实施外，还应接受甲方或第三方的检查。</w:t>
      </w:r>
    </w:p>
    <w:p w14:paraId="00E56B79">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z w:val="32"/>
          <w:szCs w:val="32"/>
          <w:highlight w:val="cyan"/>
          <w:lang w:val="en-US" w:eastAsia="zh-CN"/>
        </w:rPr>
      </w:pPr>
      <w:r>
        <w:rPr>
          <w:rFonts w:hint="eastAsia" w:ascii="仿宋_GB2312" w:hAnsi="仿宋_GB2312" w:eastAsia="仿宋_GB2312" w:cs="仿宋_GB2312"/>
          <w:sz w:val="32"/>
          <w:szCs w:val="32"/>
          <w:lang w:val="en-US" w:eastAsia="zh-CN"/>
        </w:rPr>
        <w:t>（13）乙方能承诺安全责任，在经营管理过程中所产生的一切人事劳资、人身伤害、物品失窃等，均由乙方独立承担全部责任。</w:t>
      </w:r>
    </w:p>
    <w:p w14:paraId="48C8CD25">
      <w:pPr>
        <w:pStyle w:val="2"/>
        <w:keepNext w:val="0"/>
        <w:keepLines w:val="0"/>
        <w:pageBreakBefore w:val="0"/>
        <w:wordWrap/>
        <w:overflowPunct/>
        <w:topLinePunct w:val="0"/>
        <w:bidi w:val="0"/>
        <w:spacing w:line="560" w:lineRule="exact"/>
        <w:ind w:left="0" w:right="0" w:firstLine="612" w:firstLineChars="200"/>
        <w:outlineLvl w:val="1"/>
        <w:rPr>
          <w:rFonts w:hint="eastAsia" w:ascii="黑体" w:hAnsi="黑体" w:eastAsia="黑体" w:cs="黑体"/>
          <w:b/>
          <w:bCs/>
          <w:snapToGrid w:val="0"/>
          <w:color w:val="000000"/>
          <w:spacing w:val="18"/>
          <w:kern w:val="0"/>
          <w:sz w:val="32"/>
          <w:szCs w:val="32"/>
          <w:lang w:val="en-US" w:eastAsia="en-US" w:bidi="ar-SA"/>
        </w:rPr>
      </w:pPr>
      <w:r>
        <w:rPr>
          <w:rFonts w:hint="eastAsia" w:ascii="黑体" w:hAnsi="黑体" w:eastAsia="黑体" w:cs="黑体"/>
          <w:spacing w:val="-7"/>
          <w:sz w:val="32"/>
          <w:szCs w:val="32"/>
          <w:lang w:val="en-US" w:eastAsia="zh-CN"/>
          <w14:textOutline w14:w="5793" w14:cap="sq" w14:cmpd="sng">
            <w14:solidFill>
              <w14:srgbClr w14:val="000000"/>
            </w14:solidFill>
            <w14:prstDash w14:val="solid"/>
            <w14:bevel/>
          </w14:textOutline>
        </w:rPr>
        <w:t>七、</w:t>
      </w:r>
      <w:r>
        <w:rPr>
          <w:rFonts w:hint="eastAsia" w:ascii="黑体" w:hAnsi="黑体" w:eastAsia="黑体" w:cs="黑体"/>
          <w:b/>
          <w:bCs/>
          <w:snapToGrid w:val="0"/>
          <w:color w:val="000000"/>
          <w:spacing w:val="18"/>
          <w:kern w:val="0"/>
          <w:sz w:val="32"/>
          <w:szCs w:val="32"/>
          <w:lang w:val="en-US" w:eastAsia="en-US" w:bidi="ar-SA"/>
        </w:rPr>
        <w:t>考核细则及结算</w:t>
      </w:r>
    </w:p>
    <w:p w14:paraId="4B2DD4D5">
      <w:pPr>
        <w:pStyle w:val="2"/>
        <w:keepNext w:val="0"/>
        <w:keepLines w:val="0"/>
        <w:pageBreakBefore w:val="0"/>
        <w:wordWrap/>
        <w:overflowPunct/>
        <w:topLinePunct w:val="0"/>
        <w:bidi w:val="0"/>
        <w:spacing w:line="560" w:lineRule="exact"/>
        <w:ind w:left="0" w:right="0" w:firstLine="640" w:firstLineChars="200"/>
        <w:outlineLvl w:val="1"/>
        <w:rPr>
          <w:rFonts w:hint="eastAsia" w:ascii="仿宋_GB2312" w:hAnsi="仿宋_GB2312" w:eastAsia="仿宋_GB2312" w:cs="仿宋_GB2312"/>
          <w:snapToGrid w:val="0"/>
          <w:color w:val="000000"/>
          <w:kern w:val="0"/>
          <w:sz w:val="32"/>
          <w:szCs w:val="32"/>
          <w:lang w:val="en-US" w:eastAsia="zh-CN" w:bidi="ar-SA"/>
        </w:rPr>
      </w:pPr>
      <w:r>
        <w:rPr>
          <w:rFonts w:hint="eastAsia" w:ascii="仿宋_GB2312" w:hAnsi="仿宋_GB2312" w:eastAsia="仿宋_GB2312" w:cs="仿宋_GB2312"/>
          <w:snapToGrid w:val="0"/>
          <w:color w:val="000000"/>
          <w:kern w:val="0"/>
          <w:sz w:val="32"/>
          <w:szCs w:val="32"/>
          <w:lang w:val="en-US" w:eastAsia="zh-CN" w:bidi="ar-SA"/>
        </w:rPr>
        <w:t>1．考核：每月考核一次。</w:t>
      </w:r>
    </w:p>
    <w:p w14:paraId="74C8DBD5">
      <w:pPr>
        <w:pStyle w:val="2"/>
        <w:keepNext w:val="0"/>
        <w:keepLines w:val="0"/>
        <w:pageBreakBefore w:val="0"/>
        <w:wordWrap/>
        <w:overflowPunct/>
        <w:topLinePunct w:val="0"/>
        <w:bidi w:val="0"/>
        <w:spacing w:line="560" w:lineRule="exact"/>
        <w:ind w:left="0" w:right="0" w:firstLine="640" w:firstLineChars="200"/>
        <w:rPr>
          <w:rFonts w:hint="eastAsia" w:ascii="仿宋_GB2312" w:hAnsi="仿宋_GB2312" w:eastAsia="仿宋_GB2312" w:cs="仿宋_GB2312"/>
          <w:snapToGrid w:val="0"/>
          <w:color w:val="000000"/>
          <w:kern w:val="0"/>
          <w:sz w:val="32"/>
          <w:szCs w:val="32"/>
          <w:lang w:val="en-US" w:eastAsia="zh-CN" w:bidi="ar-SA"/>
        </w:rPr>
      </w:pPr>
      <w:r>
        <w:rPr>
          <w:rFonts w:hint="eastAsia" w:ascii="仿宋_GB2312" w:hAnsi="仿宋_GB2312" w:eastAsia="仿宋_GB2312" w:cs="仿宋_GB2312"/>
          <w:snapToGrid w:val="0"/>
          <w:color w:val="000000"/>
          <w:kern w:val="0"/>
          <w:sz w:val="32"/>
          <w:szCs w:val="32"/>
          <w:lang w:val="en-US" w:eastAsia="zh-CN" w:bidi="ar-SA"/>
        </w:rPr>
        <w:t>2．水、电、暖维修服务考核表</w:t>
      </w:r>
    </w:p>
    <w:p w14:paraId="3AE49306">
      <w:pPr>
        <w:pStyle w:val="2"/>
        <w:keepNext w:val="0"/>
        <w:keepLines w:val="0"/>
        <w:pageBreakBefore w:val="0"/>
        <w:wordWrap/>
        <w:overflowPunct/>
        <w:topLinePunct w:val="0"/>
        <w:bidi w:val="0"/>
        <w:spacing w:line="560" w:lineRule="exact"/>
        <w:ind w:left="0" w:right="0"/>
        <w:rPr>
          <w:rFonts w:hint="eastAsia" w:ascii="仿宋_GB2312" w:hAnsi="仿宋_GB2312" w:eastAsia="仿宋_GB2312" w:cs="仿宋_GB2312"/>
          <w:snapToGrid w:val="0"/>
          <w:color w:val="000000"/>
          <w:kern w:val="0"/>
          <w:sz w:val="28"/>
          <w:szCs w:val="28"/>
          <w:lang w:val="en-US" w:eastAsia="zh-CN" w:bidi="ar-SA"/>
        </w:rPr>
        <w:sectPr>
          <w:headerReference r:id="rId5" w:type="default"/>
          <w:footerReference r:id="rId6" w:type="default"/>
          <w:pgSz w:w="11907" w:h="16840"/>
          <w:pgMar w:top="1984" w:right="1531" w:bottom="1984" w:left="1531" w:header="1283" w:footer="993" w:gutter="0"/>
          <w:pgBorders>
            <w:top w:val="none" w:sz="0" w:space="0"/>
            <w:left w:val="none" w:sz="0" w:space="0"/>
            <w:bottom w:val="none" w:sz="0" w:space="0"/>
            <w:right w:val="none" w:sz="0" w:space="0"/>
          </w:pgBorders>
          <w:pgNumType w:fmt="decimal"/>
          <w:cols w:space="720" w:num="1"/>
        </w:sectPr>
      </w:pPr>
    </w:p>
    <w:p w14:paraId="6AE47DE5">
      <w:pPr>
        <w:pStyle w:val="2"/>
        <w:keepNext w:val="0"/>
        <w:keepLines w:val="0"/>
        <w:pageBreakBefore w:val="0"/>
        <w:wordWrap/>
        <w:overflowPunct/>
        <w:topLinePunct w:val="0"/>
        <w:bidi w:val="0"/>
        <w:spacing w:line="560" w:lineRule="exact"/>
        <w:ind w:left="0" w:right="0"/>
        <w:jc w:val="center"/>
        <w:rPr>
          <w:rFonts w:hint="eastAsia" w:ascii="方正小标宋简体" w:hAnsi="方正小标宋简体" w:eastAsia="方正小标宋简体" w:cs="方正小标宋简体"/>
          <w:snapToGrid w:val="0"/>
          <w:color w:val="000000"/>
          <w:kern w:val="0"/>
          <w:sz w:val="44"/>
          <w:szCs w:val="44"/>
          <w:lang w:val="en-US" w:eastAsia="zh-CN" w:bidi="ar-SA"/>
        </w:rPr>
      </w:pPr>
      <w:r>
        <w:rPr>
          <w:rFonts w:hint="eastAsia" w:ascii="方正小标宋简体" w:hAnsi="方正小标宋简体" w:eastAsia="方正小标宋简体" w:cs="方正小标宋简体"/>
          <w:snapToGrid w:val="0"/>
          <w:color w:val="000000"/>
          <w:kern w:val="0"/>
          <w:sz w:val="44"/>
          <w:szCs w:val="44"/>
          <w:lang w:val="en-US" w:eastAsia="zh-CN" w:bidi="ar-SA"/>
        </w:rPr>
        <w:t>水、电、暖维修服务月考核打分表</w:t>
      </w:r>
    </w:p>
    <w:p w14:paraId="0B573140">
      <w:pPr>
        <w:pStyle w:val="2"/>
        <w:keepNext w:val="0"/>
        <w:keepLines w:val="0"/>
        <w:pageBreakBefore w:val="0"/>
        <w:wordWrap/>
        <w:overflowPunct/>
        <w:topLinePunct w:val="0"/>
        <w:bidi w:val="0"/>
        <w:spacing w:line="560" w:lineRule="exact"/>
        <w:ind w:left="0" w:right="0"/>
        <w:jc w:val="center"/>
        <w:rPr>
          <w:rFonts w:hint="eastAsia" w:ascii="方正小标宋简体" w:hAnsi="方正小标宋简体" w:eastAsia="方正小标宋简体" w:cs="方正小标宋简体"/>
          <w:snapToGrid w:val="0"/>
          <w:color w:val="000000"/>
          <w:kern w:val="0"/>
          <w:sz w:val="44"/>
          <w:szCs w:val="44"/>
          <w:lang w:val="en-US" w:eastAsia="zh-CN" w:bidi="ar-SA"/>
        </w:rPr>
      </w:pPr>
    </w:p>
    <w:tbl>
      <w:tblPr>
        <w:tblStyle w:val="3"/>
        <w:tblW w:w="14577" w:type="dxa"/>
        <w:jc w:val="center"/>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fixed"/>
        <w:tblCellMar>
          <w:top w:w="0" w:type="dxa"/>
          <w:left w:w="108" w:type="dxa"/>
          <w:bottom w:w="0" w:type="dxa"/>
          <w:right w:w="108" w:type="dxa"/>
        </w:tblCellMar>
      </w:tblPr>
      <w:tblGrid>
        <w:gridCol w:w="3518"/>
        <w:gridCol w:w="8576"/>
        <w:gridCol w:w="901"/>
        <w:gridCol w:w="791"/>
        <w:gridCol w:w="791"/>
      </w:tblGrid>
      <w:tr w14:paraId="7B652EB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518"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023C61BE">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考核内容</w:t>
            </w:r>
          </w:p>
        </w:tc>
        <w:tc>
          <w:tcPr>
            <w:tcW w:w="8576"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5606DDDB">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评分标准</w:t>
            </w:r>
          </w:p>
        </w:tc>
        <w:tc>
          <w:tcPr>
            <w:tcW w:w="901"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63F87740">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满分</w:t>
            </w:r>
          </w:p>
        </w:tc>
        <w:tc>
          <w:tcPr>
            <w:tcW w:w="791"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7B485E64">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得分</w:t>
            </w:r>
          </w:p>
        </w:tc>
        <w:tc>
          <w:tcPr>
            <w:tcW w:w="791"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2069FC2A">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备注</w:t>
            </w:r>
          </w:p>
        </w:tc>
      </w:tr>
      <w:tr w14:paraId="72316ED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05" w:hRule="atLeast"/>
          <w:jc w:val="center"/>
        </w:trPr>
        <w:tc>
          <w:tcPr>
            <w:tcW w:w="3518" w:type="dxa"/>
            <w:vMerge w:val="restart"/>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57ECD4FD">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人员情况考核</w:t>
            </w:r>
          </w:p>
          <w:p w14:paraId="04D58841">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10分</w:t>
            </w:r>
          </w:p>
        </w:tc>
        <w:tc>
          <w:tcPr>
            <w:tcW w:w="8576"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4AD71D8C">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不定时开展配备人员在岗情况抽查工作，人员不全1分/次</w:t>
            </w:r>
          </w:p>
        </w:tc>
        <w:tc>
          <w:tcPr>
            <w:tcW w:w="90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0B57B945">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w:t>
            </w:r>
          </w:p>
        </w:tc>
        <w:tc>
          <w:tcPr>
            <w:tcW w:w="79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4CCB26F5">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7FF0D490">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39BC36A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1311" w:hRule="atLeast"/>
          <w:jc w:val="center"/>
        </w:trPr>
        <w:tc>
          <w:tcPr>
            <w:tcW w:w="3518" w:type="dxa"/>
            <w:vMerge w:val="continue"/>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5A528906">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0462E53B">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配备的维修人员是否精通水电暖维修，是否持证上岗，每月不定时不定次数开展抽查工作，发现不持证上岗人员，1人/次扣0.5份，扣完为止</w:t>
            </w:r>
          </w:p>
        </w:tc>
        <w:tc>
          <w:tcPr>
            <w:tcW w:w="90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1192ED7E">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w:t>
            </w:r>
          </w:p>
        </w:tc>
        <w:tc>
          <w:tcPr>
            <w:tcW w:w="79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51574D37">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4B9A53F3">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0E6DAC8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06" w:hRule="atLeast"/>
          <w:jc w:val="center"/>
        </w:trPr>
        <w:tc>
          <w:tcPr>
            <w:tcW w:w="3518" w:type="dxa"/>
            <w:vMerge w:val="continue"/>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29F609AE">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single" w:color="000000" w:sz="4" w:space="0"/>
              <w:left w:val="single" w:color="000000" w:sz="4" w:space="0"/>
              <w:bottom w:val="single" w:color="auto" w:sz="4" w:space="0"/>
              <w:right w:val="single" w:color="000000" w:sz="4" w:space="0"/>
            </w:tcBorders>
            <w:noWrap w:val="0"/>
            <w:tcMar>
              <w:top w:w="0" w:type="dxa"/>
              <w:left w:w="105" w:type="dxa"/>
              <w:bottom w:w="0" w:type="dxa"/>
              <w:right w:w="105" w:type="dxa"/>
            </w:tcMar>
            <w:vAlign w:val="center"/>
          </w:tcPr>
          <w:p w14:paraId="66895FD6">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配备的维修人员是否思想政治合格，遵纪守法，发现违纪违法的，1人次扣2分</w:t>
            </w:r>
          </w:p>
        </w:tc>
        <w:tc>
          <w:tcPr>
            <w:tcW w:w="90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0DE5C746">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w:t>
            </w:r>
          </w:p>
        </w:tc>
        <w:tc>
          <w:tcPr>
            <w:tcW w:w="79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1F6E2E82">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3EDA8D7B">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684306A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3518" w:type="dxa"/>
            <w:vMerge w:val="restart"/>
            <w:tcBorders>
              <w:top w:val="single" w:color="000000" w:sz="4" w:space="0"/>
              <w:left w:val="single" w:color="000000" w:sz="4" w:space="0"/>
              <w:bottom w:val="single" w:color="000000" w:sz="4" w:space="0"/>
              <w:right w:val="single" w:color="auto" w:sz="4" w:space="0"/>
            </w:tcBorders>
            <w:noWrap w:val="0"/>
            <w:tcMar>
              <w:top w:w="0" w:type="dxa"/>
              <w:left w:w="105" w:type="dxa"/>
              <w:bottom w:w="0" w:type="dxa"/>
              <w:right w:w="105" w:type="dxa"/>
            </w:tcMar>
            <w:vAlign w:val="center"/>
          </w:tcPr>
          <w:p w14:paraId="07042CA7">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维修情况考核</w:t>
            </w:r>
          </w:p>
          <w:p w14:paraId="679A0A81">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70分</w:t>
            </w:r>
          </w:p>
        </w:tc>
        <w:tc>
          <w:tcPr>
            <w:tcW w:w="8576" w:type="dxa"/>
            <w:tcBorders>
              <w:top w:val="single" w:color="auto" w:sz="4" w:space="0"/>
              <w:left w:val="single" w:color="auto" w:sz="4" w:space="0"/>
              <w:bottom w:val="nil"/>
              <w:right w:val="single" w:color="auto" w:sz="4" w:space="0"/>
            </w:tcBorders>
            <w:noWrap w:val="0"/>
            <w:tcMar>
              <w:top w:w="0" w:type="dxa"/>
              <w:left w:w="105" w:type="dxa"/>
              <w:bottom w:w="0" w:type="dxa"/>
              <w:right w:w="105" w:type="dxa"/>
            </w:tcMar>
            <w:vAlign w:val="center"/>
          </w:tcPr>
          <w:p w14:paraId="7A1BB90B">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1.各部门提出的维修需求（包含但不限于维修单、微信群、电话、短信等方式）在规定时间内未能维修完成的，一次扣0.5分；</w:t>
            </w:r>
          </w:p>
        </w:tc>
        <w:tc>
          <w:tcPr>
            <w:tcW w:w="901" w:type="dxa"/>
            <w:vMerge w:val="restart"/>
            <w:tcBorders>
              <w:top w:val="single" w:color="000000" w:sz="4" w:space="0"/>
              <w:left w:val="single" w:color="auto" w:sz="4" w:space="0"/>
              <w:right w:val="single" w:color="000000" w:sz="4" w:space="0"/>
            </w:tcBorders>
            <w:noWrap w:val="0"/>
            <w:tcMar>
              <w:top w:w="0" w:type="dxa"/>
              <w:left w:w="105" w:type="dxa"/>
              <w:bottom w:w="0" w:type="dxa"/>
              <w:right w:w="105" w:type="dxa"/>
            </w:tcMar>
            <w:vAlign w:val="center"/>
          </w:tcPr>
          <w:p w14:paraId="064264D8">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70</w:t>
            </w:r>
          </w:p>
        </w:tc>
        <w:tc>
          <w:tcPr>
            <w:tcW w:w="791" w:type="dxa"/>
            <w:vMerge w:val="restart"/>
            <w:tcBorders>
              <w:top w:val="single" w:color="000000" w:sz="4" w:space="0"/>
              <w:left w:val="nil"/>
              <w:right w:val="single" w:color="000000" w:sz="4" w:space="0"/>
            </w:tcBorders>
            <w:noWrap w:val="0"/>
            <w:tcMar>
              <w:top w:w="0" w:type="dxa"/>
              <w:left w:w="105" w:type="dxa"/>
              <w:bottom w:w="0" w:type="dxa"/>
              <w:right w:w="105" w:type="dxa"/>
            </w:tcMar>
            <w:vAlign w:val="center"/>
          </w:tcPr>
          <w:p w14:paraId="4D75533F">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restart"/>
            <w:tcBorders>
              <w:top w:val="single" w:color="000000" w:sz="4" w:space="0"/>
              <w:left w:val="nil"/>
              <w:right w:val="single" w:color="000000" w:sz="4" w:space="0"/>
            </w:tcBorders>
            <w:noWrap w:val="0"/>
            <w:tcMar>
              <w:top w:w="0" w:type="dxa"/>
              <w:left w:w="105" w:type="dxa"/>
              <w:bottom w:w="0" w:type="dxa"/>
              <w:right w:w="105" w:type="dxa"/>
            </w:tcMar>
            <w:vAlign w:val="center"/>
          </w:tcPr>
          <w:p w14:paraId="338078CD">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327F4F9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1171" w:hRule="atLeast"/>
          <w:jc w:val="center"/>
        </w:trPr>
        <w:tc>
          <w:tcPr>
            <w:tcW w:w="3518" w:type="dxa"/>
            <w:vMerge w:val="continue"/>
            <w:tcBorders>
              <w:top w:val="single" w:color="000000" w:sz="4" w:space="0"/>
              <w:left w:val="single" w:color="000000" w:sz="4" w:space="0"/>
              <w:bottom w:val="single" w:color="000000" w:sz="4" w:space="0"/>
              <w:right w:val="single" w:color="auto" w:sz="4" w:space="0"/>
            </w:tcBorders>
            <w:noWrap w:val="0"/>
            <w:vAlign w:val="center"/>
          </w:tcPr>
          <w:p w14:paraId="3E819509">
            <w:pPr>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nil"/>
              <w:left w:val="single" w:color="auto" w:sz="4" w:space="0"/>
              <w:bottom w:val="nil"/>
              <w:right w:val="single" w:color="auto" w:sz="4" w:space="0"/>
            </w:tcBorders>
            <w:noWrap w:val="0"/>
            <w:tcMar>
              <w:top w:w="0" w:type="dxa"/>
              <w:left w:w="105" w:type="dxa"/>
              <w:bottom w:w="0" w:type="dxa"/>
              <w:right w:w="105" w:type="dxa"/>
            </w:tcMar>
            <w:vAlign w:val="center"/>
          </w:tcPr>
          <w:p w14:paraId="322AE571">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2.未做到定期检查，维护、例行巡视而造成事故，每次扣3分；</w:t>
            </w:r>
          </w:p>
          <w:p w14:paraId="7E9787D5">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3.出现紧急情况，处理方式不合理，造成事故延误，每次扣2分；</w:t>
            </w:r>
          </w:p>
        </w:tc>
        <w:tc>
          <w:tcPr>
            <w:tcW w:w="901" w:type="dxa"/>
            <w:vMerge w:val="continue"/>
            <w:tcBorders>
              <w:left w:val="single" w:color="auto" w:sz="4" w:space="0"/>
              <w:right w:val="single" w:color="000000" w:sz="4" w:space="0"/>
            </w:tcBorders>
            <w:noWrap w:val="0"/>
            <w:tcMar>
              <w:top w:w="0" w:type="dxa"/>
              <w:left w:w="105" w:type="dxa"/>
              <w:bottom w:w="0" w:type="dxa"/>
              <w:right w:w="105" w:type="dxa"/>
            </w:tcMar>
            <w:vAlign w:val="center"/>
          </w:tcPr>
          <w:p w14:paraId="2344F40A">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nil"/>
              <w:right w:val="single" w:color="000000" w:sz="4" w:space="0"/>
            </w:tcBorders>
            <w:noWrap w:val="0"/>
            <w:tcMar>
              <w:top w:w="0" w:type="dxa"/>
              <w:left w:w="105" w:type="dxa"/>
              <w:bottom w:w="0" w:type="dxa"/>
              <w:right w:w="105" w:type="dxa"/>
            </w:tcMar>
            <w:vAlign w:val="center"/>
          </w:tcPr>
          <w:p w14:paraId="68F73EED">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nil"/>
              <w:right w:val="single" w:color="000000" w:sz="4" w:space="0"/>
            </w:tcBorders>
            <w:noWrap w:val="0"/>
            <w:tcMar>
              <w:top w:w="0" w:type="dxa"/>
              <w:left w:w="105" w:type="dxa"/>
              <w:bottom w:w="0" w:type="dxa"/>
              <w:right w:w="105" w:type="dxa"/>
            </w:tcMar>
            <w:vAlign w:val="center"/>
          </w:tcPr>
          <w:p w14:paraId="6ACEDFE4">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5046EC5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3518" w:type="dxa"/>
            <w:vMerge w:val="continue"/>
            <w:tcBorders>
              <w:top w:val="single" w:color="000000" w:sz="4" w:space="0"/>
              <w:left w:val="single" w:color="000000" w:sz="4" w:space="0"/>
              <w:bottom w:val="single" w:color="000000" w:sz="4" w:space="0"/>
              <w:right w:val="single" w:color="auto" w:sz="4" w:space="0"/>
            </w:tcBorders>
            <w:noWrap w:val="0"/>
            <w:vAlign w:val="center"/>
          </w:tcPr>
          <w:p w14:paraId="48E05E0E">
            <w:pPr>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nil"/>
              <w:left w:val="single" w:color="auto" w:sz="4" w:space="0"/>
              <w:bottom w:val="nil"/>
              <w:right w:val="single" w:color="auto" w:sz="4" w:space="0"/>
            </w:tcBorders>
            <w:noWrap w:val="0"/>
            <w:tcMar>
              <w:top w:w="0" w:type="dxa"/>
              <w:left w:w="105" w:type="dxa"/>
              <w:bottom w:w="0" w:type="dxa"/>
              <w:right w:w="105" w:type="dxa"/>
            </w:tcMar>
            <w:vAlign w:val="center"/>
          </w:tcPr>
          <w:p w14:paraId="616751D9">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4锅炉及供暖系统出现问题，未及时解决，影响正常使用，每次扣2分；</w:t>
            </w:r>
          </w:p>
        </w:tc>
        <w:tc>
          <w:tcPr>
            <w:tcW w:w="901" w:type="dxa"/>
            <w:vMerge w:val="continue"/>
            <w:tcBorders>
              <w:left w:val="single" w:color="auto" w:sz="4" w:space="0"/>
              <w:right w:val="single" w:color="000000" w:sz="4" w:space="0"/>
            </w:tcBorders>
            <w:noWrap w:val="0"/>
            <w:tcMar>
              <w:top w:w="0" w:type="dxa"/>
              <w:left w:w="105" w:type="dxa"/>
              <w:bottom w:w="0" w:type="dxa"/>
              <w:right w:w="105" w:type="dxa"/>
            </w:tcMar>
            <w:vAlign w:val="center"/>
          </w:tcPr>
          <w:p w14:paraId="565BB0CF">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nil"/>
              <w:right w:val="single" w:color="000000" w:sz="4" w:space="0"/>
            </w:tcBorders>
            <w:noWrap w:val="0"/>
            <w:tcMar>
              <w:top w:w="0" w:type="dxa"/>
              <w:left w:w="105" w:type="dxa"/>
              <w:bottom w:w="0" w:type="dxa"/>
              <w:right w:w="105" w:type="dxa"/>
            </w:tcMar>
            <w:vAlign w:val="center"/>
          </w:tcPr>
          <w:p w14:paraId="27482D21">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nil"/>
              <w:right w:val="single" w:color="000000" w:sz="4" w:space="0"/>
            </w:tcBorders>
            <w:noWrap w:val="0"/>
            <w:tcMar>
              <w:top w:w="0" w:type="dxa"/>
              <w:left w:w="105" w:type="dxa"/>
              <w:bottom w:w="0" w:type="dxa"/>
              <w:right w:w="105" w:type="dxa"/>
            </w:tcMar>
            <w:vAlign w:val="center"/>
          </w:tcPr>
          <w:p w14:paraId="6DCFF956">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2711CC2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77" w:hRule="atLeast"/>
          <w:jc w:val="center"/>
        </w:trPr>
        <w:tc>
          <w:tcPr>
            <w:tcW w:w="3518" w:type="dxa"/>
            <w:vMerge w:val="continue"/>
            <w:tcBorders>
              <w:top w:val="single" w:color="000000" w:sz="4" w:space="0"/>
              <w:left w:val="single" w:color="000000" w:sz="4" w:space="0"/>
              <w:bottom w:val="single" w:color="000000" w:sz="4" w:space="0"/>
              <w:right w:val="single" w:color="auto" w:sz="4" w:space="0"/>
            </w:tcBorders>
            <w:noWrap w:val="0"/>
            <w:vAlign w:val="center"/>
          </w:tcPr>
          <w:p w14:paraId="229B32BD">
            <w:pPr>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nil"/>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2CDEB442">
            <w:pPr>
              <w:pStyle w:val="8"/>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上述5条为维修情况考核重要内容，每核实一条累计扣分，扣完为止。</w:t>
            </w:r>
          </w:p>
        </w:tc>
        <w:tc>
          <w:tcPr>
            <w:tcW w:w="901" w:type="dxa"/>
            <w:vMerge w:val="continue"/>
            <w:tcBorders>
              <w:left w:val="single" w:color="auto" w:sz="4" w:space="0"/>
              <w:bottom w:val="single" w:color="000000" w:sz="4" w:space="0"/>
              <w:right w:val="single" w:color="000000" w:sz="4" w:space="0"/>
            </w:tcBorders>
            <w:noWrap w:val="0"/>
            <w:tcMar>
              <w:top w:w="0" w:type="dxa"/>
              <w:left w:w="105" w:type="dxa"/>
              <w:bottom w:w="0" w:type="dxa"/>
              <w:right w:w="105" w:type="dxa"/>
            </w:tcMar>
            <w:vAlign w:val="center"/>
          </w:tcPr>
          <w:p w14:paraId="7F29500F">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nil"/>
              <w:bottom w:val="single" w:color="000000" w:sz="4" w:space="0"/>
              <w:right w:val="single" w:color="000000" w:sz="4" w:space="0"/>
            </w:tcBorders>
            <w:noWrap w:val="0"/>
            <w:tcMar>
              <w:top w:w="0" w:type="dxa"/>
              <w:left w:w="105" w:type="dxa"/>
              <w:bottom w:w="0" w:type="dxa"/>
              <w:right w:w="105" w:type="dxa"/>
            </w:tcMar>
            <w:vAlign w:val="center"/>
          </w:tcPr>
          <w:p w14:paraId="55D614F2">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nil"/>
              <w:bottom w:val="single" w:color="000000" w:sz="4" w:space="0"/>
              <w:right w:val="single" w:color="000000" w:sz="4" w:space="0"/>
            </w:tcBorders>
            <w:noWrap w:val="0"/>
            <w:tcMar>
              <w:top w:w="0" w:type="dxa"/>
              <w:left w:w="105" w:type="dxa"/>
              <w:bottom w:w="0" w:type="dxa"/>
              <w:right w:w="105" w:type="dxa"/>
            </w:tcMar>
            <w:vAlign w:val="center"/>
          </w:tcPr>
          <w:p w14:paraId="7F9CB922">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6704C67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3518" w:type="dxa"/>
            <w:vMerge w:val="restart"/>
            <w:tcBorders>
              <w:top w:val="single" w:color="auto" w:sz="4" w:space="0"/>
              <w:left w:val="single" w:color="auto" w:sz="4" w:space="0"/>
              <w:right w:val="single" w:color="auto" w:sz="4" w:space="0"/>
            </w:tcBorders>
            <w:noWrap w:val="0"/>
            <w:vAlign w:val="center"/>
          </w:tcPr>
          <w:p w14:paraId="449CB47F">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维修投诉情况考核</w:t>
            </w:r>
          </w:p>
          <w:p w14:paraId="5B159BB1">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20分</w:t>
            </w:r>
          </w:p>
        </w:tc>
        <w:tc>
          <w:tcPr>
            <w:tcW w:w="8576" w:type="dxa"/>
            <w:tcBorders>
              <w:top w:val="single" w:color="auto" w:sz="4" w:space="0"/>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457CBA63">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1.接各楼栋使用单位投诉维修不及时经查属实的，每次扣1分；</w:t>
            </w:r>
          </w:p>
        </w:tc>
        <w:tc>
          <w:tcPr>
            <w:tcW w:w="901" w:type="dxa"/>
            <w:vMerge w:val="restart"/>
            <w:tcBorders>
              <w:top w:val="single" w:color="auto" w:sz="4" w:space="0"/>
              <w:left w:val="single" w:color="auto" w:sz="4" w:space="0"/>
              <w:right w:val="single" w:color="auto" w:sz="4" w:space="0"/>
            </w:tcBorders>
            <w:noWrap w:val="0"/>
            <w:tcMar>
              <w:top w:w="0" w:type="dxa"/>
              <w:left w:w="105" w:type="dxa"/>
              <w:bottom w:w="0" w:type="dxa"/>
              <w:right w:w="105" w:type="dxa"/>
            </w:tcMar>
            <w:vAlign w:val="center"/>
          </w:tcPr>
          <w:p w14:paraId="5AD53445">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20</w:t>
            </w:r>
          </w:p>
        </w:tc>
        <w:tc>
          <w:tcPr>
            <w:tcW w:w="791" w:type="dxa"/>
            <w:vMerge w:val="restart"/>
            <w:tcBorders>
              <w:top w:val="single" w:color="auto" w:sz="4" w:space="0"/>
              <w:left w:val="single" w:color="auto" w:sz="4" w:space="0"/>
              <w:right w:val="single" w:color="auto" w:sz="4" w:space="0"/>
            </w:tcBorders>
            <w:noWrap w:val="0"/>
            <w:tcMar>
              <w:top w:w="0" w:type="dxa"/>
              <w:left w:w="105" w:type="dxa"/>
              <w:bottom w:w="0" w:type="dxa"/>
              <w:right w:w="105" w:type="dxa"/>
            </w:tcMar>
            <w:vAlign w:val="center"/>
          </w:tcPr>
          <w:p w14:paraId="1A744414">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restart"/>
            <w:tcBorders>
              <w:top w:val="single" w:color="auto" w:sz="4" w:space="0"/>
              <w:left w:val="single" w:color="auto" w:sz="4" w:space="0"/>
              <w:right w:val="single" w:color="auto" w:sz="4" w:space="0"/>
            </w:tcBorders>
            <w:noWrap w:val="0"/>
            <w:tcMar>
              <w:top w:w="0" w:type="dxa"/>
              <w:left w:w="105" w:type="dxa"/>
              <w:bottom w:w="0" w:type="dxa"/>
              <w:right w:w="105" w:type="dxa"/>
            </w:tcMar>
            <w:vAlign w:val="center"/>
          </w:tcPr>
          <w:p w14:paraId="6900BEC3">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1EAFF21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3518" w:type="dxa"/>
            <w:vMerge w:val="continue"/>
            <w:tcBorders>
              <w:left w:val="single" w:color="auto" w:sz="4" w:space="0"/>
              <w:right w:val="single" w:color="auto" w:sz="4" w:space="0"/>
            </w:tcBorders>
            <w:noWrap w:val="0"/>
            <w:vAlign w:val="center"/>
          </w:tcPr>
          <w:p w14:paraId="4C3E253C">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single" w:color="auto" w:sz="4" w:space="0"/>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1C72CB12">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color w:val="000000"/>
                <w:kern w:val="0"/>
                <w:sz w:val="28"/>
                <w:szCs w:val="28"/>
                <w:lang w:val="en-US" w:eastAsia="zh-CN" w:bidi="ar-SA"/>
              </w:rPr>
              <w:t>2.接领导信箱、电话投诉维修不及时经查属实的，每次扣1分；接市级及以上相关单位反映的投诉情况经查属实的，每次扣5分；</w:t>
            </w:r>
          </w:p>
        </w:tc>
        <w:tc>
          <w:tcPr>
            <w:tcW w:w="901" w:type="dxa"/>
            <w:vMerge w:val="continue"/>
            <w:tcBorders>
              <w:left w:val="single" w:color="auto" w:sz="4" w:space="0"/>
              <w:right w:val="single" w:color="auto" w:sz="4" w:space="0"/>
            </w:tcBorders>
            <w:noWrap w:val="0"/>
            <w:tcMar>
              <w:top w:w="0" w:type="dxa"/>
              <w:left w:w="105" w:type="dxa"/>
              <w:bottom w:w="0" w:type="dxa"/>
              <w:right w:w="105" w:type="dxa"/>
            </w:tcMar>
            <w:vAlign w:val="center"/>
          </w:tcPr>
          <w:p w14:paraId="35EB4575">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single" w:color="auto" w:sz="4" w:space="0"/>
              <w:right w:val="single" w:color="auto" w:sz="4" w:space="0"/>
            </w:tcBorders>
            <w:noWrap w:val="0"/>
            <w:tcMar>
              <w:top w:w="0" w:type="dxa"/>
              <w:left w:w="105" w:type="dxa"/>
              <w:bottom w:w="0" w:type="dxa"/>
              <w:right w:w="105" w:type="dxa"/>
            </w:tcMar>
            <w:vAlign w:val="center"/>
          </w:tcPr>
          <w:p w14:paraId="04350AE2">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single" w:color="auto" w:sz="4" w:space="0"/>
              <w:right w:val="single" w:color="auto" w:sz="4" w:space="0"/>
            </w:tcBorders>
            <w:noWrap w:val="0"/>
            <w:tcMar>
              <w:top w:w="0" w:type="dxa"/>
              <w:left w:w="105" w:type="dxa"/>
              <w:bottom w:w="0" w:type="dxa"/>
              <w:right w:w="105" w:type="dxa"/>
            </w:tcMar>
            <w:vAlign w:val="center"/>
          </w:tcPr>
          <w:p w14:paraId="769C9C21">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2126208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3518" w:type="dxa"/>
            <w:vMerge w:val="continue"/>
            <w:tcBorders>
              <w:left w:val="single" w:color="auto" w:sz="4" w:space="0"/>
              <w:bottom w:val="single" w:color="auto" w:sz="4" w:space="0"/>
              <w:right w:val="single" w:color="auto" w:sz="4" w:space="0"/>
            </w:tcBorders>
            <w:noWrap w:val="0"/>
            <w:vAlign w:val="center"/>
          </w:tcPr>
          <w:p w14:paraId="7A3F79A8">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p>
        </w:tc>
        <w:tc>
          <w:tcPr>
            <w:tcW w:w="8576" w:type="dxa"/>
            <w:tcBorders>
              <w:top w:val="single" w:color="auto" w:sz="4" w:space="0"/>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7F6BCC55">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color w:val="000000"/>
                <w:kern w:val="0"/>
                <w:sz w:val="28"/>
                <w:szCs w:val="28"/>
                <w:lang w:val="en-US" w:eastAsia="zh-CN" w:bidi="ar-SA"/>
              </w:rPr>
            </w:pPr>
            <w:r>
              <w:rPr>
                <w:rFonts w:hint="eastAsia" w:ascii="仿宋_GB2312" w:hAnsi="仿宋_GB2312" w:eastAsia="仿宋_GB2312" w:cs="仿宋_GB2312"/>
                <w:color w:val="000000"/>
                <w:kern w:val="0"/>
                <w:sz w:val="28"/>
                <w:szCs w:val="28"/>
                <w:lang w:val="en-US" w:eastAsia="zh-CN" w:bidi="ar-SA"/>
              </w:rPr>
              <w:t>3.拖欠工人工资导致工人上访或者信访的（含电话诉求），每次扣5分。</w:t>
            </w:r>
          </w:p>
        </w:tc>
        <w:tc>
          <w:tcPr>
            <w:tcW w:w="901" w:type="dxa"/>
            <w:vMerge w:val="continue"/>
            <w:tcBorders>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46089AC4">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6063C86D">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vMerge w:val="continue"/>
            <w:tcBorders>
              <w:left w:val="single" w:color="auto" w:sz="4" w:space="0"/>
              <w:bottom w:val="single" w:color="auto" w:sz="4" w:space="0"/>
              <w:right w:val="single" w:color="auto" w:sz="4" w:space="0"/>
            </w:tcBorders>
            <w:noWrap w:val="0"/>
            <w:tcMar>
              <w:top w:w="0" w:type="dxa"/>
              <w:left w:w="105" w:type="dxa"/>
              <w:bottom w:w="0" w:type="dxa"/>
              <w:right w:w="105" w:type="dxa"/>
            </w:tcMar>
            <w:vAlign w:val="center"/>
          </w:tcPr>
          <w:p w14:paraId="05142A8F">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r w14:paraId="2E4BA5F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3518"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0E854373">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合计</w:t>
            </w:r>
          </w:p>
          <w:p w14:paraId="0AD97815">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（100分）</w:t>
            </w:r>
          </w:p>
        </w:tc>
        <w:tc>
          <w:tcPr>
            <w:tcW w:w="8576"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1D52F3B0">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901"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2416555A">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100</w:t>
            </w:r>
          </w:p>
        </w:tc>
        <w:tc>
          <w:tcPr>
            <w:tcW w:w="791"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148E7B63">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c>
          <w:tcPr>
            <w:tcW w:w="791"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3AE44B0F">
            <w:pPr>
              <w:pStyle w:val="8"/>
              <w:keepNext w:val="0"/>
              <w:keepLines w:val="0"/>
              <w:pageBreakBefore w:val="0"/>
              <w:kinsoku/>
              <w:wordWrap/>
              <w:overflowPunct/>
              <w:topLinePunct w:val="0"/>
              <w:autoSpaceDE/>
              <w:autoSpaceDN/>
              <w:bidi w:val="0"/>
              <w:adjustRightInd/>
              <w:snapToGrid/>
              <w:spacing w:line="560" w:lineRule="exact"/>
              <w:ind w:left="0" w:leftChars="0" w:right="0" w:rightChars="0" w:firstLine="0" w:firstLineChars="0"/>
              <w:jc w:val="both"/>
              <w:textAlignment w:val="auto"/>
              <w:rPr>
                <w:rFonts w:hint="eastAsia" w:ascii="仿宋_GB2312" w:hAnsi="仿宋_GB2312" w:eastAsia="仿宋_GB2312" w:cs="仿宋_GB2312"/>
                <w:snapToGrid w:val="0"/>
                <w:color w:val="000000"/>
                <w:kern w:val="0"/>
                <w:sz w:val="28"/>
                <w:szCs w:val="28"/>
                <w:lang w:val="en-US" w:eastAsia="zh-CN" w:bidi="ar-SA"/>
              </w:rPr>
            </w:pPr>
          </w:p>
        </w:tc>
      </w:tr>
    </w:tbl>
    <w:p w14:paraId="62B79E6F">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sectPr>
          <w:pgSz w:w="16840" w:h="11907" w:orient="landscape"/>
          <w:pgMar w:top="1531" w:right="1984" w:bottom="1531" w:left="1984" w:header="1283" w:footer="993" w:gutter="0"/>
          <w:pgBorders>
            <w:top w:val="none" w:sz="0" w:space="0"/>
            <w:left w:val="none" w:sz="0" w:space="0"/>
            <w:bottom w:val="none" w:sz="0" w:space="0"/>
            <w:right w:val="none" w:sz="0" w:space="0"/>
          </w:pgBorders>
          <w:pgNumType w:fmt="decimal"/>
          <w:cols w:space="720" w:num="1"/>
        </w:sectPr>
      </w:pPr>
    </w:p>
    <w:p w14:paraId="0959B7D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4.考核分数与结算：</w:t>
      </w:r>
    </w:p>
    <w:p w14:paraId="15708008">
      <w:pPr>
        <w:pStyle w:val="2"/>
        <w:keepNext w:val="0"/>
        <w:keepLines w:val="0"/>
        <w:pageBreakBefore w:val="0"/>
        <w:wordWrap/>
        <w:overflowPunct/>
        <w:topLinePunct w:val="0"/>
        <w:bidi w:val="0"/>
        <w:spacing w:line="560" w:lineRule="exact"/>
        <w:ind w:left="0" w:right="0" w:firstLine="560" w:firstLineChars="200"/>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考核分数在85分以上者，结果为合格</w:t>
      </w:r>
    </w:p>
    <w:p w14:paraId="1ED8E787">
      <w:pPr>
        <w:pStyle w:val="2"/>
        <w:keepNext w:val="0"/>
        <w:keepLines w:val="0"/>
        <w:pageBreakBefore w:val="0"/>
        <w:wordWrap/>
        <w:overflowPunct/>
        <w:topLinePunct w:val="0"/>
        <w:bidi w:val="0"/>
        <w:spacing w:line="560" w:lineRule="exact"/>
        <w:ind w:left="0" w:right="0" w:firstLine="560" w:firstLineChars="200"/>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（1）考核分数在85分以上，服务费用按合同金额全额</w:t>
      </w:r>
      <w:r>
        <w:rPr>
          <w:rFonts w:hint="eastAsia" w:ascii="仿宋_GB2312" w:hAnsi="仿宋_GB2312" w:eastAsia="仿宋_GB2312" w:cs="仿宋_GB2312"/>
          <w:snapToGrid w:val="0"/>
          <w:color w:val="auto"/>
          <w:kern w:val="0"/>
          <w:sz w:val="28"/>
          <w:szCs w:val="28"/>
          <w:lang w:val="en-US" w:eastAsia="zh-CN" w:bidi="ar-SA"/>
        </w:rPr>
        <w:t>支付；</w:t>
      </w:r>
    </w:p>
    <w:p w14:paraId="627F64BA">
      <w:pPr>
        <w:pStyle w:val="2"/>
        <w:keepNext w:val="0"/>
        <w:keepLines w:val="0"/>
        <w:pageBreakBefore w:val="0"/>
        <w:wordWrap/>
        <w:overflowPunct/>
        <w:topLinePunct w:val="0"/>
        <w:bidi w:val="0"/>
        <w:spacing w:line="560" w:lineRule="exact"/>
        <w:ind w:left="0" w:right="0" w:firstLine="560" w:firstLineChars="200"/>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（2）考核总分数在80分（不含）～85分(含)，扣除服务费用300元/次；</w:t>
      </w:r>
    </w:p>
    <w:p w14:paraId="618D5CA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0" w:firstLineChars="200"/>
        <w:textAlignment w:val="baseline"/>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（3）考核总分数在75分（不含）～80分(含)，扣除服务费用1000元/次；</w:t>
      </w:r>
    </w:p>
    <w:p w14:paraId="1126940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0" w:firstLineChars="200"/>
        <w:textAlignment w:val="baseline"/>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（4）考核总分数在75分及以下的，扣除服务费用3000元/次；</w:t>
      </w:r>
    </w:p>
    <w:p w14:paraId="7561B28B">
      <w:pPr>
        <w:pStyle w:val="2"/>
        <w:keepNext w:val="0"/>
        <w:keepLines w:val="0"/>
        <w:pageBreakBefore w:val="0"/>
        <w:wordWrap/>
        <w:overflowPunct/>
        <w:topLinePunct w:val="0"/>
        <w:bidi w:val="0"/>
        <w:spacing w:line="560" w:lineRule="exact"/>
        <w:ind w:left="0" w:right="0" w:firstLine="560" w:firstLineChars="200"/>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（5）考核数分数在60分以下，为考核不合格，扣除当月服务费9000元/次。全年累计出现三次不合格，立即终止合同，并由乙方承担违约责任的赔偿。</w:t>
      </w:r>
    </w:p>
    <w:p w14:paraId="50C0F6A1">
      <w:pPr>
        <w:keepNext w:val="0"/>
        <w:keepLines w:val="0"/>
        <w:pageBreakBefore w:val="0"/>
        <w:wordWrap/>
        <w:overflowPunct/>
        <w:topLinePunct w:val="0"/>
        <w:bidi w:val="0"/>
        <w:spacing w:line="560" w:lineRule="exact"/>
        <w:ind w:left="0" w:right="0" w:firstLine="2196" w:firstLineChars="600"/>
        <w:rPr>
          <w:rFonts w:ascii="黑体" w:hAnsi="黑体" w:eastAsia="黑体" w:cs="黑体"/>
          <w:color w:val="auto"/>
          <w:spacing w:val="8"/>
          <w:sz w:val="35"/>
          <w:szCs w:val="35"/>
          <w14:textOutline w14:w="6537" w14:cap="sq" w14:cmpd="sng">
            <w14:solidFill>
              <w14:srgbClr w14:val="000000"/>
            </w14:solidFill>
            <w14:prstDash w14:val="solid"/>
            <w14:bevel/>
          </w14:textOutline>
        </w:rPr>
        <w:sectPr>
          <w:headerReference r:id="rId7" w:type="default"/>
          <w:footerReference r:id="rId8" w:type="default"/>
          <w:pgSz w:w="11907" w:h="16840"/>
          <w:pgMar w:top="1297" w:right="1170" w:bottom="1262" w:left="1287" w:header="1283" w:footer="993" w:gutter="0"/>
          <w:pgBorders>
            <w:top w:val="none" w:sz="0" w:space="0"/>
            <w:left w:val="none" w:sz="0" w:space="0"/>
            <w:bottom w:val="none" w:sz="0" w:space="0"/>
            <w:right w:val="none" w:sz="0" w:space="0"/>
          </w:pgBorders>
          <w:pgNumType w:fmt="decimal"/>
          <w:cols w:space="720" w:num="1"/>
        </w:sectPr>
      </w:pPr>
    </w:p>
    <w:p w14:paraId="13267A7F">
      <w:pPr>
        <w:keepNext w:val="0"/>
        <w:keepLines w:val="0"/>
        <w:pageBreakBefore w:val="0"/>
        <w:wordWrap/>
        <w:overflowPunct/>
        <w:topLinePunct w:val="0"/>
        <w:bidi w:val="0"/>
        <w:spacing w:line="560" w:lineRule="exact"/>
        <w:ind w:left="0" w:right="0" w:firstLine="2196" w:firstLineChars="600"/>
        <w:rPr>
          <w:rFonts w:ascii="黑体" w:hAnsi="黑体" w:eastAsia="黑体" w:cs="黑体"/>
          <w:sz w:val="35"/>
          <w:szCs w:val="35"/>
        </w:rPr>
      </w:pPr>
      <w:r>
        <w:rPr>
          <w:rFonts w:ascii="黑体" w:hAnsi="黑体" w:eastAsia="黑体" w:cs="黑体"/>
          <w:spacing w:val="8"/>
          <w:sz w:val="35"/>
          <w:szCs w:val="35"/>
          <w14:textOutline w14:w="6537" w14:cap="sq" w14:cmpd="sng">
            <w14:solidFill>
              <w14:srgbClr w14:val="000000"/>
            </w14:solidFill>
            <w14:prstDash w14:val="solid"/>
            <w14:bevel/>
          </w14:textOutline>
        </w:rPr>
        <w:t>第二部分</w:t>
      </w:r>
      <w:r>
        <w:rPr>
          <w:rFonts w:ascii="黑体" w:hAnsi="黑体" w:eastAsia="黑体" w:cs="黑体"/>
          <w:spacing w:val="8"/>
          <w:sz w:val="35"/>
          <w:szCs w:val="35"/>
        </w:rPr>
        <w:t xml:space="preserve"> </w:t>
      </w:r>
      <w:r>
        <w:rPr>
          <w:rFonts w:ascii="黑体" w:hAnsi="黑体" w:eastAsia="黑体" w:cs="黑体"/>
          <w:spacing w:val="8"/>
          <w:sz w:val="35"/>
          <w:szCs w:val="35"/>
          <w14:textOutline w14:w="6537" w14:cap="sq" w14:cmpd="sng">
            <w14:solidFill>
              <w14:srgbClr w14:val="000000"/>
            </w14:solidFill>
            <w14:prstDash w14:val="solid"/>
            <w14:bevel/>
          </w14:textOutline>
        </w:rPr>
        <w:t>合同格式（供参考）</w:t>
      </w:r>
    </w:p>
    <w:p w14:paraId="1E5BF3E8">
      <w:pPr>
        <w:keepNext w:val="0"/>
        <w:keepLines w:val="0"/>
        <w:pageBreakBefore w:val="0"/>
        <w:wordWrap/>
        <w:overflowPunct/>
        <w:topLinePunct w:val="0"/>
        <w:bidi w:val="0"/>
        <w:spacing w:line="560" w:lineRule="exact"/>
        <w:ind w:left="0" w:right="0"/>
        <w:rPr>
          <w:rFonts w:ascii="Arial"/>
          <w:sz w:val="21"/>
        </w:rPr>
      </w:pPr>
    </w:p>
    <w:p w14:paraId="2B5EB11E">
      <w:pPr>
        <w:pStyle w:val="2"/>
        <w:keepNext w:val="0"/>
        <w:keepLines w:val="0"/>
        <w:pageBreakBefore w:val="0"/>
        <w:wordWrap/>
        <w:overflowPunct/>
        <w:topLinePunct w:val="0"/>
        <w:bidi w:val="0"/>
        <w:spacing w:line="560" w:lineRule="exact"/>
        <w:ind w:left="0" w:right="0"/>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 xml:space="preserve">编号：           </w:t>
      </w:r>
    </w:p>
    <w:p w14:paraId="413D1F7F">
      <w:pPr>
        <w:pStyle w:val="2"/>
        <w:keepNext w:val="0"/>
        <w:keepLines w:val="0"/>
        <w:pageBreakBefore w:val="0"/>
        <w:wordWrap/>
        <w:overflowPunct/>
        <w:topLinePunct w:val="0"/>
        <w:bidi w:val="0"/>
        <w:spacing w:line="560" w:lineRule="exact"/>
        <w:ind w:left="0" w:right="0" w:firstLine="489"/>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甲方： 吐鲁番市中等职业技术学校</w:t>
      </w:r>
    </w:p>
    <w:p w14:paraId="5507D268">
      <w:pPr>
        <w:pStyle w:val="2"/>
        <w:keepNext w:val="0"/>
        <w:keepLines w:val="0"/>
        <w:pageBreakBefore w:val="0"/>
        <w:wordWrap/>
        <w:overflowPunct/>
        <w:topLinePunct w:val="0"/>
        <w:bidi w:val="0"/>
        <w:spacing w:line="560" w:lineRule="exact"/>
        <w:ind w:left="0" w:right="0" w:firstLine="489"/>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乙方：</w:t>
      </w:r>
    </w:p>
    <w:p w14:paraId="62D3E10A">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为了保护甲乙双方合法权益，根据《中华人民共和国合同法》等相关法律法规以及吐鲁番市中等职业技术学校后勤水、电、暖等维修服务采购项目:（采购编号：     ）的成交结果，签署本合同，以资共同遵守。</w:t>
      </w:r>
    </w:p>
    <w:p w14:paraId="7FB26EA4">
      <w:pPr>
        <w:pStyle w:val="2"/>
        <w:keepNext w:val="0"/>
        <w:keepLines w:val="0"/>
        <w:pageBreakBefore w:val="0"/>
        <w:wordWrap/>
        <w:overflowPunct/>
        <w:topLinePunct w:val="0"/>
        <w:bidi w:val="0"/>
        <w:spacing w:line="560" w:lineRule="exact"/>
        <w:ind w:left="0" w:right="0" w:firstLine="489"/>
        <w:rPr>
          <w:rFonts w:hint="eastAsia" w:ascii="宋体" w:hAnsi="宋体" w:eastAsia="宋体" w:cs="宋体"/>
          <w:b/>
          <w:bCs/>
          <w:snapToGrid w:val="0"/>
          <w:color w:val="000000"/>
          <w:spacing w:val="7"/>
          <w:kern w:val="0"/>
          <w:sz w:val="28"/>
          <w:szCs w:val="28"/>
          <w:lang w:val="en-US" w:eastAsia="zh-CN" w:bidi="ar-SA"/>
        </w:rPr>
      </w:pPr>
      <w:r>
        <w:rPr>
          <w:rFonts w:hint="eastAsia" w:ascii="宋体" w:hAnsi="宋体" w:eastAsia="宋体" w:cs="宋体"/>
          <w:b/>
          <w:bCs/>
          <w:snapToGrid w:val="0"/>
          <w:color w:val="000000"/>
          <w:spacing w:val="7"/>
          <w:kern w:val="0"/>
          <w:sz w:val="28"/>
          <w:szCs w:val="28"/>
          <w:lang w:val="en-US" w:eastAsia="zh-CN" w:bidi="ar-SA"/>
        </w:rPr>
        <w:t>第一条 服务范围</w:t>
      </w:r>
    </w:p>
    <w:p w14:paraId="3E182D1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宋体" w:hAnsi="宋体" w:eastAsia="宋体" w:cs="宋体"/>
          <w:snapToGrid w:val="0"/>
          <w:color w:val="000000"/>
          <w:spacing w:val="7"/>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吐鲁番市中等职业技术学校后勤水、电、暖等维修服务采购项目:及本项目标书中所列举的所有范围。</w:t>
      </w:r>
    </w:p>
    <w:p w14:paraId="4FF16D2E">
      <w:pPr>
        <w:pStyle w:val="2"/>
        <w:keepNext w:val="0"/>
        <w:keepLines w:val="0"/>
        <w:pageBreakBefore w:val="0"/>
        <w:numPr>
          <w:ilvl w:val="0"/>
          <w:numId w:val="1"/>
        </w:numPr>
        <w:wordWrap/>
        <w:overflowPunct/>
        <w:topLinePunct w:val="0"/>
        <w:bidi w:val="0"/>
        <w:spacing w:line="560" w:lineRule="exact"/>
        <w:ind w:left="0" w:right="0" w:firstLine="489"/>
        <w:rPr>
          <w:rFonts w:hint="eastAsia" w:ascii="宋体" w:hAnsi="宋体" w:eastAsia="宋体" w:cs="宋体"/>
          <w:b/>
          <w:bCs/>
          <w:snapToGrid w:val="0"/>
          <w:color w:val="000000"/>
          <w:spacing w:val="7"/>
          <w:kern w:val="0"/>
          <w:sz w:val="28"/>
          <w:szCs w:val="28"/>
          <w:lang w:val="en-US" w:eastAsia="zh-CN" w:bidi="ar-SA"/>
        </w:rPr>
      </w:pPr>
      <w:r>
        <w:rPr>
          <w:rFonts w:hint="eastAsia" w:ascii="宋体" w:hAnsi="宋体" w:eastAsia="宋体" w:cs="宋体"/>
          <w:b/>
          <w:bCs/>
          <w:snapToGrid w:val="0"/>
          <w:color w:val="000000"/>
          <w:spacing w:val="7"/>
          <w:kern w:val="0"/>
          <w:sz w:val="28"/>
          <w:szCs w:val="28"/>
          <w:lang w:val="en-US" w:eastAsia="zh-CN" w:bidi="ar-SA"/>
        </w:rPr>
        <w:t xml:space="preserve"> 服务内容、服务标准</w:t>
      </w:r>
    </w:p>
    <w:p w14:paraId="2DDCE248">
      <w:pPr>
        <w:pStyle w:val="2"/>
        <w:keepNext w:val="0"/>
        <w:keepLines w:val="0"/>
        <w:pageBreakBefore w:val="0"/>
        <w:numPr>
          <w:ilvl w:val="0"/>
          <w:numId w:val="0"/>
        </w:numPr>
        <w:wordWrap/>
        <w:overflowPunct/>
        <w:topLinePunct w:val="0"/>
        <w:bidi w:val="0"/>
        <w:spacing w:line="560" w:lineRule="exact"/>
        <w:ind w:left="0" w:leftChars="0" w:right="0" w:rightChars="0"/>
        <w:rPr>
          <w:rFonts w:hint="eastAsia" w:ascii="宋体" w:hAnsi="宋体" w:eastAsia="宋体" w:cs="宋体"/>
          <w:b/>
          <w:bCs/>
          <w:snapToGrid w:val="0"/>
          <w:color w:val="000000"/>
          <w:spacing w:val="7"/>
          <w:kern w:val="0"/>
          <w:sz w:val="28"/>
          <w:szCs w:val="28"/>
          <w:lang w:val="en-US" w:eastAsia="zh-CN" w:bidi="ar-SA"/>
        </w:rPr>
      </w:pPr>
      <w:r>
        <w:rPr>
          <w:rFonts w:hint="eastAsia" w:cs="宋体"/>
          <w:b/>
          <w:bCs/>
          <w:snapToGrid w:val="0"/>
          <w:color w:val="000000"/>
          <w:spacing w:val="7"/>
          <w:kern w:val="0"/>
          <w:sz w:val="28"/>
          <w:szCs w:val="28"/>
          <w:lang w:val="en-US" w:eastAsia="zh-CN" w:bidi="ar-SA"/>
        </w:rPr>
        <w:t>（一）</w:t>
      </w:r>
      <w:r>
        <w:rPr>
          <w:rFonts w:hint="eastAsia" w:ascii="宋体" w:hAnsi="宋体" w:eastAsia="宋体" w:cs="宋体"/>
          <w:b/>
          <w:bCs/>
          <w:snapToGrid w:val="0"/>
          <w:color w:val="000000"/>
          <w:spacing w:val="7"/>
          <w:kern w:val="0"/>
          <w:sz w:val="28"/>
          <w:szCs w:val="28"/>
          <w:lang w:val="en-US" w:eastAsia="zh-CN" w:bidi="ar-SA"/>
        </w:rPr>
        <w:t>服务内容</w:t>
      </w:r>
      <w:r>
        <w:rPr>
          <w:rFonts w:hint="eastAsia" w:cs="宋体"/>
          <w:b/>
          <w:bCs/>
          <w:snapToGrid w:val="0"/>
          <w:color w:val="000000"/>
          <w:spacing w:val="7"/>
          <w:kern w:val="0"/>
          <w:sz w:val="28"/>
          <w:szCs w:val="28"/>
          <w:lang w:val="en-US" w:eastAsia="zh-CN" w:bidi="ar-SA"/>
        </w:rPr>
        <w:t>：</w:t>
      </w:r>
    </w:p>
    <w:p w14:paraId="3D1D96E1">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1.学校各栋楼室内外电路、电器维修、养护及更换和管理，包括各栋楼灯、插板、电风扇、冷风机、电路如出现断路或不亮现象及时维修更换配件。8 个变压器（含配电室高低压配件）、从变压器到各栋楼的供电电缆、路灯、射灯、楼顶彩灯，配电系统出现断路或不亮现象及时维修更换配件及恢复。中央空调、空调出现不制冷、不制热时及时维修更换配件（含加冷媒或氟利昂）并正常运行（不含更换整机）、冷风机出现不制冷时及时维修更换配件并正常运行、各种热水器、开水器等出现不烧水及时维修更换配件；</w:t>
      </w:r>
    </w:p>
    <w:p w14:paraId="4D824F8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2.学校室内外暖气管道维修、养护和管理，包括锅炉房的加压供水设备、配电系统，各栋楼的暖气（暖气片、地暖、风机盘管等漏水点）维修维护；</w:t>
      </w:r>
    </w:p>
    <w:p w14:paraId="70E5AC9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3.室内外所有供水系统维修、养护和管理。水从总水表到各分部的供水系统，包括供水管道、阀门、供水井、井盖损坏时及时维修更换配件；</w:t>
      </w:r>
    </w:p>
    <w:p w14:paraId="467029D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4.室内外下水（污水）管道维修、养护和管理，包括校园内外所有下水井堵塞及井盖子损坏时及时疏通维修更换配件；</w:t>
      </w:r>
    </w:p>
    <w:p w14:paraId="442AF0E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5.门、门锁、窗、床、桌、椅、板凳、讲台、吊顶维修养护和管理，包括门、窗、消防栓玻璃、各种门锁把手、窗户栏维修、养护更换配件、供暖期前后各楼栋进户门帘子的挂取；</w:t>
      </w:r>
    </w:p>
    <w:p w14:paraId="39C8F79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6.校园四周围栏、楼梯扶手维修、养护和管理。包括7个大门的维修更换配件；</w:t>
      </w:r>
    </w:p>
    <w:p w14:paraId="582261F9">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7.锅炉房使用管理，包括3台燃气锅炉（一台10T、二台6T ）试水及其它附属设备（电路、泵、水处理设备等养护、维修更换配件和管理），供暖期间锅炉房按要求安排管理人员和专人24小时值班（不得从其他水、电、暖维修队伍中抽取），值班期间保持锅炉房内卫生及设备日常定期清扫保洁，做到按制定标准全天候、全方位保洁，保证按要求正常供暖。</w:t>
      </w:r>
    </w:p>
    <w:p w14:paraId="166A417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8.甲方因临时性工作和特殊情况需要乙方配合时，乙方应服从甲方的安排，并保质保量完成任务。</w:t>
      </w:r>
    </w:p>
    <w:p w14:paraId="330E9CB2">
      <w:pPr>
        <w:pStyle w:val="2"/>
        <w:keepNext w:val="0"/>
        <w:keepLines w:val="0"/>
        <w:pageBreakBefore w:val="0"/>
        <w:numPr>
          <w:ilvl w:val="0"/>
          <w:numId w:val="0"/>
        </w:numPr>
        <w:wordWrap/>
        <w:overflowPunct/>
        <w:topLinePunct w:val="0"/>
        <w:bidi w:val="0"/>
        <w:spacing w:line="560" w:lineRule="exact"/>
        <w:ind w:left="0" w:leftChars="0" w:right="0" w:rightChars="0"/>
        <w:rPr>
          <w:rFonts w:hint="eastAsia" w:cs="宋体"/>
          <w:b/>
          <w:bCs/>
          <w:snapToGrid w:val="0"/>
          <w:color w:val="000000"/>
          <w:spacing w:val="7"/>
          <w:kern w:val="0"/>
          <w:sz w:val="28"/>
          <w:szCs w:val="28"/>
          <w:lang w:val="en-US" w:eastAsia="zh-CN" w:bidi="ar-SA"/>
        </w:rPr>
      </w:pPr>
      <w:r>
        <w:rPr>
          <w:rFonts w:hint="eastAsia" w:cs="宋体"/>
          <w:b/>
          <w:bCs/>
          <w:snapToGrid w:val="0"/>
          <w:color w:val="000000"/>
          <w:spacing w:val="7"/>
          <w:kern w:val="0"/>
          <w:sz w:val="28"/>
          <w:szCs w:val="28"/>
          <w:lang w:val="en-US" w:eastAsia="zh-CN" w:bidi="ar-SA"/>
        </w:rPr>
        <w:t>（二）</w:t>
      </w:r>
      <w:r>
        <w:rPr>
          <w:rFonts w:hint="eastAsia" w:ascii="宋体" w:hAnsi="宋体" w:eastAsia="宋体" w:cs="宋体"/>
          <w:b/>
          <w:bCs/>
          <w:snapToGrid w:val="0"/>
          <w:color w:val="000000"/>
          <w:spacing w:val="7"/>
          <w:kern w:val="0"/>
          <w:sz w:val="28"/>
          <w:szCs w:val="28"/>
          <w:lang w:val="en-US" w:eastAsia="zh-CN" w:bidi="ar-SA"/>
        </w:rPr>
        <w:t>服务标准</w:t>
      </w:r>
      <w:r>
        <w:rPr>
          <w:rFonts w:hint="eastAsia" w:cs="宋体"/>
          <w:b/>
          <w:bCs/>
          <w:snapToGrid w:val="0"/>
          <w:color w:val="000000"/>
          <w:spacing w:val="7"/>
          <w:kern w:val="0"/>
          <w:sz w:val="28"/>
          <w:szCs w:val="28"/>
          <w:lang w:val="en-US" w:eastAsia="zh-CN" w:bidi="ar-SA"/>
        </w:rPr>
        <w:t>：</w:t>
      </w:r>
    </w:p>
    <w:p w14:paraId="6E2EFAD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w:t>
      </w:r>
      <w:r>
        <w:rPr>
          <w:rFonts w:hint="default" w:ascii="仿宋_GB2312" w:hAnsi="仿宋_GB2312" w:eastAsia="仿宋_GB2312" w:cs="仿宋_GB2312"/>
          <w:snapToGrid w:val="0"/>
          <w:color w:val="000000"/>
          <w:kern w:val="0"/>
          <w:sz w:val="28"/>
          <w:szCs w:val="28"/>
          <w:lang w:val="en-US" w:eastAsia="zh-CN" w:bidi="ar-SA"/>
        </w:rPr>
        <w:t>变压器</w:t>
      </w:r>
      <w:r>
        <w:rPr>
          <w:rFonts w:hint="eastAsia" w:ascii="仿宋_GB2312" w:hAnsi="仿宋_GB2312" w:eastAsia="仿宋_GB2312" w:cs="仿宋_GB2312"/>
          <w:snapToGrid w:val="0"/>
          <w:color w:val="000000"/>
          <w:kern w:val="0"/>
          <w:sz w:val="28"/>
          <w:szCs w:val="28"/>
          <w:lang w:val="en-US" w:eastAsia="zh-CN" w:bidi="ar-SA"/>
        </w:rPr>
        <w:t>低压配电房内的设备出现问题时2-3小时内到场维修处理（含配件更换）并恢复正常。</w:t>
      </w:r>
    </w:p>
    <w:p w14:paraId="18B273F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w:t>
      </w:r>
      <w:r>
        <w:rPr>
          <w:rFonts w:hint="default" w:ascii="仿宋_GB2312" w:hAnsi="仿宋_GB2312" w:eastAsia="仿宋_GB2312" w:cs="仿宋_GB2312"/>
          <w:snapToGrid w:val="0"/>
          <w:color w:val="000000"/>
          <w:kern w:val="0"/>
          <w:sz w:val="28"/>
          <w:szCs w:val="28"/>
          <w:lang w:val="en-US" w:eastAsia="zh-CN" w:bidi="ar-SA"/>
        </w:rPr>
        <w:t>供电电缆、路灯、射灯、楼顶彩灯，配电系统</w:t>
      </w:r>
      <w:r>
        <w:rPr>
          <w:rFonts w:hint="eastAsia" w:ascii="仿宋_GB2312" w:hAnsi="仿宋_GB2312" w:eastAsia="仿宋_GB2312" w:cs="仿宋_GB2312"/>
          <w:snapToGrid w:val="0"/>
          <w:color w:val="000000"/>
          <w:kern w:val="0"/>
          <w:sz w:val="28"/>
          <w:szCs w:val="28"/>
          <w:lang w:val="en-US" w:eastAsia="zh-CN" w:bidi="ar-SA"/>
        </w:rPr>
        <w:t>及</w:t>
      </w:r>
      <w:r>
        <w:rPr>
          <w:rFonts w:hint="default" w:ascii="仿宋_GB2312" w:hAnsi="仿宋_GB2312" w:eastAsia="仿宋_GB2312" w:cs="仿宋_GB2312"/>
          <w:snapToGrid w:val="0"/>
          <w:color w:val="000000"/>
          <w:kern w:val="0"/>
          <w:sz w:val="28"/>
          <w:szCs w:val="28"/>
          <w:lang w:val="en-US" w:eastAsia="zh-CN" w:bidi="ar-SA"/>
        </w:rPr>
        <w:t>各栋楼灯、插板等损坏时</w:t>
      </w:r>
      <w:r>
        <w:rPr>
          <w:rFonts w:hint="eastAsia" w:ascii="仿宋_GB2312" w:hAnsi="仿宋_GB2312" w:eastAsia="仿宋_GB2312" w:cs="仿宋_GB2312"/>
          <w:snapToGrid w:val="0"/>
          <w:color w:val="000000"/>
          <w:kern w:val="0"/>
          <w:sz w:val="28"/>
          <w:szCs w:val="28"/>
          <w:lang w:val="en-US" w:eastAsia="zh-CN" w:bidi="ar-SA"/>
        </w:rPr>
        <w:t>1-1.5小时内处理（含配件更换）并恢复正常</w:t>
      </w:r>
      <w:r>
        <w:rPr>
          <w:rFonts w:hint="default" w:ascii="仿宋_GB2312" w:hAnsi="仿宋_GB2312" w:eastAsia="仿宋_GB2312" w:cs="仿宋_GB2312"/>
          <w:snapToGrid w:val="0"/>
          <w:color w:val="000000"/>
          <w:kern w:val="0"/>
          <w:sz w:val="28"/>
          <w:szCs w:val="28"/>
          <w:lang w:val="en-US" w:eastAsia="zh-CN" w:bidi="ar-SA"/>
        </w:rPr>
        <w:t>。</w:t>
      </w:r>
    </w:p>
    <w:p w14:paraId="61226450">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3.电风扇、冷风机（不含整机）等损坏</w:t>
      </w:r>
      <w:r>
        <w:rPr>
          <w:rFonts w:hint="default" w:ascii="仿宋_GB2312" w:hAnsi="仿宋_GB2312" w:eastAsia="仿宋_GB2312" w:cs="仿宋_GB2312"/>
          <w:snapToGrid w:val="0"/>
          <w:color w:val="000000"/>
          <w:kern w:val="0"/>
          <w:sz w:val="28"/>
          <w:szCs w:val="28"/>
          <w:lang w:val="en-US" w:eastAsia="zh-CN" w:bidi="ar-SA"/>
        </w:rPr>
        <w:t>、不转</w:t>
      </w:r>
      <w:r>
        <w:rPr>
          <w:rFonts w:hint="eastAsia" w:ascii="仿宋_GB2312" w:hAnsi="仿宋_GB2312" w:eastAsia="仿宋_GB2312" w:cs="仿宋_GB2312"/>
          <w:snapToGrid w:val="0"/>
          <w:color w:val="000000"/>
          <w:kern w:val="0"/>
          <w:sz w:val="28"/>
          <w:szCs w:val="28"/>
          <w:lang w:val="en-US" w:eastAsia="zh-CN" w:bidi="ar-SA"/>
        </w:rPr>
        <w:t>时1-2小时内处理（含配件更换）并恢复正常。</w:t>
      </w:r>
    </w:p>
    <w:p w14:paraId="0FB75B3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default" w:ascii="仿宋_GB2312" w:hAnsi="仿宋_GB2312" w:eastAsia="仿宋_GB2312" w:cs="仿宋_GB2312"/>
          <w:snapToGrid w:val="0"/>
          <w:color w:val="000000"/>
          <w:kern w:val="0"/>
          <w:sz w:val="28"/>
          <w:szCs w:val="28"/>
          <w:lang w:val="en-US" w:eastAsia="zh-CN" w:bidi="ar-SA"/>
        </w:rPr>
        <w:t>4</w:t>
      </w:r>
      <w:r>
        <w:rPr>
          <w:rFonts w:hint="eastAsia" w:ascii="仿宋_GB2312" w:hAnsi="仿宋_GB2312" w:eastAsia="仿宋_GB2312" w:cs="仿宋_GB2312"/>
          <w:snapToGrid w:val="0"/>
          <w:color w:val="000000"/>
          <w:kern w:val="0"/>
          <w:sz w:val="28"/>
          <w:szCs w:val="28"/>
          <w:lang w:val="en-US" w:eastAsia="zh-CN" w:bidi="ar-SA"/>
        </w:rPr>
        <w:t>.</w:t>
      </w:r>
      <w:r>
        <w:rPr>
          <w:rFonts w:hint="default" w:ascii="仿宋_GB2312" w:hAnsi="仿宋_GB2312" w:eastAsia="仿宋_GB2312" w:cs="仿宋_GB2312"/>
          <w:snapToGrid w:val="0"/>
          <w:color w:val="000000"/>
          <w:kern w:val="0"/>
          <w:sz w:val="28"/>
          <w:szCs w:val="28"/>
          <w:lang w:val="en-US" w:eastAsia="zh-CN" w:bidi="ar-SA"/>
        </w:rPr>
        <w:t>中央空调、空调</w:t>
      </w:r>
      <w:r>
        <w:rPr>
          <w:rFonts w:hint="eastAsia" w:ascii="仿宋_GB2312" w:hAnsi="仿宋_GB2312" w:eastAsia="仿宋_GB2312" w:cs="仿宋_GB2312"/>
          <w:snapToGrid w:val="0"/>
          <w:color w:val="000000"/>
          <w:kern w:val="0"/>
          <w:sz w:val="28"/>
          <w:szCs w:val="28"/>
          <w:lang w:val="en-US" w:eastAsia="zh-CN" w:bidi="ar-SA"/>
        </w:rPr>
        <w:t>每年1次维护保养，</w:t>
      </w:r>
      <w:r>
        <w:rPr>
          <w:rFonts w:hint="default" w:ascii="仿宋_GB2312" w:hAnsi="仿宋_GB2312" w:eastAsia="仿宋_GB2312" w:cs="仿宋_GB2312"/>
          <w:snapToGrid w:val="0"/>
          <w:color w:val="000000"/>
          <w:kern w:val="0"/>
          <w:sz w:val="28"/>
          <w:szCs w:val="28"/>
          <w:lang w:val="en-US" w:eastAsia="zh-CN" w:bidi="ar-SA"/>
        </w:rPr>
        <w:t>不制冷制热时</w:t>
      </w:r>
      <w:r>
        <w:rPr>
          <w:rFonts w:hint="eastAsia" w:ascii="仿宋_GB2312" w:hAnsi="仿宋_GB2312" w:eastAsia="仿宋_GB2312" w:cs="仿宋_GB2312"/>
          <w:snapToGrid w:val="0"/>
          <w:color w:val="000000"/>
          <w:kern w:val="0"/>
          <w:sz w:val="28"/>
          <w:szCs w:val="28"/>
          <w:lang w:val="en-US" w:eastAsia="zh-CN" w:bidi="ar-SA"/>
        </w:rPr>
        <w:t>24小时内到场处理（含配件更换、</w:t>
      </w:r>
      <w:r>
        <w:rPr>
          <w:rFonts w:hint="default" w:ascii="仿宋_GB2312" w:hAnsi="仿宋_GB2312" w:eastAsia="仿宋_GB2312" w:cs="仿宋_GB2312"/>
          <w:snapToGrid w:val="0"/>
          <w:color w:val="000000"/>
          <w:kern w:val="0"/>
          <w:sz w:val="28"/>
          <w:szCs w:val="28"/>
          <w:lang w:val="en-US" w:eastAsia="zh-CN" w:bidi="ar-SA"/>
        </w:rPr>
        <w:t>加</w:t>
      </w:r>
      <w:r>
        <w:rPr>
          <w:rFonts w:hint="eastAsia" w:ascii="仿宋_GB2312" w:hAnsi="仿宋_GB2312" w:eastAsia="仿宋_GB2312" w:cs="仿宋_GB2312"/>
          <w:snapToGrid w:val="0"/>
          <w:color w:val="000000"/>
          <w:kern w:val="0"/>
          <w:sz w:val="28"/>
          <w:szCs w:val="28"/>
          <w:lang w:val="en-US" w:eastAsia="zh-CN" w:bidi="ar-SA"/>
        </w:rPr>
        <w:t>冷媒或氟利昂）并恢复正常（不含整机更换）。</w:t>
      </w:r>
    </w:p>
    <w:p w14:paraId="451FF4E7">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5.水暖设备的安装和调试、维护和维修更换，要配合当地供水、供电、燃气公司等部门维修工作。</w:t>
      </w:r>
    </w:p>
    <w:p w14:paraId="25DE995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6.学校室内外暖气（</w:t>
      </w:r>
      <w:r>
        <w:rPr>
          <w:rFonts w:hint="default" w:ascii="仿宋_GB2312" w:hAnsi="仿宋_GB2312" w:eastAsia="仿宋_GB2312" w:cs="仿宋_GB2312"/>
          <w:snapToGrid w:val="0"/>
          <w:color w:val="000000"/>
          <w:kern w:val="0"/>
          <w:sz w:val="28"/>
          <w:szCs w:val="28"/>
          <w:lang w:val="en-US" w:eastAsia="zh-CN" w:bidi="ar-SA"/>
        </w:rPr>
        <w:t>暖气</w:t>
      </w:r>
      <w:r>
        <w:rPr>
          <w:rFonts w:hint="eastAsia" w:ascii="仿宋_GB2312" w:hAnsi="仿宋_GB2312" w:eastAsia="仿宋_GB2312" w:cs="仿宋_GB2312"/>
          <w:snapToGrid w:val="0"/>
          <w:color w:val="000000"/>
          <w:kern w:val="0"/>
          <w:sz w:val="28"/>
          <w:szCs w:val="28"/>
          <w:lang w:val="en-US" w:eastAsia="zh-CN" w:bidi="ar-SA"/>
        </w:rPr>
        <w:t>片、地暖、风机盘管等）出现漏水点等问题时1-2小时内处理并恢复正常。</w:t>
      </w:r>
    </w:p>
    <w:p w14:paraId="6EC04AF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7.负责暖气设备的安装、连接和测试暖气管道、阀门、水槽设备等。</w:t>
      </w:r>
    </w:p>
    <w:p w14:paraId="69CF5B4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8.需要定期巡检校园的暖气设备，检查设备的运作情况和安全性。如果发现设备存在问题，需要1-2小时内处理维修更换，以确保设备的正常运行。常见的检修和维护工作包括清洁水处理设备、水池、修理更换漏水管道等。</w:t>
      </w:r>
    </w:p>
    <w:p w14:paraId="60BDD542">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9.需要及时应对学校突发的暖气设备故障或事故，例如管道爆裂、水泵故障等。需要迅速判断问题的原因和严重程度，并采取适当的应急措施。在紧急情况下，需要迅速与相关人员沟通，2小时内控制事态，48小时内处理协调解决问题，以减少对学校的影响。</w:t>
      </w:r>
    </w:p>
    <w:p w14:paraId="1E025E69">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10.对校园内各楼栋坚持每天巡查一遍，发现问题及时向甲方汇报，及时维修更换；杜绝滴、漏、跑、冒现象；对安排的维修任务，要按时保质保量完成，并清理好维修现场。</w:t>
      </w:r>
    </w:p>
    <w:p w14:paraId="1C36D94A">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11.负责校园</w:t>
      </w:r>
      <w:r>
        <w:rPr>
          <w:rFonts w:hint="default" w:ascii="仿宋_GB2312" w:hAnsi="仿宋_GB2312" w:eastAsia="仿宋_GB2312" w:cs="仿宋_GB2312"/>
          <w:snapToGrid w:val="0"/>
          <w:color w:val="000000"/>
          <w:kern w:val="0"/>
          <w:sz w:val="28"/>
          <w:szCs w:val="28"/>
          <w:lang w:val="en-US" w:eastAsia="zh-CN" w:bidi="ar-SA"/>
        </w:rPr>
        <w:t>供水系统</w:t>
      </w:r>
      <w:r>
        <w:rPr>
          <w:rFonts w:hint="eastAsia" w:ascii="仿宋_GB2312" w:hAnsi="仿宋_GB2312" w:eastAsia="仿宋_GB2312" w:cs="仿宋_GB2312"/>
          <w:snapToGrid w:val="0"/>
          <w:color w:val="000000"/>
          <w:kern w:val="0"/>
          <w:sz w:val="28"/>
          <w:szCs w:val="28"/>
          <w:lang w:val="en-US" w:eastAsia="zh-CN" w:bidi="ar-SA"/>
        </w:rPr>
        <w:t>检查维修，保证校园</w:t>
      </w:r>
      <w:r>
        <w:rPr>
          <w:rFonts w:hint="default" w:ascii="仿宋_GB2312" w:hAnsi="仿宋_GB2312" w:eastAsia="仿宋_GB2312" w:cs="仿宋_GB2312"/>
          <w:snapToGrid w:val="0"/>
          <w:color w:val="000000"/>
          <w:kern w:val="0"/>
          <w:sz w:val="28"/>
          <w:szCs w:val="28"/>
          <w:lang w:val="en-US" w:eastAsia="zh-CN" w:bidi="ar-SA"/>
        </w:rPr>
        <w:t>供水系统</w:t>
      </w:r>
      <w:r>
        <w:rPr>
          <w:rFonts w:hint="eastAsia" w:ascii="仿宋_GB2312" w:hAnsi="仿宋_GB2312" w:eastAsia="仿宋_GB2312" w:cs="仿宋_GB2312"/>
          <w:snapToGrid w:val="0"/>
          <w:color w:val="000000"/>
          <w:kern w:val="0"/>
          <w:sz w:val="28"/>
          <w:szCs w:val="28"/>
          <w:lang w:val="en-US" w:eastAsia="zh-CN" w:bidi="ar-SA"/>
        </w:rPr>
        <w:t>正常运行。</w:t>
      </w:r>
    </w:p>
    <w:p w14:paraId="15B9BB81">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12.负责水设备的安装、连接和测试水暖管道、阀门、水槽、马桶设备等。</w:t>
      </w:r>
    </w:p>
    <w:p w14:paraId="1BA6E499">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13.需要定期巡检校园的</w:t>
      </w:r>
      <w:r>
        <w:rPr>
          <w:rFonts w:hint="default" w:ascii="仿宋_GB2312" w:hAnsi="仿宋_GB2312" w:eastAsia="仿宋_GB2312" w:cs="仿宋_GB2312"/>
          <w:snapToGrid w:val="0"/>
          <w:color w:val="000000"/>
          <w:kern w:val="0"/>
          <w:sz w:val="28"/>
          <w:szCs w:val="28"/>
          <w:lang w:val="en-US" w:eastAsia="zh-CN" w:bidi="ar-SA"/>
        </w:rPr>
        <w:t>供水系统</w:t>
      </w:r>
      <w:r>
        <w:rPr>
          <w:rFonts w:hint="eastAsia" w:ascii="仿宋_GB2312" w:hAnsi="仿宋_GB2312" w:eastAsia="仿宋_GB2312" w:cs="仿宋_GB2312"/>
          <w:snapToGrid w:val="0"/>
          <w:color w:val="000000"/>
          <w:kern w:val="0"/>
          <w:sz w:val="28"/>
          <w:szCs w:val="28"/>
          <w:lang w:val="en-US" w:eastAsia="zh-CN" w:bidi="ar-SA"/>
        </w:rPr>
        <w:t>、设备，检查设备的运作情况和安全性。如果发现设备存在问题，需要1-2小时内处理维修更换，以确保设备的正常运行。常见的检修和维护工作包括清洁水池、修理漏水管道、更换老化的水龙头等。</w:t>
      </w:r>
    </w:p>
    <w:p w14:paraId="345F5EA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14.需要及时应对学校突发的</w:t>
      </w:r>
      <w:r>
        <w:rPr>
          <w:rFonts w:hint="default" w:ascii="仿宋_GB2312" w:hAnsi="仿宋_GB2312" w:eastAsia="仿宋_GB2312" w:cs="仿宋_GB2312"/>
          <w:snapToGrid w:val="0"/>
          <w:color w:val="000000"/>
          <w:kern w:val="0"/>
          <w:sz w:val="28"/>
          <w:szCs w:val="28"/>
          <w:lang w:val="en-US" w:eastAsia="zh-CN" w:bidi="ar-SA"/>
        </w:rPr>
        <w:t>供水系统</w:t>
      </w:r>
      <w:r>
        <w:rPr>
          <w:rFonts w:hint="eastAsia" w:ascii="仿宋_GB2312" w:hAnsi="仿宋_GB2312" w:eastAsia="仿宋_GB2312" w:cs="仿宋_GB2312"/>
          <w:snapToGrid w:val="0"/>
          <w:color w:val="000000"/>
          <w:kern w:val="0"/>
          <w:sz w:val="28"/>
          <w:szCs w:val="28"/>
          <w:lang w:val="en-US" w:eastAsia="zh-CN" w:bidi="ar-SA"/>
        </w:rPr>
        <w:t>、设备故障或事故，例如管道爆裂、水泵故障等。需要迅速判断问题的原因和严重程度，并采取适当的应急措施。在紧急情况下，需要迅速与相关人员沟通，1-2小时内处理协调解决问题，以减少对学校的影响。</w:t>
      </w:r>
    </w:p>
    <w:p w14:paraId="35937D3B">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15.爱护学校一切设施设备、配件和器材；厉行节约、节能，合理技巧的利用节能器件。</w:t>
      </w:r>
    </w:p>
    <w:p w14:paraId="4145AA9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16.规范程序，科学操作，严格遵守安全生产各项规章制度和劳动纪律，不进行任何违章违纪影响安全的操作。</w:t>
      </w:r>
    </w:p>
    <w:p w14:paraId="14400935">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17.遇有突发性维修任务，做到随叫随到，及时处理，提高工作效率。</w:t>
      </w:r>
    </w:p>
    <w:p w14:paraId="0EC46B4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18.</w:t>
      </w:r>
      <w:r>
        <w:rPr>
          <w:rFonts w:hint="default" w:ascii="仿宋_GB2312" w:hAnsi="仿宋_GB2312" w:eastAsia="仿宋_GB2312" w:cs="仿宋_GB2312"/>
          <w:snapToGrid w:val="0"/>
          <w:color w:val="000000"/>
          <w:kern w:val="0"/>
          <w:sz w:val="28"/>
          <w:szCs w:val="28"/>
          <w:lang w:val="en-US" w:eastAsia="zh-CN" w:bidi="ar-SA"/>
        </w:rPr>
        <w:t>校园内外所有下水井</w:t>
      </w:r>
      <w:r>
        <w:rPr>
          <w:rFonts w:hint="eastAsia" w:ascii="仿宋_GB2312" w:hAnsi="仿宋_GB2312" w:eastAsia="仿宋_GB2312" w:cs="仿宋_GB2312"/>
          <w:snapToGrid w:val="0"/>
          <w:color w:val="000000"/>
          <w:kern w:val="0"/>
          <w:sz w:val="28"/>
          <w:szCs w:val="28"/>
          <w:lang w:val="en-US" w:eastAsia="zh-CN" w:bidi="ar-SA"/>
        </w:rPr>
        <w:t>堵塞或井盖损坏时3-4小时内处理完成，疏通及清理管道淤堵、</w:t>
      </w:r>
      <w:r>
        <w:rPr>
          <w:rFonts w:hint="default" w:ascii="仿宋_GB2312" w:hAnsi="仿宋_GB2312" w:eastAsia="仿宋_GB2312" w:cs="仿宋_GB2312"/>
          <w:snapToGrid w:val="0"/>
          <w:color w:val="000000"/>
          <w:kern w:val="0"/>
          <w:sz w:val="28"/>
          <w:szCs w:val="28"/>
          <w:lang w:val="en-US" w:eastAsia="zh-CN" w:bidi="ar-SA"/>
        </w:rPr>
        <w:t>井盖维修</w:t>
      </w:r>
      <w:r>
        <w:rPr>
          <w:rFonts w:hint="eastAsia" w:ascii="仿宋_GB2312" w:hAnsi="仿宋_GB2312" w:eastAsia="仿宋_GB2312" w:cs="仿宋_GB2312"/>
          <w:snapToGrid w:val="0"/>
          <w:color w:val="000000"/>
          <w:kern w:val="0"/>
          <w:sz w:val="28"/>
          <w:szCs w:val="28"/>
          <w:lang w:val="en-US" w:eastAsia="zh-CN" w:bidi="ar-SA"/>
        </w:rPr>
        <w:t>更换</w:t>
      </w:r>
      <w:r>
        <w:rPr>
          <w:rFonts w:hint="default" w:ascii="仿宋_GB2312" w:hAnsi="仿宋_GB2312" w:eastAsia="仿宋_GB2312" w:cs="仿宋_GB2312"/>
          <w:snapToGrid w:val="0"/>
          <w:color w:val="000000"/>
          <w:kern w:val="0"/>
          <w:sz w:val="28"/>
          <w:szCs w:val="28"/>
          <w:lang w:val="en-US" w:eastAsia="zh-CN" w:bidi="ar-SA"/>
        </w:rPr>
        <w:t>；</w:t>
      </w:r>
    </w:p>
    <w:p w14:paraId="0EB53FC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21.包</w:t>
      </w:r>
      <w:r>
        <w:rPr>
          <w:rFonts w:hint="default" w:ascii="仿宋_GB2312" w:hAnsi="仿宋_GB2312" w:eastAsia="仿宋_GB2312" w:cs="仿宋_GB2312"/>
          <w:snapToGrid w:val="0"/>
          <w:color w:val="000000"/>
          <w:kern w:val="0"/>
          <w:sz w:val="28"/>
          <w:szCs w:val="28"/>
          <w:lang w:val="en-US" w:eastAsia="zh-CN" w:bidi="ar-SA"/>
        </w:rPr>
        <w:t>括门</w:t>
      </w:r>
      <w:r>
        <w:rPr>
          <w:rFonts w:hint="eastAsia" w:ascii="仿宋_GB2312" w:hAnsi="仿宋_GB2312" w:eastAsia="仿宋_GB2312" w:cs="仿宋_GB2312"/>
          <w:snapToGrid w:val="0"/>
          <w:color w:val="000000"/>
          <w:kern w:val="0"/>
          <w:sz w:val="28"/>
          <w:szCs w:val="28"/>
          <w:lang w:val="en-US" w:eastAsia="zh-CN" w:bidi="ar-SA"/>
        </w:rPr>
        <w:t>、</w:t>
      </w:r>
      <w:r>
        <w:rPr>
          <w:rFonts w:hint="default" w:ascii="仿宋_GB2312" w:hAnsi="仿宋_GB2312" w:eastAsia="仿宋_GB2312" w:cs="仿宋_GB2312"/>
          <w:snapToGrid w:val="0"/>
          <w:color w:val="000000"/>
          <w:kern w:val="0"/>
          <w:sz w:val="28"/>
          <w:szCs w:val="28"/>
          <w:lang w:val="en-US" w:eastAsia="zh-CN" w:bidi="ar-SA"/>
        </w:rPr>
        <w:t>窗</w:t>
      </w:r>
      <w:r>
        <w:rPr>
          <w:rFonts w:hint="eastAsia" w:ascii="仿宋_GB2312" w:hAnsi="仿宋_GB2312" w:eastAsia="仿宋_GB2312" w:cs="仿宋_GB2312"/>
          <w:snapToGrid w:val="0"/>
          <w:color w:val="000000"/>
          <w:kern w:val="0"/>
          <w:sz w:val="28"/>
          <w:szCs w:val="28"/>
          <w:lang w:val="en-US" w:eastAsia="zh-CN" w:bidi="ar-SA"/>
        </w:rPr>
        <w:t>、展板损坏时1-2小时内处理完成，维修更换消除安全隐患。</w:t>
      </w:r>
    </w:p>
    <w:p w14:paraId="2B37949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22.</w:t>
      </w:r>
      <w:r>
        <w:rPr>
          <w:rFonts w:hint="default" w:ascii="仿宋_GB2312" w:hAnsi="仿宋_GB2312" w:eastAsia="仿宋_GB2312" w:cs="仿宋_GB2312"/>
          <w:snapToGrid w:val="0"/>
          <w:color w:val="000000"/>
          <w:kern w:val="0"/>
          <w:sz w:val="28"/>
          <w:szCs w:val="28"/>
          <w:lang w:val="en-US" w:eastAsia="zh-CN" w:bidi="ar-SA"/>
        </w:rPr>
        <w:t>门、门锁</w:t>
      </w:r>
      <w:r>
        <w:rPr>
          <w:rFonts w:hint="eastAsia" w:ascii="仿宋_GB2312" w:hAnsi="仿宋_GB2312" w:eastAsia="仿宋_GB2312" w:cs="仿宋_GB2312"/>
          <w:snapToGrid w:val="0"/>
          <w:color w:val="000000"/>
          <w:kern w:val="0"/>
          <w:sz w:val="28"/>
          <w:szCs w:val="28"/>
          <w:lang w:val="en-US" w:eastAsia="zh-CN" w:bidi="ar-SA"/>
        </w:rPr>
        <w:t>、</w:t>
      </w:r>
      <w:r>
        <w:rPr>
          <w:rFonts w:hint="default" w:ascii="仿宋_GB2312" w:hAnsi="仿宋_GB2312" w:eastAsia="仿宋_GB2312" w:cs="仿宋_GB2312"/>
          <w:snapToGrid w:val="0"/>
          <w:color w:val="000000"/>
          <w:kern w:val="0"/>
          <w:sz w:val="28"/>
          <w:szCs w:val="28"/>
          <w:lang w:val="en-US" w:eastAsia="zh-CN" w:bidi="ar-SA"/>
        </w:rPr>
        <w:t>窗、床、</w:t>
      </w:r>
      <w:r>
        <w:rPr>
          <w:rFonts w:hint="eastAsia" w:ascii="仿宋_GB2312" w:hAnsi="仿宋_GB2312" w:eastAsia="仿宋_GB2312" w:cs="仿宋_GB2312"/>
          <w:snapToGrid w:val="0"/>
          <w:color w:val="000000"/>
          <w:kern w:val="0"/>
          <w:sz w:val="28"/>
          <w:szCs w:val="28"/>
          <w:lang w:val="en-US" w:eastAsia="zh-CN" w:bidi="ar-SA"/>
        </w:rPr>
        <w:t>桌、椅、板凳、讲台、</w:t>
      </w:r>
      <w:r>
        <w:rPr>
          <w:rFonts w:hint="default" w:ascii="仿宋_GB2312" w:hAnsi="仿宋_GB2312" w:eastAsia="仿宋_GB2312" w:cs="仿宋_GB2312"/>
          <w:snapToGrid w:val="0"/>
          <w:color w:val="000000"/>
          <w:kern w:val="0"/>
          <w:sz w:val="28"/>
          <w:szCs w:val="28"/>
          <w:lang w:val="en-US" w:eastAsia="zh-CN" w:bidi="ar-SA"/>
        </w:rPr>
        <w:t>吊顶</w:t>
      </w:r>
      <w:r>
        <w:rPr>
          <w:rFonts w:hint="eastAsia" w:ascii="仿宋_GB2312" w:hAnsi="仿宋_GB2312" w:eastAsia="仿宋_GB2312" w:cs="仿宋_GB2312"/>
          <w:snapToGrid w:val="0"/>
          <w:color w:val="000000"/>
          <w:kern w:val="0"/>
          <w:sz w:val="28"/>
          <w:szCs w:val="28"/>
          <w:lang w:val="en-US" w:eastAsia="zh-CN" w:bidi="ar-SA"/>
        </w:rPr>
        <w:t>扣板等损坏时1-2小时内处理完成并恢复正常</w:t>
      </w:r>
      <w:r>
        <w:rPr>
          <w:rFonts w:hint="default" w:ascii="仿宋_GB2312" w:hAnsi="仿宋_GB2312" w:eastAsia="仿宋_GB2312" w:cs="仿宋_GB2312"/>
          <w:snapToGrid w:val="0"/>
          <w:color w:val="000000"/>
          <w:kern w:val="0"/>
          <w:sz w:val="28"/>
          <w:szCs w:val="28"/>
          <w:lang w:val="en-US" w:eastAsia="zh-CN" w:bidi="ar-SA"/>
        </w:rPr>
        <w:t>；</w:t>
      </w:r>
    </w:p>
    <w:p w14:paraId="19391802">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23.</w:t>
      </w:r>
      <w:r>
        <w:rPr>
          <w:rFonts w:hint="default" w:ascii="仿宋_GB2312" w:hAnsi="仿宋_GB2312" w:eastAsia="仿宋_GB2312" w:cs="仿宋_GB2312"/>
          <w:snapToGrid w:val="0"/>
          <w:color w:val="000000"/>
          <w:kern w:val="0"/>
          <w:sz w:val="28"/>
          <w:szCs w:val="28"/>
          <w:lang w:val="en-US" w:eastAsia="zh-CN" w:bidi="ar-SA"/>
        </w:rPr>
        <w:t>大门</w:t>
      </w:r>
      <w:r>
        <w:rPr>
          <w:rFonts w:hint="eastAsia" w:ascii="仿宋_GB2312" w:hAnsi="仿宋_GB2312" w:eastAsia="仿宋_GB2312" w:cs="仿宋_GB2312"/>
          <w:snapToGrid w:val="0"/>
          <w:color w:val="000000"/>
          <w:kern w:val="0"/>
          <w:sz w:val="28"/>
          <w:szCs w:val="28"/>
          <w:lang w:val="en-US" w:eastAsia="zh-CN" w:bidi="ar-SA"/>
        </w:rPr>
        <w:t>（不含更换大门）、校园四周围栏、扶手损坏时3-4小时内处理完成并恢复正常；</w:t>
      </w:r>
    </w:p>
    <w:p w14:paraId="3568919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24.3台燃气锅炉（1台10T、2台6T、不含整台锅炉更换 ）试水及其它附属设备（电路、机头、泵、水处理设备等每年</w:t>
      </w:r>
      <w:r>
        <w:rPr>
          <w:rFonts w:hint="default" w:ascii="仿宋_GB2312" w:hAnsi="仿宋_GB2312" w:eastAsia="仿宋_GB2312" w:cs="仿宋_GB2312"/>
          <w:snapToGrid w:val="0"/>
          <w:color w:val="000000"/>
          <w:kern w:val="0"/>
          <w:sz w:val="28"/>
          <w:szCs w:val="28"/>
          <w:lang w:val="en-US" w:eastAsia="zh-CN" w:bidi="ar-SA"/>
        </w:rPr>
        <w:t>养护</w:t>
      </w:r>
      <w:r>
        <w:rPr>
          <w:rFonts w:hint="eastAsia" w:ascii="仿宋_GB2312" w:hAnsi="仿宋_GB2312" w:eastAsia="仿宋_GB2312" w:cs="仿宋_GB2312"/>
          <w:snapToGrid w:val="0"/>
          <w:color w:val="000000"/>
          <w:kern w:val="0"/>
          <w:sz w:val="28"/>
          <w:szCs w:val="28"/>
          <w:lang w:val="en-US" w:eastAsia="zh-CN" w:bidi="ar-SA"/>
        </w:rPr>
        <w:t>2次）</w:t>
      </w:r>
      <w:r>
        <w:rPr>
          <w:rFonts w:hint="default" w:ascii="仿宋_GB2312" w:hAnsi="仿宋_GB2312" w:eastAsia="仿宋_GB2312" w:cs="仿宋_GB2312"/>
          <w:snapToGrid w:val="0"/>
          <w:color w:val="000000"/>
          <w:kern w:val="0"/>
          <w:sz w:val="28"/>
          <w:szCs w:val="28"/>
          <w:lang w:val="en-US" w:eastAsia="zh-CN" w:bidi="ar-SA"/>
        </w:rPr>
        <w:t>维修</w:t>
      </w:r>
      <w:r>
        <w:rPr>
          <w:rFonts w:hint="eastAsia" w:ascii="仿宋_GB2312" w:hAnsi="仿宋_GB2312" w:eastAsia="仿宋_GB2312" w:cs="仿宋_GB2312"/>
          <w:snapToGrid w:val="0"/>
          <w:color w:val="000000"/>
          <w:kern w:val="0"/>
          <w:sz w:val="28"/>
          <w:szCs w:val="28"/>
          <w:lang w:val="en-US" w:eastAsia="zh-CN" w:bidi="ar-SA"/>
        </w:rPr>
        <w:t>更换配件</w:t>
      </w:r>
      <w:r>
        <w:rPr>
          <w:rFonts w:hint="default" w:ascii="仿宋_GB2312" w:hAnsi="仿宋_GB2312" w:eastAsia="仿宋_GB2312" w:cs="仿宋_GB2312"/>
          <w:snapToGrid w:val="0"/>
          <w:color w:val="000000"/>
          <w:kern w:val="0"/>
          <w:sz w:val="28"/>
          <w:szCs w:val="28"/>
          <w:lang w:val="en-US" w:eastAsia="zh-CN" w:bidi="ar-SA"/>
        </w:rPr>
        <w:t>和管理</w:t>
      </w:r>
      <w:r>
        <w:rPr>
          <w:rFonts w:hint="eastAsia" w:ascii="仿宋_GB2312" w:hAnsi="仿宋_GB2312" w:eastAsia="仿宋_GB2312" w:cs="仿宋_GB2312"/>
          <w:snapToGrid w:val="0"/>
          <w:color w:val="000000"/>
          <w:kern w:val="0"/>
          <w:sz w:val="28"/>
          <w:szCs w:val="28"/>
          <w:lang w:val="en-US" w:eastAsia="zh-CN" w:bidi="ar-SA"/>
        </w:rPr>
        <w:t>，供暖期间锅炉房按要求安排管理人员和专人24小时值班，值班期间保持锅炉房内卫生、定期清扫保洁，做好设备日常记录，做到按制定标准全天候、全方位保洁，保证按要求正常供暖。</w:t>
      </w:r>
    </w:p>
    <w:p w14:paraId="7CBECD0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25.1小时内控制重大事件发展态势（上下水暖气主管道损坏漏水、锅炉房压力检修等）且24小时内维修完成。</w:t>
      </w:r>
    </w:p>
    <w:p w14:paraId="2B42212D">
      <w:pPr>
        <w:pStyle w:val="2"/>
        <w:keepNext w:val="0"/>
        <w:keepLines w:val="0"/>
        <w:pageBreakBefore w:val="0"/>
        <w:numPr>
          <w:ilvl w:val="0"/>
          <w:numId w:val="0"/>
        </w:numPr>
        <w:wordWrap/>
        <w:overflowPunct/>
        <w:topLinePunct w:val="0"/>
        <w:bidi w:val="0"/>
        <w:spacing w:line="560" w:lineRule="exact"/>
        <w:ind w:left="0" w:leftChars="0" w:right="0" w:rightChars="0"/>
        <w:rPr>
          <w:rFonts w:hint="eastAsia" w:cs="宋体"/>
          <w:b/>
          <w:bCs/>
          <w:snapToGrid w:val="0"/>
          <w:color w:val="000000"/>
          <w:spacing w:val="7"/>
          <w:kern w:val="0"/>
          <w:sz w:val="28"/>
          <w:szCs w:val="28"/>
          <w:lang w:val="en-US" w:eastAsia="zh-CN" w:bidi="ar-SA"/>
        </w:rPr>
      </w:pPr>
    </w:p>
    <w:p w14:paraId="3F8517B0">
      <w:pPr>
        <w:pStyle w:val="2"/>
        <w:keepNext w:val="0"/>
        <w:keepLines w:val="0"/>
        <w:pageBreakBefore w:val="0"/>
        <w:wordWrap/>
        <w:overflowPunct/>
        <w:topLinePunct w:val="0"/>
        <w:bidi w:val="0"/>
        <w:spacing w:line="560" w:lineRule="exact"/>
        <w:ind w:left="0" w:right="0" w:firstLine="489"/>
        <w:rPr>
          <w:rFonts w:hint="eastAsia" w:ascii="宋体" w:hAnsi="宋体" w:eastAsia="宋体" w:cs="宋体"/>
          <w:b/>
          <w:bCs/>
          <w:snapToGrid w:val="0"/>
          <w:color w:val="000000"/>
          <w:spacing w:val="7"/>
          <w:kern w:val="0"/>
          <w:sz w:val="28"/>
          <w:szCs w:val="28"/>
          <w:lang w:val="en-US" w:eastAsia="zh-CN" w:bidi="ar-SA"/>
        </w:rPr>
      </w:pPr>
      <w:r>
        <w:rPr>
          <w:rFonts w:hint="eastAsia" w:ascii="宋体" w:hAnsi="宋体" w:eastAsia="宋体" w:cs="宋体"/>
          <w:b/>
          <w:bCs/>
          <w:snapToGrid w:val="0"/>
          <w:color w:val="000000"/>
          <w:spacing w:val="7"/>
          <w:kern w:val="0"/>
          <w:sz w:val="28"/>
          <w:szCs w:val="28"/>
          <w:lang w:val="en-US" w:eastAsia="zh-CN" w:bidi="ar-SA"/>
        </w:rPr>
        <w:t>第三条  服务期限与服务人员</w:t>
      </w:r>
    </w:p>
    <w:p w14:paraId="3CFD8242">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1.本项目服务期为一年（即   年  月 日至  年  月  日）。</w:t>
      </w:r>
    </w:p>
    <w:p w14:paraId="397488F5">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2.管理人员     人（常驻），水、电、暖、门、窗等维修工人      人。大面积维修、养护由乙方根据本项目工作量大小确定使用较多人数完成标书约定的工作任务。</w:t>
      </w:r>
    </w:p>
    <w:p w14:paraId="19FF276D">
      <w:pPr>
        <w:pStyle w:val="2"/>
        <w:keepNext w:val="0"/>
        <w:keepLines w:val="0"/>
        <w:pageBreakBefore w:val="0"/>
        <w:wordWrap/>
        <w:overflowPunct/>
        <w:topLinePunct w:val="0"/>
        <w:bidi w:val="0"/>
        <w:spacing w:line="560" w:lineRule="exact"/>
        <w:ind w:left="0" w:right="0" w:firstLine="489"/>
        <w:rPr>
          <w:rFonts w:hint="eastAsia" w:ascii="宋体" w:hAnsi="宋体" w:eastAsia="宋体" w:cs="宋体"/>
          <w:b/>
          <w:bCs/>
          <w:snapToGrid w:val="0"/>
          <w:color w:val="000000"/>
          <w:spacing w:val="7"/>
          <w:kern w:val="0"/>
          <w:sz w:val="28"/>
          <w:szCs w:val="28"/>
          <w:lang w:val="en-US" w:eastAsia="zh-CN" w:bidi="ar-SA"/>
        </w:rPr>
      </w:pPr>
      <w:r>
        <w:rPr>
          <w:rFonts w:hint="eastAsia" w:ascii="宋体" w:hAnsi="宋体" w:eastAsia="宋体" w:cs="宋体"/>
          <w:b/>
          <w:bCs/>
          <w:snapToGrid w:val="0"/>
          <w:color w:val="000000"/>
          <w:spacing w:val="7"/>
          <w:kern w:val="0"/>
          <w:sz w:val="28"/>
          <w:szCs w:val="28"/>
          <w:lang w:val="en-US" w:eastAsia="zh-CN" w:bidi="ar-SA"/>
        </w:rPr>
        <w:t>第四条  合同金额及支付方式</w:t>
      </w:r>
    </w:p>
    <w:p w14:paraId="0F68728C">
      <w:pPr>
        <w:keepNext w:val="0"/>
        <w:keepLines w:val="0"/>
        <w:pageBreakBefore w:val="0"/>
        <w:overflowPunct/>
        <w:topLinePunct w:val="0"/>
        <w:bidi w:val="0"/>
        <w:spacing w:line="50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1.履约保证金按合同金额的3%收取，</w:t>
      </w:r>
      <w:r>
        <w:rPr>
          <w:rFonts w:hint="eastAsia" w:ascii="仿宋_GB2312" w:hAnsi="仿宋_GB2312" w:eastAsia="仿宋_GB2312" w:cs="仿宋_GB2312"/>
          <w:color w:val="auto"/>
          <w:sz w:val="32"/>
          <w:szCs w:val="32"/>
          <w:highlight w:val="none"/>
          <w:lang w:val="en-US" w:eastAsia="zh-CN"/>
        </w:rPr>
        <w:t>乙方收到中标通知书，按要求向甲方缴纳履约保证金，乙方如发生不能履约时，甲方有权从扣除履约保证金。</w:t>
      </w:r>
    </w:p>
    <w:p w14:paraId="4BF2959C">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color w:val="auto"/>
          <w:sz w:val="32"/>
          <w:szCs w:val="32"/>
          <w:highlight w:val="none"/>
        </w:rPr>
        <w:t>服务费为：人民币</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元，人民币￥</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元</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此费用包含以上所</w:t>
      </w:r>
      <w:r>
        <w:rPr>
          <w:rFonts w:hint="eastAsia" w:ascii="仿宋_GB2312" w:hAnsi="仿宋_GB2312" w:eastAsia="仿宋_GB2312" w:cs="仿宋_GB2312"/>
          <w:color w:val="auto"/>
          <w:kern w:val="2"/>
          <w:sz w:val="32"/>
          <w:szCs w:val="40"/>
          <w:highlight w:val="none"/>
          <w:lang w:val="en-US" w:eastAsia="zh-CN" w:bidi="ar-SA"/>
        </w:rPr>
        <w:t>有的服务工作</w:t>
      </w:r>
      <w:r>
        <w:rPr>
          <w:rFonts w:hint="eastAsia" w:ascii="仿宋_GB2312" w:hAnsi="仿宋_GB2312" w:eastAsia="仿宋_GB2312" w:cs="仿宋_GB2312"/>
          <w:color w:val="auto"/>
          <w:sz w:val="32"/>
          <w:szCs w:val="32"/>
          <w:highlight w:val="none"/>
          <w:lang w:val="en-US" w:eastAsia="zh-CN"/>
        </w:rPr>
        <w:t>内容）。付款方式:合同签订后，甲方对乙方采取月考核，按照先服务后支付的原则按月支付服务费，考核完成后次月完成支付。具体为由学校后勤保障处在次月组织人员乙方服务公司服务工作情况开展月考核，甲方依据月考核指标结果在次月给乙方支付上个月的服务费用，考核分数在85分以上，服务费用按合同金额全额支付；考核总分数在80分（不含）～85分(含)，扣除服务费用300元；考核总分数在75分（不含）～80分(含)，扣除服务费用1000元；考核总分数在75分及以下的，扣除服务费用3000元；考核数分数在60分以下，为考核不合格，扣除当月服务费9000元。全年累计出现三次不合格，立即终止合同，并由乙方承担违约责任的赔偿。</w:t>
      </w:r>
    </w:p>
    <w:p w14:paraId="4D357DD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 签订合同后，乙方向甲方提交管理人员及各工种人员名单（体检、技工证等复印件）。</w:t>
      </w:r>
    </w:p>
    <w:p w14:paraId="38ADF6E1">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4.根据先提供服务后支付原则，按月（次月）支付服务费，结算前乙方需向甲方提供正式税务发票及工资表，甲方在申请手续办理完毕后支付。</w:t>
      </w:r>
    </w:p>
    <w:p w14:paraId="7C44DF17">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5.所开发票明细内容必须与所供服务相符，否则不予结算。</w:t>
      </w:r>
    </w:p>
    <w:p w14:paraId="606DFE2C">
      <w:pPr>
        <w:pStyle w:val="2"/>
        <w:keepNext w:val="0"/>
        <w:keepLines w:val="0"/>
        <w:pageBreakBefore w:val="0"/>
        <w:wordWrap/>
        <w:overflowPunct/>
        <w:topLinePunct w:val="0"/>
        <w:bidi w:val="0"/>
        <w:spacing w:line="560" w:lineRule="exact"/>
        <w:ind w:left="0" w:right="0" w:firstLine="489"/>
        <w:rPr>
          <w:rFonts w:hint="eastAsia" w:ascii="宋体" w:hAnsi="宋体" w:eastAsia="宋体" w:cs="宋体"/>
          <w:snapToGrid w:val="0"/>
          <w:color w:val="000000"/>
          <w:spacing w:val="7"/>
          <w:kern w:val="0"/>
          <w:sz w:val="28"/>
          <w:szCs w:val="28"/>
          <w:lang w:val="en-US" w:eastAsia="zh-CN" w:bidi="ar-SA"/>
        </w:rPr>
      </w:pPr>
    </w:p>
    <w:p w14:paraId="7AA0E493">
      <w:pPr>
        <w:pStyle w:val="2"/>
        <w:keepNext w:val="0"/>
        <w:keepLines w:val="0"/>
        <w:pageBreakBefore w:val="0"/>
        <w:numPr>
          <w:ilvl w:val="0"/>
          <w:numId w:val="2"/>
        </w:numPr>
        <w:wordWrap/>
        <w:overflowPunct/>
        <w:topLinePunct w:val="0"/>
        <w:bidi w:val="0"/>
        <w:spacing w:line="560" w:lineRule="exact"/>
        <w:ind w:left="0" w:right="0"/>
        <w:rPr>
          <w:spacing w:val="6"/>
          <w:sz w:val="32"/>
          <w:szCs w:val="32"/>
          <w14:textOutline w14:w="3795" w14:cap="sq" w14:cmpd="sng">
            <w14:solidFill>
              <w14:srgbClr w14:val="000000"/>
            </w14:solidFill>
            <w14:prstDash w14:val="solid"/>
            <w14:bevel/>
          </w14:textOutline>
        </w:rPr>
      </w:pPr>
      <w:r>
        <w:rPr>
          <w:spacing w:val="23"/>
          <w:sz w:val="32"/>
          <w:szCs w:val="32"/>
        </w:rPr>
        <w:t xml:space="preserve"> </w:t>
      </w:r>
      <w:r>
        <w:rPr>
          <w:spacing w:val="6"/>
          <w:sz w:val="32"/>
          <w:szCs w:val="32"/>
          <w14:textOutline w14:w="3795" w14:cap="sq" w14:cmpd="sng">
            <w14:solidFill>
              <w14:srgbClr w14:val="000000"/>
            </w14:solidFill>
            <w14:prstDash w14:val="solid"/>
            <w14:bevel/>
          </w14:textOutline>
        </w:rPr>
        <w:t>甲方权利和义务</w:t>
      </w:r>
    </w:p>
    <w:p w14:paraId="316F422C">
      <w:pPr>
        <w:pStyle w:val="2"/>
        <w:keepNext w:val="0"/>
        <w:keepLines w:val="0"/>
        <w:pageBreakBefore w:val="0"/>
        <w:numPr>
          <w:ilvl w:val="0"/>
          <w:numId w:val="0"/>
        </w:numPr>
        <w:wordWrap/>
        <w:overflowPunct/>
        <w:topLinePunct w:val="0"/>
        <w:bidi w:val="0"/>
        <w:spacing w:line="560" w:lineRule="exact"/>
        <w:ind w:left="0" w:right="0"/>
        <w:rPr>
          <w:spacing w:val="6"/>
          <w:sz w:val="32"/>
          <w:szCs w:val="32"/>
          <w14:textOutline w14:w="3795" w14:cap="sq" w14:cmpd="sng">
            <w14:solidFill>
              <w14:srgbClr w14:val="000000"/>
            </w14:solidFill>
            <w14:prstDash w14:val="solid"/>
            <w14:bevel/>
          </w14:textOutline>
        </w:rPr>
      </w:pPr>
    </w:p>
    <w:p w14:paraId="7BF50EE0">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1.甲方在合同执行过程中，须遵守国家法律、法规。</w:t>
      </w:r>
    </w:p>
    <w:p w14:paraId="00853635">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2.对乙方拟定的管理服务年度、季度计划等提出合理化建议，督促乙方健全应有的制度规程、工作规范等。</w:t>
      </w:r>
    </w:p>
    <w:p w14:paraId="7354884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3.提供水、电、暖维修等的服务质量标准、作业规范及考核办法。</w:t>
      </w:r>
    </w:p>
    <w:p w14:paraId="55DED7E2">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4.指导、检查水、电、暖维修管理作业，及时对维修、养护计划、措施、质量进行监督考评。</w:t>
      </w:r>
    </w:p>
    <w:p w14:paraId="3E87DB11">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 xml:space="preserve">5.按本合同约定的时间和要求支付费用。 </w:t>
      </w:r>
    </w:p>
    <w:p w14:paraId="4D8D6B5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6.有权监督乙方依法、依双方约定用工。</w:t>
      </w:r>
    </w:p>
    <w:p w14:paraId="610F936B">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7.协助乙方做好服务管理工作并提供必要的工作条件等，如遇突发事件，协调乙方在作业过程中与其他部门的关系。</w:t>
      </w:r>
    </w:p>
    <w:p w14:paraId="209032D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8.组织对乙方提供服务的考核，发现有不符合质量要求的，可要求乙方进行改正或返工，由此增加的费用由乙方负担。</w:t>
      </w:r>
    </w:p>
    <w:p w14:paraId="3C67800A">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9.协助乙方做好管理工作。</w:t>
      </w:r>
    </w:p>
    <w:p w14:paraId="6A86A950">
      <w:pPr>
        <w:pStyle w:val="2"/>
        <w:keepNext w:val="0"/>
        <w:keepLines w:val="0"/>
        <w:pageBreakBefore w:val="0"/>
        <w:wordWrap/>
        <w:overflowPunct/>
        <w:topLinePunct w:val="0"/>
        <w:bidi w:val="0"/>
        <w:spacing w:line="560" w:lineRule="exact"/>
        <w:ind w:left="0" w:right="0"/>
        <w:rPr>
          <w:sz w:val="32"/>
          <w:szCs w:val="32"/>
        </w:rPr>
      </w:pPr>
      <w:r>
        <w:rPr>
          <w:spacing w:val="7"/>
          <w:sz w:val="32"/>
          <w:szCs w:val="32"/>
          <w14:textOutline w14:w="3795" w14:cap="sq" w14:cmpd="sng">
            <w14:solidFill>
              <w14:srgbClr w14:val="000000"/>
            </w14:solidFill>
            <w14:prstDash w14:val="solid"/>
            <w14:bevel/>
          </w14:textOutline>
        </w:rPr>
        <w:t>第七条</w:t>
      </w:r>
      <w:r>
        <w:rPr>
          <w:spacing w:val="18"/>
          <w:sz w:val="32"/>
          <w:szCs w:val="32"/>
        </w:rPr>
        <w:t xml:space="preserve">  </w:t>
      </w:r>
      <w:r>
        <w:rPr>
          <w:spacing w:val="7"/>
          <w:sz w:val="32"/>
          <w:szCs w:val="32"/>
          <w14:textOutline w14:w="3795" w14:cap="sq" w14:cmpd="sng">
            <w14:solidFill>
              <w14:srgbClr w14:val="000000"/>
            </w14:solidFill>
            <w14:prstDash w14:val="solid"/>
            <w14:bevel/>
          </w14:textOutline>
        </w:rPr>
        <w:t>乙方权利和义务</w:t>
      </w:r>
    </w:p>
    <w:p w14:paraId="3B07CB6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按招、投标文件及学校的有关要求提供水、电、暖维修等服务；根据有关法律、法规、本合同的规定及本项目的实际情况，制定服务管理制度及管理方案、年度、季度、月度管理计划、持续改进措施等工作目标，每月25日之前将下月水、电、暖维修等服务工作计划以书面形式交甲方，每月3日之前以书面形式向甲方提交上月工作总结。</w:t>
      </w:r>
    </w:p>
    <w:p w14:paraId="78CDD622">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在服务期内，乙方必须依法用工，必须做好工作人员所需要的安全教育及安全措施；乙方人员在甲方场所工作期间必须遵守法律法规与甲方的规章制度；乙方人员违法、违纪、违章等发生事故的一切责任由乙方负责。</w:t>
      </w:r>
    </w:p>
    <w:p w14:paraId="523D2C9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3.在水、电、暖维修等服务日常管理过程中发生的事故应及时告知甲方，对校园内的公用设施不得擅自占用和改变使用功能。</w:t>
      </w:r>
    </w:p>
    <w:p w14:paraId="2CEADBC5">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4.遇突发事件、大风暴雨、水、电、暖维修等服务检查时，乙方必须加强工作，服从甲方指挥与安排；严格按有关要求（质量、时间、区域）完成各项工作任务。</w:t>
      </w:r>
    </w:p>
    <w:p w14:paraId="58E3273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5.需要大型作业由乙方组织更多人员维修、养护。乙方常驻甲方的管理人员，必须按甲方有关规定办理入驻手续。工作时间，乙方员工必须统一着装、佩带工卡上岗，每日按要求到乙方指定位置签到,工作时间不得擅离岗位。乙方的工作人员人身安全由乙方负责，若因工作造成的任何损害或损失，由乙方承担所有的赔偿责任。</w:t>
      </w:r>
    </w:p>
    <w:p w14:paraId="009D0DF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6.乙方必须确保招投标文件中承诺的设备、工器具按时到位，设备、工器具使用必须合规，在从事某项作业时可能会影响学校师生健康或造成生活、工作等不便，必须事先征得甲方同意，如停水、电、暖、气等。</w:t>
      </w:r>
    </w:p>
    <w:p w14:paraId="633EAE9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7.如遇有关部门进行水、电、暖等检查，乙方必须保证工作符合标准。</w:t>
      </w:r>
    </w:p>
    <w:p w14:paraId="2025E2D7">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8.合同期限内，因各种原因导致设施设备遭到破坏，如施工方或破坏者等造成，施工方或破坏者承担所需费用，乙方应协助及时维修或修复。合同期限届满时，乙方应保证本合同项目设施设备完好无损。未完好的，由乙方负责维修或修复。届时，未维修或修复的，甲方可自行或委托他人维修或修复，费用由乙方负责。</w:t>
      </w:r>
    </w:p>
    <w:p w14:paraId="3E9129FE">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9.乙方应热情对待有关部门的工作检查、指导，对检查中存在的问题及时整改，并配合完成甲方的其他临时性工作事项。</w:t>
      </w:r>
    </w:p>
    <w:p w14:paraId="4EB3F48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10.乙方必须保证校园师生在服务区域内的正常活动，如确需分块定期封闭维修、养护须经甲方同意。</w:t>
      </w:r>
    </w:p>
    <w:p w14:paraId="022870DE">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11.由于乙方操作失误造成损失发生的费用， 由乙方负责， 甲方不另追加费用。</w:t>
      </w:r>
    </w:p>
    <w:p w14:paraId="34F67F3A">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12.乙方应当为维修、维护的设施设备安全性负责，若发生本合同约定的设施设备相关物品坠落或其他原因导致的第三方或甲方人员伤害、财产损失，应当由乙方承担全部赔偿责任。</w:t>
      </w:r>
    </w:p>
    <w:p w14:paraId="4B8E02E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13.其他临时性工作任务。</w:t>
      </w:r>
    </w:p>
    <w:p w14:paraId="43EAA09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14.合同期满，乙方必须从合同终止日起10天内向甲方移交原管理的全部档案资料、以及乙方在履行合同过程中形成的各类资料。乙方应在结算后3天内将所有的物品撤离甲方场所，否则视为乙方放弃所遗留物品的所有权并任由甲方处置。</w:t>
      </w:r>
    </w:p>
    <w:p w14:paraId="750DB0F1">
      <w:pPr>
        <w:pStyle w:val="2"/>
        <w:keepNext w:val="0"/>
        <w:keepLines w:val="0"/>
        <w:pageBreakBefore w:val="0"/>
        <w:wordWrap/>
        <w:overflowPunct/>
        <w:topLinePunct w:val="0"/>
        <w:bidi w:val="0"/>
        <w:spacing w:line="560" w:lineRule="exact"/>
        <w:ind w:left="0" w:right="0"/>
        <w:rPr>
          <w:sz w:val="32"/>
          <w:szCs w:val="32"/>
        </w:rPr>
      </w:pPr>
      <w:r>
        <w:rPr>
          <w:spacing w:val="8"/>
          <w:sz w:val="32"/>
          <w:szCs w:val="32"/>
          <w14:textOutline w14:w="3795" w14:cap="sq" w14:cmpd="sng">
            <w14:solidFill>
              <w14:srgbClr w14:val="000000"/>
            </w14:solidFill>
            <w14:prstDash w14:val="solid"/>
            <w14:bevel/>
          </w14:textOutline>
        </w:rPr>
        <w:t>第八条</w:t>
      </w:r>
      <w:r>
        <w:rPr>
          <w:spacing w:val="8"/>
          <w:sz w:val="32"/>
          <w:szCs w:val="32"/>
        </w:rPr>
        <w:t xml:space="preserve">  </w:t>
      </w:r>
      <w:r>
        <w:rPr>
          <w:spacing w:val="8"/>
          <w:sz w:val="32"/>
          <w:szCs w:val="32"/>
          <w14:textOutline w14:w="3795" w14:cap="sq" w14:cmpd="sng">
            <w14:solidFill>
              <w14:srgbClr w14:val="000000"/>
            </w14:solidFill>
            <w14:prstDash w14:val="solid"/>
            <w14:bevel/>
          </w14:textOutline>
        </w:rPr>
        <w:t>违约责任</w:t>
      </w:r>
    </w:p>
    <w:p w14:paraId="2D00E56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1.除不可抗力因素外，乙方有下列情形之一的，甲方有权解除合同，没收履约保证金。</w:t>
      </w:r>
    </w:p>
    <w:p w14:paraId="1D932F30">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（1）拒绝履行合同义务，擅自解除合同的；</w:t>
      </w:r>
    </w:p>
    <w:p w14:paraId="59200BA0">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（2）乙方因自身经营原因，无法继续履行合同，要求终止合同；</w:t>
      </w:r>
    </w:p>
    <w:p w14:paraId="32BA2F7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（3）乙方因经营服务无法达到招标文件要求或服务无法达到约定标准的，甲方有权要求乙方限期整改，逾期未整改或整改后仍未达到甲方要求的。</w:t>
      </w:r>
    </w:p>
    <w:p w14:paraId="624452AC">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（4）水、电、暖等考核全年出现三次不合格。</w:t>
      </w:r>
    </w:p>
    <w:p w14:paraId="5A7E9026">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（5）未经甲方同意，乙方转包、分包合同事务，在服务区域内从事未经甲方认可的承包工作。</w:t>
      </w:r>
    </w:p>
    <w:p w14:paraId="43C7D17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（6）乙方出现重大管理不到位（如已影响甲方公众形象、声誉的），有三次投诉而得不到纠正的。</w:t>
      </w:r>
    </w:p>
    <w:p w14:paraId="5BCFB147">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（7）合同约定的甲方可以解除合同的其他情形。</w:t>
      </w:r>
    </w:p>
    <w:p w14:paraId="0078D80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 乙方必须服从甲方的管理，有责任配合甲方接受上级部门的监督、检查，提供必须的资料；对甲方在日常监管工作中开出的项目整改单，要严格按照规定的时间进行整改，并将整改情况上报甲方。如遇有关部门进行检查，乙方必须保证服务工作符合标准，如因乙方原因未能达到标准而导致无法通过检查，乙方将负责全部违约责任，甲方有权视具体情况对乙方采取相应处罚，当月考核分数为60分以下。甲方为完成整改要求而产生的支出费用由乙方承担。</w:t>
      </w:r>
    </w:p>
    <w:p w14:paraId="5AA8183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3.因不可抗拒的因素造成本合同无法执行，任意一方可终止本合同，无需做出任何赔偿。经双方协商同意可终止部分或全部合同的，无须承担违约责任。</w:t>
      </w:r>
    </w:p>
    <w:p w14:paraId="1C7E14E7">
      <w:pPr>
        <w:pStyle w:val="2"/>
        <w:keepNext w:val="0"/>
        <w:keepLines w:val="0"/>
        <w:pageBreakBefore w:val="0"/>
        <w:wordWrap/>
        <w:overflowPunct/>
        <w:topLinePunct w:val="0"/>
        <w:bidi w:val="0"/>
        <w:spacing w:line="560" w:lineRule="exact"/>
        <w:ind w:left="0" w:right="0"/>
        <w:rPr>
          <w:sz w:val="32"/>
          <w:szCs w:val="32"/>
        </w:rPr>
      </w:pPr>
      <w:r>
        <w:rPr>
          <w:spacing w:val="9"/>
          <w:sz w:val="32"/>
          <w:szCs w:val="32"/>
          <w14:textOutline w14:w="3795" w14:cap="sq" w14:cmpd="sng">
            <w14:solidFill>
              <w14:srgbClr w14:val="000000"/>
            </w14:solidFill>
            <w14:prstDash w14:val="solid"/>
            <w14:bevel/>
          </w14:textOutline>
        </w:rPr>
        <w:t>第九条</w:t>
      </w:r>
      <w:r>
        <w:rPr>
          <w:spacing w:val="9"/>
          <w:sz w:val="32"/>
          <w:szCs w:val="32"/>
        </w:rPr>
        <w:t xml:space="preserve">  </w:t>
      </w:r>
      <w:r>
        <w:rPr>
          <w:spacing w:val="9"/>
          <w:sz w:val="32"/>
          <w:szCs w:val="32"/>
          <w14:textOutline w14:w="3795" w14:cap="sq" w14:cmpd="sng">
            <w14:solidFill>
              <w14:srgbClr w14:val="000000"/>
            </w14:solidFill>
            <w14:prstDash w14:val="solid"/>
            <w14:bevel/>
          </w14:textOutline>
        </w:rPr>
        <w:t>合同的协商、补充与中（终）止</w:t>
      </w:r>
    </w:p>
    <w:p w14:paraId="7F49FF0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1.甲、乙双方如要提前终止部分或全部合同，需提前2个月，征得对方同意后，方可终止。</w:t>
      </w:r>
    </w:p>
    <w:p w14:paraId="20CFFFD1">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2.合同期内，如需修改或补充合同内容，经协商，双方应签署书面修改或补充协议，该协议将作为合同不可分割的一部分。</w:t>
      </w:r>
    </w:p>
    <w:p w14:paraId="61AFB49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3.在履行合同中，如双方发生争议，双方应本着互谅互让原则友好协商解决，如协商不成，向甲方所在地人民法院提起诉讼。</w:t>
      </w:r>
    </w:p>
    <w:p w14:paraId="5AF424D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4.合同实施或与合同有关的一切争端，甲乙双方应通过友好协商解决，如果协商仍得不到解决，任何一方可向甲方所在地的仲裁委员会申请仲裁。</w:t>
      </w:r>
    </w:p>
    <w:p w14:paraId="2CC3EE07">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5.仲裁裁决应为最终裁决，对双方均有约束力。</w:t>
      </w:r>
    </w:p>
    <w:p w14:paraId="4B37953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6.仲裁费用除仲裁委员会另有裁决外应由败诉方承担。</w:t>
      </w:r>
    </w:p>
    <w:p w14:paraId="5B5A8EB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7.在仲裁期间，除正在执行仲裁的部分外，本合同的其他部分应继续执行。</w:t>
      </w:r>
    </w:p>
    <w:p w14:paraId="25F414CA">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8.本次采购过程中形成的采购文件、响应文件、补充协议、附件等与本合同具有同等法律效力。</w:t>
      </w:r>
    </w:p>
    <w:p w14:paraId="30EBC16E">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9.本合同一式伍份， 甲方执叁份，乙方执贰份，具有同等法律效力。双方签字盖章后生效。</w:t>
      </w:r>
    </w:p>
    <w:p w14:paraId="1788E2C8">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第十条双方需签署购销廉洁自律协议书，详见附件 2 附件 1：《考核标准》（详见本标书的约定）</w:t>
      </w:r>
    </w:p>
    <w:p w14:paraId="4603BCF2">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甲方（公章）：                         乙方（公章）：</w:t>
      </w:r>
    </w:p>
    <w:p w14:paraId="1735C08C">
      <w:pPr>
        <w:keepNext w:val="0"/>
        <w:keepLines w:val="0"/>
        <w:pageBreakBefore w:val="0"/>
        <w:widowControl w:val="0"/>
        <w:kinsoku/>
        <w:wordWrap/>
        <w:overflowPunct/>
        <w:topLinePunct w:val="0"/>
        <w:autoSpaceDE/>
        <w:autoSpaceDN/>
        <w:bidi w:val="0"/>
        <w:adjustRightInd/>
        <w:snapToGrid/>
        <w:spacing w:line="560" w:lineRule="exact"/>
        <w:ind w:right="0"/>
        <w:textAlignment w:val="auto"/>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 xml:space="preserve">法定（或授权）代表人（签字） :            法定（或授权）代表人（签字） : </w:t>
      </w:r>
    </w:p>
    <w:p w14:paraId="7FA561E5">
      <w:pPr>
        <w:keepNext w:val="0"/>
        <w:keepLines w:val="0"/>
        <w:pageBreakBefore w:val="0"/>
        <w:widowControl w:val="0"/>
        <w:kinsoku/>
        <w:wordWrap/>
        <w:overflowPunct/>
        <w:topLinePunct w:val="0"/>
        <w:autoSpaceDE/>
        <w:autoSpaceDN/>
        <w:bidi w:val="0"/>
        <w:adjustRightInd/>
        <w:snapToGrid/>
        <w:spacing w:line="560" w:lineRule="exact"/>
        <w:ind w:right="0"/>
        <w:textAlignment w:val="auto"/>
        <w:rPr>
          <w:rFonts w:hint="eastAsia" w:ascii="仿宋_GB2312" w:hAnsi="仿宋_GB2312" w:eastAsia="仿宋_GB2312" w:cs="仿宋_GB2312"/>
          <w:snapToGrid w:val="0"/>
          <w:color w:val="auto"/>
          <w:kern w:val="0"/>
          <w:sz w:val="28"/>
          <w:szCs w:val="28"/>
          <w:lang w:val="en-US" w:eastAsia="zh-CN" w:bidi="ar-SA"/>
        </w:rPr>
      </w:pPr>
    </w:p>
    <w:p w14:paraId="5B3C0EA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地址：                                 地址：</w:t>
      </w:r>
    </w:p>
    <w:p w14:paraId="372434AD">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电话：                                电话：</w:t>
      </w:r>
    </w:p>
    <w:p w14:paraId="32573BD3">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开户银行：                            开户银行：</w:t>
      </w:r>
    </w:p>
    <w:p w14:paraId="37BF72C4">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eastAsia"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账号：                                账号：</w:t>
      </w:r>
    </w:p>
    <w:p w14:paraId="3BEA69D1">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auto"/>
          <w:kern w:val="0"/>
          <w:sz w:val="28"/>
          <w:szCs w:val="28"/>
          <w:lang w:val="en-US" w:eastAsia="zh-CN" w:bidi="ar-SA"/>
        </w:rPr>
      </w:pPr>
      <w:r>
        <w:rPr>
          <w:rFonts w:hint="eastAsia" w:ascii="仿宋_GB2312" w:hAnsi="仿宋_GB2312" w:eastAsia="仿宋_GB2312" w:cs="仿宋_GB2312"/>
          <w:snapToGrid w:val="0"/>
          <w:color w:val="auto"/>
          <w:kern w:val="0"/>
          <w:sz w:val="28"/>
          <w:szCs w:val="28"/>
          <w:lang w:val="en-US" w:eastAsia="zh-CN" w:bidi="ar-SA"/>
        </w:rPr>
        <w:t>行号：                                行号：</w:t>
      </w:r>
    </w:p>
    <w:p w14:paraId="5530699B">
      <w:pPr>
        <w:keepNext w:val="0"/>
        <w:keepLines w:val="0"/>
        <w:pageBreakBefore w:val="0"/>
        <w:widowControl w:val="0"/>
        <w:kinsoku/>
        <w:wordWrap/>
        <w:overflowPunct/>
        <w:topLinePunct w:val="0"/>
        <w:autoSpaceDE/>
        <w:autoSpaceDN/>
        <w:bidi w:val="0"/>
        <w:adjustRightInd/>
        <w:snapToGrid/>
        <w:spacing w:line="560" w:lineRule="exact"/>
        <w:ind w:left="0" w:right="0" w:firstLine="560" w:firstLineChars="200"/>
        <w:textAlignment w:val="auto"/>
        <w:rPr>
          <w:rFonts w:hint="default" w:ascii="仿宋_GB2312" w:hAnsi="仿宋_GB2312" w:eastAsia="仿宋_GB2312" w:cs="仿宋_GB2312"/>
          <w:snapToGrid w:val="0"/>
          <w:color w:val="auto"/>
          <w:kern w:val="0"/>
          <w:sz w:val="28"/>
          <w:szCs w:val="28"/>
          <w:lang w:val="en-US" w:eastAsia="zh-CN" w:bidi="ar-SA"/>
        </w:rPr>
        <w:sectPr>
          <w:pgSz w:w="11907" w:h="16840"/>
          <w:pgMar w:top="1297" w:right="1170" w:bottom="1262" w:left="1287" w:header="1283" w:footer="993" w:gutter="0"/>
          <w:pgBorders>
            <w:top w:val="none" w:sz="0" w:space="0"/>
            <w:left w:val="none" w:sz="0" w:space="0"/>
            <w:bottom w:val="none" w:sz="0" w:space="0"/>
            <w:right w:val="none" w:sz="0" w:space="0"/>
          </w:pgBorders>
          <w:pgNumType w:fmt="decimal"/>
          <w:cols w:space="720" w:num="1"/>
        </w:sectPr>
      </w:pPr>
      <w:r>
        <w:rPr>
          <w:rFonts w:hint="eastAsia" w:ascii="仿宋_GB2312" w:hAnsi="仿宋_GB2312" w:eastAsia="仿宋_GB2312" w:cs="仿宋_GB2312"/>
          <w:snapToGrid w:val="0"/>
          <w:color w:val="auto"/>
          <w:kern w:val="0"/>
          <w:sz w:val="28"/>
          <w:szCs w:val="28"/>
          <w:lang w:val="en-US" w:eastAsia="zh-CN" w:bidi="ar-SA"/>
        </w:rPr>
        <w:t>签订日期：                            签订日期：</w:t>
      </w:r>
    </w:p>
    <w:p w14:paraId="12D3D6E5">
      <w:pPr>
        <w:keepNext w:val="0"/>
        <w:keepLines w:val="0"/>
        <w:pageBreakBefore w:val="0"/>
        <w:wordWrap/>
        <w:overflowPunct/>
        <w:topLinePunct w:val="0"/>
        <w:bidi w:val="0"/>
        <w:spacing w:line="560" w:lineRule="exact"/>
        <w:ind w:left="0" w:right="0" w:firstLine="2944" w:firstLineChars="800"/>
        <w:outlineLvl w:val="0"/>
        <w:rPr>
          <w:rFonts w:ascii="黑体" w:hAnsi="黑体" w:eastAsia="黑体" w:cs="黑体"/>
          <w:sz w:val="35"/>
          <w:szCs w:val="35"/>
        </w:rPr>
      </w:pPr>
      <w:r>
        <w:rPr>
          <w:rFonts w:ascii="黑体" w:hAnsi="黑体" w:eastAsia="黑体" w:cs="黑体"/>
          <w:spacing w:val="9"/>
          <w:sz w:val="35"/>
          <w:szCs w:val="35"/>
          <w14:textOutline w14:w="6537" w14:cap="sq" w14:cmpd="sng">
            <w14:solidFill>
              <w14:srgbClr w14:val="000000"/>
            </w14:solidFill>
            <w14:prstDash w14:val="solid"/>
            <w14:bevel/>
          </w14:textOutline>
        </w:rPr>
        <w:t>第三部分</w:t>
      </w:r>
      <w:r>
        <w:rPr>
          <w:rFonts w:ascii="黑体" w:hAnsi="黑体" w:eastAsia="黑体" w:cs="黑体"/>
          <w:spacing w:val="9"/>
          <w:sz w:val="35"/>
          <w:szCs w:val="35"/>
        </w:rPr>
        <w:t xml:space="preserve"> </w:t>
      </w:r>
      <w:r>
        <w:rPr>
          <w:rFonts w:ascii="黑体" w:hAnsi="黑体" w:eastAsia="黑体" w:cs="黑体"/>
          <w:spacing w:val="9"/>
          <w:sz w:val="35"/>
          <w:szCs w:val="35"/>
          <w14:textOutline w14:w="6537" w14:cap="sq" w14:cmpd="sng">
            <w14:solidFill>
              <w14:srgbClr w14:val="000000"/>
            </w14:solidFill>
            <w14:prstDash w14:val="solid"/>
            <w14:bevel/>
          </w14:textOutline>
        </w:rPr>
        <w:t>响应文件格式</w:t>
      </w:r>
    </w:p>
    <w:p w14:paraId="348D62CE">
      <w:pPr>
        <w:keepNext w:val="0"/>
        <w:keepLines w:val="0"/>
        <w:pageBreakBefore w:val="0"/>
        <w:wordWrap/>
        <w:overflowPunct/>
        <w:topLinePunct w:val="0"/>
        <w:bidi w:val="0"/>
        <w:spacing w:line="560" w:lineRule="exact"/>
        <w:ind w:left="0" w:right="0" w:firstLine="3562" w:firstLineChars="1300"/>
        <w:outlineLvl w:val="1"/>
        <w:rPr>
          <w:rFonts w:ascii="黑体" w:hAnsi="黑体" w:eastAsia="黑体" w:cs="黑体"/>
          <w:sz w:val="28"/>
          <w:szCs w:val="28"/>
        </w:rPr>
      </w:pPr>
      <w:r>
        <w:rPr>
          <w:rFonts w:ascii="黑体" w:hAnsi="黑体" w:eastAsia="黑体" w:cs="黑体"/>
          <w:spacing w:val="-3"/>
          <w:sz w:val="28"/>
          <w:szCs w:val="28"/>
        </w:rPr>
        <w:t>（一）“报价文件</w:t>
      </w:r>
      <w:r>
        <w:rPr>
          <w:rFonts w:ascii="Arial" w:hAnsi="Arial" w:eastAsia="Arial" w:cs="Arial"/>
          <w:spacing w:val="-3"/>
          <w:sz w:val="28"/>
          <w:szCs w:val="28"/>
        </w:rPr>
        <w:t>”</w:t>
      </w:r>
      <w:r>
        <w:rPr>
          <w:rFonts w:ascii="黑体" w:hAnsi="黑体" w:eastAsia="黑体" w:cs="黑体"/>
          <w:spacing w:val="-3"/>
          <w:sz w:val="28"/>
          <w:szCs w:val="28"/>
        </w:rPr>
        <w:t>格式</w:t>
      </w:r>
    </w:p>
    <w:p w14:paraId="37C74BE5">
      <w:pPr>
        <w:keepNext w:val="0"/>
        <w:keepLines w:val="0"/>
        <w:pageBreakBefore w:val="0"/>
        <w:wordWrap/>
        <w:overflowPunct/>
        <w:topLinePunct w:val="0"/>
        <w:bidi w:val="0"/>
        <w:spacing w:line="560" w:lineRule="exact"/>
        <w:ind w:left="0" w:right="0"/>
        <w:rPr>
          <w:rFonts w:ascii="Arial"/>
          <w:sz w:val="21"/>
        </w:rPr>
      </w:pPr>
    </w:p>
    <w:p w14:paraId="153B4E4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1784" w:firstLineChars="200"/>
        <w:textAlignment w:val="baseline"/>
        <w:rPr>
          <w:rFonts w:ascii="华文中宋" w:hAnsi="华文中宋" w:eastAsia="华文中宋" w:cs="华文中宋"/>
          <w:sz w:val="95"/>
          <w:szCs w:val="95"/>
        </w:rPr>
      </w:pPr>
      <w:r>
        <w:rPr>
          <w:rFonts w:ascii="华文中宋" w:hAnsi="华文中宋" w:eastAsia="华文中宋" w:cs="华文中宋"/>
          <w:spacing w:val="-29"/>
          <w:sz w:val="95"/>
          <w:szCs w:val="95"/>
        </w:rPr>
        <w:t>响</w:t>
      </w:r>
      <w:r>
        <w:rPr>
          <w:rFonts w:ascii="华文中宋" w:hAnsi="华文中宋" w:eastAsia="华文中宋" w:cs="华文中宋"/>
          <w:spacing w:val="202"/>
          <w:sz w:val="95"/>
          <w:szCs w:val="95"/>
        </w:rPr>
        <w:t xml:space="preserve"> </w:t>
      </w:r>
      <w:r>
        <w:rPr>
          <w:rFonts w:ascii="华文中宋" w:hAnsi="华文中宋" w:eastAsia="华文中宋" w:cs="华文中宋"/>
          <w:spacing w:val="-29"/>
          <w:sz w:val="95"/>
          <w:szCs w:val="95"/>
        </w:rPr>
        <w:t>应</w:t>
      </w:r>
      <w:r>
        <w:rPr>
          <w:rFonts w:ascii="华文中宋" w:hAnsi="华文中宋" w:eastAsia="华文中宋" w:cs="华文中宋"/>
          <w:spacing w:val="209"/>
          <w:sz w:val="95"/>
          <w:szCs w:val="95"/>
        </w:rPr>
        <w:t xml:space="preserve"> </w:t>
      </w:r>
      <w:r>
        <w:rPr>
          <w:rFonts w:ascii="华文中宋" w:hAnsi="华文中宋" w:eastAsia="华文中宋" w:cs="华文中宋"/>
          <w:spacing w:val="-29"/>
          <w:sz w:val="95"/>
          <w:szCs w:val="95"/>
        </w:rPr>
        <w:t>文</w:t>
      </w:r>
      <w:r>
        <w:rPr>
          <w:rFonts w:ascii="华文中宋" w:hAnsi="华文中宋" w:eastAsia="华文中宋" w:cs="华文中宋"/>
          <w:spacing w:val="190"/>
          <w:sz w:val="95"/>
          <w:szCs w:val="95"/>
        </w:rPr>
        <w:t xml:space="preserve"> </w:t>
      </w:r>
      <w:r>
        <w:rPr>
          <w:rFonts w:ascii="华文中宋" w:hAnsi="华文中宋" w:eastAsia="华文中宋" w:cs="华文中宋"/>
          <w:spacing w:val="-29"/>
          <w:sz w:val="95"/>
          <w:szCs w:val="95"/>
        </w:rPr>
        <w:t>件</w:t>
      </w:r>
    </w:p>
    <w:p w14:paraId="2C14FF8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3458" w:firstLineChars="700"/>
        <w:textAlignment w:val="baseline"/>
        <w:outlineLvl w:val="1"/>
        <w:rPr>
          <w:rFonts w:ascii="华文中宋" w:hAnsi="华文中宋" w:eastAsia="华文中宋" w:cs="华文中宋"/>
          <w:sz w:val="52"/>
          <w:szCs w:val="52"/>
        </w:rPr>
      </w:pPr>
      <w:r>
        <w:rPr>
          <w:rFonts w:ascii="华文中宋" w:hAnsi="华文中宋" w:eastAsia="华文中宋" w:cs="华文中宋"/>
          <w:spacing w:val="-13"/>
          <w:position w:val="9"/>
          <w:sz w:val="52"/>
          <w:szCs w:val="52"/>
          <w14:textOutline w14:w="9461" w14:cap="sq" w14:cmpd="sng">
            <w14:solidFill>
              <w14:srgbClr w14:val="000000"/>
            </w14:solidFill>
            <w14:prstDash w14:val="solid"/>
            <w14:bevel/>
          </w14:textOutline>
        </w:rPr>
        <w:t>（报价文件）</w:t>
      </w:r>
    </w:p>
    <w:p w14:paraId="07982488">
      <w:pPr>
        <w:keepNext w:val="0"/>
        <w:keepLines w:val="0"/>
        <w:pageBreakBefore w:val="0"/>
        <w:wordWrap/>
        <w:overflowPunct/>
        <w:topLinePunct w:val="0"/>
        <w:bidi w:val="0"/>
        <w:spacing w:line="560" w:lineRule="exact"/>
        <w:ind w:left="0" w:right="0"/>
        <w:rPr>
          <w:rFonts w:ascii="Arial"/>
          <w:sz w:val="21"/>
        </w:rPr>
      </w:pPr>
    </w:p>
    <w:p w14:paraId="08388E29">
      <w:pPr>
        <w:keepNext w:val="0"/>
        <w:keepLines w:val="0"/>
        <w:pageBreakBefore w:val="0"/>
        <w:wordWrap/>
        <w:overflowPunct/>
        <w:topLinePunct w:val="0"/>
        <w:bidi w:val="0"/>
        <w:spacing w:line="560" w:lineRule="exact"/>
        <w:ind w:left="0" w:right="0"/>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供应商名称（盖章</w:t>
      </w:r>
      <w:r>
        <w:rPr>
          <w:rFonts w:ascii="仿宋" w:hAnsi="仿宋" w:eastAsia="仿宋" w:cs="仿宋"/>
          <w:spacing w:val="2"/>
          <w:sz w:val="28"/>
          <w:szCs w:val="28"/>
          <w14:textOutline w14:w="5103" w14:cap="sq" w14:cmpd="sng">
            <w14:solidFill>
              <w14:srgbClr w14:val="000000"/>
            </w14:solidFill>
            <w14:prstDash w14:val="solid"/>
            <w14:bevel/>
          </w14:textOutline>
        </w:rPr>
        <w:t>）：</w:t>
      </w:r>
      <w:r>
        <w:rPr>
          <w:rFonts w:ascii="仿宋" w:hAnsi="仿宋" w:eastAsia="仿宋" w:cs="仿宋"/>
          <w:sz w:val="28"/>
          <w:szCs w:val="28"/>
          <w:u w:val="single" w:color="auto"/>
        </w:rPr>
        <w:t xml:space="preserve">                                    </w:t>
      </w:r>
    </w:p>
    <w:p w14:paraId="07DC8D5C">
      <w:pPr>
        <w:keepNext w:val="0"/>
        <w:keepLines w:val="0"/>
        <w:pageBreakBefore w:val="0"/>
        <w:wordWrap/>
        <w:overflowPunct/>
        <w:topLinePunct w:val="0"/>
        <w:bidi w:val="0"/>
        <w:spacing w:line="560" w:lineRule="exact"/>
        <w:ind w:left="0" w:right="0"/>
        <w:rPr>
          <w:rFonts w:ascii="Arial"/>
          <w:sz w:val="21"/>
        </w:rPr>
      </w:pPr>
    </w:p>
    <w:p w14:paraId="0B13F3D6">
      <w:pPr>
        <w:keepNext w:val="0"/>
        <w:keepLines w:val="0"/>
        <w:pageBreakBefore w:val="0"/>
        <w:wordWrap/>
        <w:overflowPunct/>
        <w:topLinePunct w:val="0"/>
        <w:bidi w:val="0"/>
        <w:spacing w:line="560" w:lineRule="exact"/>
        <w:ind w:left="0" w:right="0"/>
        <w:rPr>
          <w:rFonts w:ascii="仿宋" w:hAnsi="仿宋" w:eastAsia="仿宋" w:cs="仿宋"/>
          <w:sz w:val="28"/>
          <w:szCs w:val="28"/>
        </w:rPr>
      </w:pPr>
      <w:r>
        <w:rPr>
          <w:rFonts w:ascii="仿宋" w:hAnsi="仿宋" w:eastAsia="仿宋" w:cs="仿宋"/>
          <w:spacing w:val="-1"/>
          <w:sz w:val="28"/>
          <w:szCs w:val="28"/>
          <w14:textOutline w14:w="5103" w14:cap="sq" w14:cmpd="sng">
            <w14:solidFill>
              <w14:srgbClr w14:val="000000"/>
            </w14:solidFill>
            <w14:prstDash w14:val="solid"/>
            <w14:bevel/>
          </w14:textOutline>
        </w:rPr>
        <w:t>供应商地址：</w:t>
      </w:r>
      <w:r>
        <w:rPr>
          <w:rFonts w:ascii="仿宋" w:hAnsi="仿宋" w:eastAsia="仿宋" w:cs="仿宋"/>
          <w:spacing w:val="-1"/>
          <w:sz w:val="28"/>
          <w:szCs w:val="28"/>
          <w:u w:val="single" w:color="auto"/>
        </w:rPr>
        <w:t xml:space="preserve">                            </w:t>
      </w:r>
      <w:r>
        <w:rPr>
          <w:rFonts w:ascii="仿宋" w:hAnsi="仿宋" w:eastAsia="仿宋" w:cs="仿宋"/>
          <w:spacing w:val="-2"/>
          <w:sz w:val="28"/>
          <w:szCs w:val="28"/>
          <w:u w:val="single" w:color="auto"/>
        </w:rPr>
        <w:t xml:space="preserve">               </w:t>
      </w:r>
    </w:p>
    <w:p w14:paraId="387530AB">
      <w:pPr>
        <w:keepNext w:val="0"/>
        <w:keepLines w:val="0"/>
        <w:pageBreakBefore w:val="0"/>
        <w:wordWrap/>
        <w:overflowPunct/>
        <w:topLinePunct w:val="0"/>
        <w:bidi w:val="0"/>
        <w:spacing w:line="560" w:lineRule="exact"/>
        <w:ind w:left="0" w:right="0"/>
        <w:rPr>
          <w:rFonts w:ascii="Arial"/>
          <w:sz w:val="21"/>
        </w:rPr>
      </w:pPr>
    </w:p>
    <w:p w14:paraId="1A2F8C45">
      <w:pPr>
        <w:keepNext w:val="0"/>
        <w:keepLines w:val="0"/>
        <w:pageBreakBefore w:val="0"/>
        <w:wordWrap/>
        <w:overflowPunct/>
        <w:topLinePunct w:val="0"/>
        <w:bidi w:val="0"/>
        <w:spacing w:line="560" w:lineRule="exact"/>
        <w:ind w:left="0" w:right="0"/>
        <w:rPr>
          <w:rFonts w:ascii="仿宋" w:hAnsi="仿宋" w:eastAsia="仿宋" w:cs="仿宋"/>
          <w:sz w:val="28"/>
          <w:szCs w:val="28"/>
        </w:rPr>
      </w:pPr>
      <w:r>
        <w:rPr>
          <w:rFonts w:ascii="仿宋" w:hAnsi="仿宋" w:eastAsia="仿宋" w:cs="仿宋"/>
          <w:spacing w:val="-1"/>
          <w:sz w:val="28"/>
          <w:szCs w:val="28"/>
          <w14:textOutline w14:w="5103" w14:cap="sq" w14:cmpd="sng">
            <w14:solidFill>
              <w14:srgbClr w14:val="000000"/>
            </w14:solidFill>
            <w14:prstDash w14:val="solid"/>
            <w14:bevel/>
          </w14:textOutline>
        </w:rPr>
        <w:t>法定代表人或其授权代表（签字或盖章</w:t>
      </w:r>
      <w:r>
        <w:rPr>
          <w:rFonts w:ascii="仿宋" w:hAnsi="仿宋" w:eastAsia="仿宋" w:cs="仿宋"/>
          <w:spacing w:val="4"/>
          <w:sz w:val="28"/>
          <w:szCs w:val="28"/>
          <w14:textOutline w14:w="5103" w14:cap="sq" w14:cmpd="sng">
            <w14:solidFill>
              <w14:srgbClr w14:val="000000"/>
            </w14:solidFill>
            <w14:prstDash w14:val="solid"/>
            <w14:bevel/>
          </w14:textOutline>
        </w:rPr>
        <w:t>）：</w:t>
      </w:r>
      <w:r>
        <w:rPr>
          <w:rFonts w:ascii="仿宋" w:hAnsi="仿宋" w:eastAsia="仿宋" w:cs="仿宋"/>
          <w:sz w:val="28"/>
          <w:szCs w:val="28"/>
          <w:u w:val="single" w:color="auto"/>
        </w:rPr>
        <w:t xml:space="preserve">                      </w:t>
      </w:r>
    </w:p>
    <w:p w14:paraId="3913097C">
      <w:pPr>
        <w:keepNext w:val="0"/>
        <w:keepLines w:val="0"/>
        <w:pageBreakBefore w:val="0"/>
        <w:wordWrap/>
        <w:overflowPunct/>
        <w:topLinePunct w:val="0"/>
        <w:bidi w:val="0"/>
        <w:spacing w:line="560" w:lineRule="exact"/>
        <w:ind w:left="0" w:right="0"/>
        <w:rPr>
          <w:rFonts w:ascii="Arial"/>
          <w:sz w:val="21"/>
        </w:rPr>
      </w:pPr>
    </w:p>
    <w:p w14:paraId="59771EF0">
      <w:pPr>
        <w:keepNext w:val="0"/>
        <w:keepLines w:val="0"/>
        <w:pageBreakBefore w:val="0"/>
        <w:wordWrap/>
        <w:overflowPunct/>
        <w:topLinePunct w:val="0"/>
        <w:bidi w:val="0"/>
        <w:spacing w:line="560" w:lineRule="exact"/>
        <w:ind w:left="0" w:right="0"/>
        <w:rPr>
          <w:rFonts w:ascii="仿宋" w:hAnsi="仿宋" w:eastAsia="仿宋" w:cs="仿宋"/>
          <w:sz w:val="28"/>
          <w:szCs w:val="28"/>
        </w:rPr>
      </w:pPr>
      <w:r>
        <w:rPr>
          <w:rFonts w:ascii="仿宋" w:hAnsi="仿宋" w:eastAsia="仿宋" w:cs="仿宋"/>
          <w:spacing w:val="-25"/>
          <w:sz w:val="28"/>
          <w:szCs w:val="28"/>
          <w14:textOutline w14:w="5103" w14:cap="sq" w14:cmpd="sng">
            <w14:solidFill>
              <w14:srgbClr w14:val="000000"/>
            </w14:solidFill>
            <w14:prstDash w14:val="solid"/>
            <w14:bevel/>
          </w14:textOutline>
        </w:rPr>
        <w:t>日期：</w:t>
      </w:r>
      <w:r>
        <w:rPr>
          <w:rFonts w:ascii="仿宋" w:hAnsi="仿宋" w:eastAsia="仿宋" w:cs="仿宋"/>
          <w:sz w:val="28"/>
          <w:szCs w:val="28"/>
          <w:u w:val="single" w:color="auto"/>
        </w:rPr>
        <w:t xml:space="preserve">                                                     </w:t>
      </w:r>
    </w:p>
    <w:p w14:paraId="560B12E4">
      <w:pPr>
        <w:keepNext w:val="0"/>
        <w:keepLines w:val="0"/>
        <w:pageBreakBefore w:val="0"/>
        <w:wordWrap/>
        <w:overflowPunct/>
        <w:topLinePunct w:val="0"/>
        <w:bidi w:val="0"/>
        <w:spacing w:line="560" w:lineRule="exact"/>
        <w:ind w:left="0" w:right="0"/>
        <w:rPr>
          <w:rFonts w:ascii="仿宋" w:hAnsi="仿宋" w:eastAsia="仿宋" w:cs="仿宋"/>
          <w:sz w:val="28"/>
          <w:szCs w:val="28"/>
        </w:rPr>
      </w:pPr>
    </w:p>
    <w:p w14:paraId="3EF00BCF">
      <w:pPr>
        <w:keepNext w:val="0"/>
        <w:keepLines w:val="0"/>
        <w:pageBreakBefore w:val="0"/>
        <w:wordWrap/>
        <w:overflowPunct/>
        <w:topLinePunct w:val="0"/>
        <w:bidi w:val="0"/>
        <w:spacing w:line="560" w:lineRule="exact"/>
        <w:ind w:left="0" w:right="0"/>
        <w:rPr>
          <w:rFonts w:ascii="仿宋" w:hAnsi="仿宋" w:eastAsia="仿宋" w:cs="仿宋"/>
          <w:sz w:val="28"/>
          <w:szCs w:val="28"/>
        </w:rPr>
      </w:pPr>
    </w:p>
    <w:p w14:paraId="0EEFF1AC">
      <w:pPr>
        <w:keepNext w:val="0"/>
        <w:keepLines w:val="0"/>
        <w:pageBreakBefore w:val="0"/>
        <w:wordWrap/>
        <w:overflowPunct/>
        <w:topLinePunct w:val="0"/>
        <w:bidi w:val="0"/>
        <w:spacing w:line="560" w:lineRule="exact"/>
        <w:ind w:left="0" w:right="0"/>
        <w:rPr>
          <w:rFonts w:ascii="仿宋" w:hAnsi="仿宋" w:eastAsia="仿宋" w:cs="仿宋"/>
          <w:sz w:val="28"/>
          <w:szCs w:val="28"/>
        </w:rPr>
      </w:pPr>
    </w:p>
    <w:p w14:paraId="1171E5B8">
      <w:pPr>
        <w:keepNext w:val="0"/>
        <w:keepLines w:val="0"/>
        <w:pageBreakBefore w:val="0"/>
        <w:wordWrap/>
        <w:overflowPunct/>
        <w:topLinePunct w:val="0"/>
        <w:bidi w:val="0"/>
        <w:spacing w:line="560" w:lineRule="exact"/>
        <w:ind w:left="0" w:right="0"/>
        <w:rPr>
          <w:rFonts w:ascii="仿宋" w:hAnsi="仿宋" w:eastAsia="仿宋" w:cs="仿宋"/>
          <w:sz w:val="28"/>
          <w:szCs w:val="28"/>
        </w:rPr>
      </w:pPr>
    </w:p>
    <w:p w14:paraId="58F382CE">
      <w:pPr>
        <w:keepNext w:val="0"/>
        <w:keepLines w:val="0"/>
        <w:pageBreakBefore w:val="0"/>
        <w:wordWrap/>
        <w:overflowPunct/>
        <w:topLinePunct w:val="0"/>
        <w:bidi w:val="0"/>
        <w:spacing w:line="560" w:lineRule="exact"/>
        <w:ind w:left="0" w:right="0"/>
        <w:rPr>
          <w:rFonts w:ascii="仿宋" w:hAnsi="仿宋" w:eastAsia="仿宋" w:cs="仿宋"/>
          <w:sz w:val="28"/>
          <w:szCs w:val="28"/>
        </w:rPr>
        <w:sectPr>
          <w:headerReference r:id="rId9" w:type="default"/>
          <w:footerReference r:id="rId10" w:type="default"/>
          <w:pgSz w:w="11907" w:h="16840"/>
          <w:pgMar w:top="1297" w:right="1170" w:bottom="1262" w:left="1287" w:header="1283" w:footer="993" w:gutter="0"/>
          <w:pgBorders>
            <w:top w:val="none" w:sz="0" w:space="0"/>
            <w:left w:val="none" w:sz="0" w:space="0"/>
            <w:bottom w:val="none" w:sz="0" w:space="0"/>
            <w:right w:val="none" w:sz="0" w:space="0"/>
          </w:pgBorders>
          <w:pgNumType w:fmt="decimal"/>
          <w:cols w:space="720" w:num="1"/>
        </w:sectPr>
      </w:pPr>
    </w:p>
    <w:p w14:paraId="7F5DE561">
      <w:pPr>
        <w:keepNext w:val="0"/>
        <w:keepLines w:val="0"/>
        <w:pageBreakBefore w:val="0"/>
        <w:wordWrap/>
        <w:overflowPunct/>
        <w:topLinePunct w:val="0"/>
        <w:bidi w:val="0"/>
        <w:spacing w:line="560" w:lineRule="exact"/>
        <w:ind w:left="0" w:right="0"/>
        <w:jc w:val="center"/>
        <w:rPr>
          <w:rFonts w:hint="eastAsia" w:ascii="仿宋_GB2312" w:hAnsi="仿宋_GB2312" w:eastAsia="仿宋_GB2312" w:cs="仿宋_GB2312"/>
          <w:b/>
          <w:bCs/>
          <w:snapToGrid w:val="0"/>
          <w:color w:val="000000"/>
          <w:kern w:val="0"/>
          <w:sz w:val="28"/>
          <w:szCs w:val="28"/>
          <w:lang w:val="en-US" w:eastAsia="zh-CN" w:bidi="ar-SA"/>
        </w:rPr>
      </w:pPr>
      <w:r>
        <w:rPr>
          <w:rFonts w:hint="eastAsia" w:ascii="仿宋_GB2312" w:hAnsi="仿宋_GB2312" w:eastAsia="仿宋_GB2312" w:cs="仿宋_GB2312"/>
          <w:b/>
          <w:bCs/>
          <w:snapToGrid w:val="0"/>
          <w:color w:val="000000"/>
          <w:kern w:val="0"/>
          <w:sz w:val="28"/>
          <w:szCs w:val="28"/>
          <w:lang w:val="en-US" w:eastAsia="zh-CN" w:bidi="ar-SA"/>
        </w:rPr>
        <w:t>报价单</w:t>
      </w:r>
    </w:p>
    <w:p w14:paraId="69D0030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 xml:space="preserve">供应商名称（盖公章）： </w:t>
      </w:r>
      <w:r>
        <w:rPr>
          <w:rFonts w:hint="eastAsia" w:ascii="仿宋_GB2312" w:hAnsi="仿宋_GB2312" w:eastAsia="仿宋_GB2312" w:cs="仿宋_GB2312"/>
          <w:snapToGrid w:val="0"/>
          <w:color w:val="000000"/>
          <w:kern w:val="0"/>
          <w:sz w:val="28"/>
          <w:szCs w:val="28"/>
          <w:u w:val="single"/>
          <w:lang w:val="en-US" w:eastAsia="zh-CN" w:bidi="ar-SA"/>
        </w:rPr>
        <w:t xml:space="preserve">                                      </w:t>
      </w:r>
    </w:p>
    <w:p w14:paraId="5F47F7D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供应商联系人姓名及联系电话：</w:t>
      </w:r>
      <w:r>
        <w:rPr>
          <w:rFonts w:hint="eastAsia" w:ascii="仿宋_GB2312" w:hAnsi="仿宋_GB2312" w:eastAsia="仿宋_GB2312" w:cs="仿宋_GB2312"/>
          <w:snapToGrid w:val="0"/>
          <w:color w:val="000000"/>
          <w:kern w:val="0"/>
          <w:sz w:val="28"/>
          <w:szCs w:val="28"/>
          <w:u w:val="single"/>
          <w:lang w:val="en-US" w:eastAsia="zh-CN" w:bidi="ar-SA"/>
        </w:rPr>
        <w:t xml:space="preserve">                                 </w:t>
      </w:r>
      <w:r>
        <w:rPr>
          <w:rFonts w:hint="eastAsia" w:ascii="仿宋_GB2312" w:hAnsi="仿宋_GB2312" w:eastAsia="仿宋_GB2312" w:cs="仿宋_GB2312"/>
          <w:snapToGrid w:val="0"/>
          <w:color w:val="000000"/>
          <w:kern w:val="0"/>
          <w:sz w:val="28"/>
          <w:szCs w:val="28"/>
          <w:lang w:val="en-US" w:eastAsia="zh-CN" w:bidi="ar-SA"/>
        </w:rPr>
        <w:t xml:space="preserve">                              </w:t>
      </w:r>
    </w:p>
    <w:p w14:paraId="0EC66699">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供应商地址：</w:t>
      </w:r>
      <w:r>
        <w:rPr>
          <w:rFonts w:hint="eastAsia" w:ascii="仿宋_GB2312" w:hAnsi="仿宋_GB2312" w:eastAsia="仿宋_GB2312" w:cs="仿宋_GB2312"/>
          <w:snapToGrid w:val="0"/>
          <w:color w:val="000000"/>
          <w:kern w:val="0"/>
          <w:sz w:val="28"/>
          <w:szCs w:val="28"/>
          <w:u w:val="single"/>
          <w:lang w:val="en-US" w:eastAsia="zh-CN" w:bidi="ar-SA"/>
        </w:rPr>
        <w:t xml:space="preserve">                                                 </w:t>
      </w:r>
      <w:r>
        <w:rPr>
          <w:rFonts w:hint="eastAsia" w:ascii="仿宋_GB2312" w:hAnsi="仿宋_GB2312" w:eastAsia="仿宋_GB2312" w:cs="仿宋_GB2312"/>
          <w:snapToGrid w:val="0"/>
          <w:color w:val="000000"/>
          <w:kern w:val="0"/>
          <w:sz w:val="28"/>
          <w:szCs w:val="28"/>
          <w:lang w:val="en-US" w:eastAsia="zh-CN" w:bidi="ar-SA"/>
        </w:rPr>
        <w:t xml:space="preserve">                                          </w:t>
      </w:r>
    </w:p>
    <w:p w14:paraId="3E368EBB">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法定代表人或其授权代表（签字或盖章）：</w:t>
      </w:r>
      <w:r>
        <w:rPr>
          <w:rFonts w:hint="eastAsia" w:ascii="仿宋_GB2312" w:hAnsi="仿宋_GB2312" w:eastAsia="仿宋_GB2312" w:cs="仿宋_GB2312"/>
          <w:snapToGrid w:val="0"/>
          <w:color w:val="000000"/>
          <w:kern w:val="0"/>
          <w:sz w:val="28"/>
          <w:szCs w:val="28"/>
          <w:u w:val="single"/>
          <w:lang w:val="en-US" w:eastAsia="zh-CN" w:bidi="ar-SA"/>
        </w:rPr>
        <w:t xml:space="preserve">                       </w:t>
      </w:r>
      <w:r>
        <w:rPr>
          <w:rFonts w:hint="eastAsia" w:ascii="仿宋_GB2312" w:hAnsi="仿宋_GB2312" w:eastAsia="仿宋_GB2312" w:cs="仿宋_GB2312"/>
          <w:snapToGrid w:val="0"/>
          <w:color w:val="000000"/>
          <w:kern w:val="0"/>
          <w:sz w:val="28"/>
          <w:szCs w:val="28"/>
          <w:lang w:val="en-US" w:eastAsia="zh-CN" w:bidi="ar-SA"/>
        </w:rPr>
        <w:t xml:space="preserve">                     </w:t>
      </w:r>
    </w:p>
    <w:p w14:paraId="6E20B9CD">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_GB2312" w:hAnsi="仿宋_GB2312" w:eastAsia="仿宋_GB2312" w:cs="仿宋_GB2312"/>
          <w:snapToGrid w:val="0"/>
          <w:color w:val="000000"/>
          <w:kern w:val="0"/>
          <w:sz w:val="28"/>
          <w:szCs w:val="28"/>
          <w:lang w:val="en-US" w:eastAsia="zh-CN" w:bidi="ar-SA"/>
        </w:rPr>
      </w:pPr>
      <w:r>
        <w:rPr>
          <w:rFonts w:hint="eastAsia" w:ascii="仿宋_GB2312" w:hAnsi="仿宋_GB2312" w:eastAsia="仿宋_GB2312" w:cs="仿宋_GB2312"/>
          <w:snapToGrid w:val="0"/>
          <w:color w:val="000000"/>
          <w:kern w:val="0"/>
          <w:sz w:val="28"/>
          <w:szCs w:val="28"/>
          <w:lang w:val="en-US" w:eastAsia="zh-CN" w:bidi="ar-SA"/>
        </w:rPr>
        <w:t>报价日期：</w:t>
      </w:r>
      <w:r>
        <w:rPr>
          <w:rFonts w:hint="eastAsia" w:ascii="仿宋_GB2312" w:hAnsi="仿宋_GB2312" w:eastAsia="仿宋_GB2312" w:cs="仿宋_GB2312"/>
          <w:snapToGrid w:val="0"/>
          <w:color w:val="000000"/>
          <w:kern w:val="0"/>
          <w:sz w:val="28"/>
          <w:szCs w:val="28"/>
          <w:u w:val="single"/>
          <w:lang w:val="en-US" w:eastAsia="zh-CN" w:bidi="ar-SA"/>
        </w:rPr>
        <w:t xml:space="preserve">    </w:t>
      </w:r>
      <w:r>
        <w:rPr>
          <w:rFonts w:hint="eastAsia" w:ascii="仿宋_GB2312" w:hAnsi="仿宋_GB2312" w:eastAsia="仿宋_GB2312" w:cs="仿宋_GB2312"/>
          <w:snapToGrid w:val="0"/>
          <w:color w:val="000000"/>
          <w:kern w:val="0"/>
          <w:sz w:val="28"/>
          <w:szCs w:val="28"/>
          <w:u w:val="none"/>
          <w:lang w:val="en-US" w:eastAsia="zh-CN" w:bidi="ar-SA"/>
        </w:rPr>
        <w:t>年</w:t>
      </w:r>
      <w:r>
        <w:rPr>
          <w:rFonts w:hint="eastAsia" w:ascii="仿宋_GB2312" w:hAnsi="仿宋_GB2312" w:eastAsia="仿宋_GB2312" w:cs="仿宋_GB2312"/>
          <w:snapToGrid w:val="0"/>
          <w:color w:val="000000"/>
          <w:kern w:val="0"/>
          <w:sz w:val="28"/>
          <w:szCs w:val="28"/>
          <w:u w:val="single"/>
          <w:lang w:val="en-US" w:eastAsia="zh-CN" w:bidi="ar-SA"/>
        </w:rPr>
        <w:t xml:space="preserve">   </w:t>
      </w:r>
      <w:r>
        <w:rPr>
          <w:rFonts w:hint="eastAsia" w:ascii="仿宋_GB2312" w:hAnsi="仿宋_GB2312" w:eastAsia="仿宋_GB2312" w:cs="仿宋_GB2312"/>
          <w:snapToGrid w:val="0"/>
          <w:color w:val="000000"/>
          <w:kern w:val="0"/>
          <w:sz w:val="28"/>
          <w:szCs w:val="28"/>
          <w:u w:val="none"/>
          <w:lang w:val="en-US" w:eastAsia="zh-CN" w:bidi="ar-SA"/>
        </w:rPr>
        <w:t xml:space="preserve"> 月 </w:t>
      </w:r>
      <w:r>
        <w:rPr>
          <w:rFonts w:hint="eastAsia" w:ascii="仿宋_GB2312" w:hAnsi="仿宋_GB2312" w:eastAsia="仿宋_GB2312" w:cs="仿宋_GB2312"/>
          <w:snapToGrid w:val="0"/>
          <w:color w:val="000000"/>
          <w:kern w:val="0"/>
          <w:sz w:val="28"/>
          <w:szCs w:val="28"/>
          <w:u w:val="single"/>
          <w:lang w:val="en-US" w:eastAsia="zh-CN" w:bidi="ar-SA"/>
        </w:rPr>
        <w:t xml:space="preserve">   </w:t>
      </w:r>
      <w:r>
        <w:rPr>
          <w:rFonts w:hint="eastAsia" w:ascii="仿宋_GB2312" w:hAnsi="仿宋_GB2312" w:eastAsia="仿宋_GB2312" w:cs="仿宋_GB2312"/>
          <w:snapToGrid w:val="0"/>
          <w:color w:val="000000"/>
          <w:kern w:val="0"/>
          <w:sz w:val="28"/>
          <w:szCs w:val="28"/>
          <w:u w:val="none"/>
          <w:lang w:val="en-US" w:eastAsia="zh-CN" w:bidi="ar-SA"/>
        </w:rPr>
        <w:t>日</w:t>
      </w:r>
      <w:r>
        <w:rPr>
          <w:rFonts w:hint="eastAsia" w:ascii="仿宋_GB2312" w:hAnsi="仿宋_GB2312" w:eastAsia="仿宋_GB2312" w:cs="仿宋_GB2312"/>
          <w:snapToGrid w:val="0"/>
          <w:color w:val="000000"/>
          <w:kern w:val="0"/>
          <w:sz w:val="28"/>
          <w:szCs w:val="28"/>
          <w:lang w:val="en-US" w:eastAsia="zh-CN" w:bidi="ar-SA"/>
        </w:rPr>
        <w:t xml:space="preserve">                                                     </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30"/>
        <w:gridCol w:w="2450"/>
        <w:gridCol w:w="2010"/>
      </w:tblGrid>
      <w:tr w14:paraId="7CD89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90" w:type="dxa"/>
            <w:gridSpan w:val="3"/>
          </w:tcPr>
          <w:p w14:paraId="5AFD14E7">
            <w:pPr>
              <w:pStyle w:val="2"/>
              <w:keepNext w:val="0"/>
              <w:keepLines w:val="0"/>
              <w:pageBreakBefore w:val="0"/>
              <w:widowControl w:val="0"/>
              <w:wordWrap/>
              <w:overflowPunct/>
              <w:topLinePunct w:val="0"/>
              <w:bidi w:val="0"/>
              <w:spacing w:line="560" w:lineRule="exact"/>
              <w:ind w:right="0"/>
              <w:jc w:val="center"/>
              <w:rPr>
                <w:rFonts w:hint="default" w:ascii="仿宋_GB2312" w:hAnsi="仿宋_GB2312" w:eastAsia="仿宋_GB2312" w:cs="仿宋_GB2312"/>
                <w:snapToGrid w:val="0"/>
                <w:color w:val="000000"/>
                <w:kern w:val="0"/>
                <w:sz w:val="28"/>
                <w:szCs w:val="28"/>
                <w:vertAlign w:val="baseline"/>
                <w:lang w:val="en-US" w:eastAsia="zh-CN" w:bidi="ar-SA"/>
              </w:rPr>
            </w:pPr>
            <w:r>
              <w:rPr>
                <w:rFonts w:hint="eastAsia" w:ascii="仿宋_GB2312" w:hAnsi="仿宋_GB2312" w:eastAsia="仿宋_GB2312" w:cs="仿宋_GB2312"/>
                <w:sz w:val="32"/>
                <w:szCs w:val="32"/>
                <w:lang w:val="en-US" w:eastAsia="zh-CN"/>
              </w:rPr>
              <w:t>吐鲁番市中等职业技术学校后勤水、电、暖等维修服务采购项目</w:t>
            </w:r>
          </w:p>
        </w:tc>
      </w:tr>
      <w:tr w14:paraId="721B7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0" w:type="dxa"/>
          </w:tcPr>
          <w:p w14:paraId="02D6C305">
            <w:pPr>
              <w:pStyle w:val="2"/>
              <w:keepNext w:val="0"/>
              <w:keepLines w:val="0"/>
              <w:pageBreakBefore w:val="0"/>
              <w:widowControl w:val="0"/>
              <w:wordWrap/>
              <w:overflowPunct/>
              <w:topLinePunct w:val="0"/>
              <w:bidi w:val="0"/>
              <w:spacing w:line="560" w:lineRule="exact"/>
              <w:ind w:right="0"/>
              <w:rPr>
                <w:rFonts w:hint="default" w:ascii="仿宋_GB2312" w:hAnsi="仿宋_GB2312" w:eastAsia="仿宋_GB2312" w:cs="仿宋_GB2312"/>
                <w:snapToGrid w:val="0"/>
                <w:color w:val="000000"/>
                <w:kern w:val="0"/>
                <w:sz w:val="28"/>
                <w:szCs w:val="28"/>
                <w:vertAlign w:val="baseline"/>
                <w:lang w:val="en-US" w:eastAsia="zh-CN" w:bidi="ar-SA"/>
              </w:rPr>
            </w:pPr>
            <w:r>
              <w:rPr>
                <w:rFonts w:hint="eastAsia" w:ascii="仿宋_GB2312" w:hAnsi="仿宋_GB2312" w:eastAsia="仿宋_GB2312" w:cs="仿宋_GB2312"/>
                <w:snapToGrid w:val="0"/>
                <w:color w:val="000000"/>
                <w:kern w:val="0"/>
                <w:sz w:val="28"/>
                <w:szCs w:val="28"/>
                <w:vertAlign w:val="baseline"/>
                <w:lang w:val="en-US" w:eastAsia="zh-CN" w:bidi="ar-SA"/>
              </w:rPr>
              <w:t>服务内容</w:t>
            </w:r>
          </w:p>
        </w:tc>
        <w:tc>
          <w:tcPr>
            <w:tcW w:w="2450" w:type="dxa"/>
          </w:tcPr>
          <w:p w14:paraId="31DB29B3">
            <w:pPr>
              <w:pStyle w:val="2"/>
              <w:keepNext w:val="0"/>
              <w:keepLines w:val="0"/>
              <w:pageBreakBefore w:val="0"/>
              <w:widowControl w:val="0"/>
              <w:wordWrap/>
              <w:overflowPunct/>
              <w:topLinePunct w:val="0"/>
              <w:bidi w:val="0"/>
              <w:spacing w:line="560" w:lineRule="exact"/>
              <w:ind w:right="0"/>
              <w:rPr>
                <w:rFonts w:hint="default" w:ascii="仿宋_GB2312" w:hAnsi="仿宋_GB2312" w:eastAsia="仿宋_GB2312" w:cs="仿宋_GB2312"/>
                <w:snapToGrid w:val="0"/>
                <w:color w:val="000000"/>
                <w:kern w:val="0"/>
                <w:sz w:val="28"/>
                <w:szCs w:val="28"/>
                <w:vertAlign w:val="baseline"/>
                <w:lang w:val="en-US" w:eastAsia="zh-CN" w:bidi="ar-SA"/>
              </w:rPr>
            </w:pPr>
            <w:r>
              <w:rPr>
                <w:rFonts w:hint="eastAsia" w:ascii="仿宋_GB2312" w:hAnsi="仿宋_GB2312" w:eastAsia="仿宋_GB2312" w:cs="仿宋_GB2312"/>
                <w:snapToGrid w:val="0"/>
                <w:color w:val="000000"/>
                <w:kern w:val="0"/>
                <w:sz w:val="28"/>
                <w:szCs w:val="28"/>
                <w:vertAlign w:val="baseline"/>
                <w:lang w:val="en-US" w:eastAsia="zh-CN" w:bidi="ar-SA"/>
              </w:rPr>
              <w:t>预算金额</w:t>
            </w:r>
          </w:p>
        </w:tc>
        <w:tc>
          <w:tcPr>
            <w:tcW w:w="2010" w:type="dxa"/>
          </w:tcPr>
          <w:p w14:paraId="0E205FDC">
            <w:pPr>
              <w:pStyle w:val="2"/>
              <w:keepNext w:val="0"/>
              <w:keepLines w:val="0"/>
              <w:pageBreakBefore w:val="0"/>
              <w:widowControl w:val="0"/>
              <w:wordWrap/>
              <w:overflowPunct/>
              <w:topLinePunct w:val="0"/>
              <w:bidi w:val="0"/>
              <w:spacing w:line="560" w:lineRule="exact"/>
              <w:ind w:right="0"/>
              <w:rPr>
                <w:rFonts w:hint="default" w:ascii="仿宋_GB2312" w:hAnsi="仿宋_GB2312" w:eastAsia="仿宋_GB2312" w:cs="仿宋_GB2312"/>
                <w:snapToGrid w:val="0"/>
                <w:color w:val="000000"/>
                <w:kern w:val="0"/>
                <w:sz w:val="28"/>
                <w:szCs w:val="28"/>
                <w:vertAlign w:val="baseline"/>
                <w:lang w:val="en-US" w:eastAsia="zh-CN" w:bidi="ar-SA"/>
              </w:rPr>
            </w:pPr>
            <w:r>
              <w:rPr>
                <w:rFonts w:hint="eastAsia" w:ascii="仿宋_GB2312" w:hAnsi="仿宋_GB2312" w:eastAsia="仿宋_GB2312" w:cs="仿宋_GB2312"/>
                <w:snapToGrid w:val="0"/>
                <w:color w:val="000000"/>
                <w:kern w:val="0"/>
                <w:sz w:val="28"/>
                <w:szCs w:val="28"/>
                <w:vertAlign w:val="baseline"/>
                <w:lang w:val="en-US" w:eastAsia="zh-CN" w:bidi="ar-SA"/>
              </w:rPr>
              <w:t>报价</w:t>
            </w:r>
          </w:p>
        </w:tc>
      </w:tr>
      <w:tr w14:paraId="1D39B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0" w:type="dxa"/>
          </w:tcPr>
          <w:p w14:paraId="192E2D25">
            <w:pPr>
              <w:widowControl w:val="0"/>
              <w:rPr>
                <w:rFonts w:hint="eastAsia"/>
                <w:lang w:val="en-US" w:eastAsia="zh-CN"/>
              </w:rPr>
            </w:pPr>
            <w:r>
              <w:rPr>
                <w:rFonts w:hint="eastAsia"/>
                <w:lang w:val="en-US" w:eastAsia="zh-CN"/>
              </w:rPr>
              <w:t>1.学校各栋楼室内外电路、电器维修、养护及更换和管理，包括各栋楼灯、插板、电风扇、冷风机、电路如出现断路或不亮现象及时维修更换配件。8 个变压器（含配电室高低压配件）、从变压器到各栋楼的供电电缆、路灯、射灯、楼顶彩灯，配电系统出现断路或不亮现象及时维修更换配件及恢复。中央空调、空调出现不制冷、不制热时及时维修更换配件（含加冷媒或氟利昂）并正常运行（不含更换整机）、冷风机出现不制冷时及时维修更换配件并正常运行、各种热水器、开水器等出现不烧水及时维修更换配件；</w:t>
            </w:r>
          </w:p>
          <w:p w14:paraId="5CE83BD9">
            <w:pPr>
              <w:widowControl w:val="0"/>
              <w:rPr>
                <w:rFonts w:hint="eastAsia"/>
                <w:lang w:val="en-US" w:eastAsia="zh-CN"/>
              </w:rPr>
            </w:pPr>
            <w:r>
              <w:rPr>
                <w:rFonts w:hint="eastAsia"/>
                <w:lang w:val="en-US" w:eastAsia="zh-CN"/>
              </w:rPr>
              <w:t>2.学校室内外暖气管道维修、养护和管理，包括锅炉房的加压供水设备、配电系统，各栋楼的暖气（暖气片、地暖、风机盘管等漏水点）维修维护；</w:t>
            </w:r>
          </w:p>
          <w:p w14:paraId="7A32CAB4">
            <w:pPr>
              <w:widowControl w:val="0"/>
              <w:rPr>
                <w:rFonts w:hint="eastAsia"/>
                <w:lang w:val="en-US" w:eastAsia="zh-CN"/>
              </w:rPr>
            </w:pPr>
            <w:r>
              <w:rPr>
                <w:rFonts w:hint="eastAsia"/>
                <w:lang w:val="en-US" w:eastAsia="zh-CN"/>
              </w:rPr>
              <w:t>3.室内外所有供水系统维修、养护和管理。水从总水表到各分部的供水系统，包括供水管道、阀门、供水井、井盖损坏时及时维修更换配件；</w:t>
            </w:r>
          </w:p>
          <w:p w14:paraId="3D338AAF">
            <w:pPr>
              <w:widowControl w:val="0"/>
              <w:rPr>
                <w:rFonts w:hint="eastAsia"/>
                <w:lang w:val="en-US" w:eastAsia="zh-CN"/>
              </w:rPr>
            </w:pPr>
            <w:r>
              <w:rPr>
                <w:rFonts w:hint="eastAsia"/>
                <w:lang w:val="en-US" w:eastAsia="zh-CN"/>
              </w:rPr>
              <w:t>4.室内外下水（污水）管道维修、养护和管理，包括校园内外所有下水井堵塞及井盖子损坏时及时疏通维修更换配件；</w:t>
            </w:r>
          </w:p>
          <w:p w14:paraId="69EEB523">
            <w:pPr>
              <w:widowControl w:val="0"/>
              <w:rPr>
                <w:rFonts w:hint="eastAsia"/>
                <w:lang w:val="en-US" w:eastAsia="zh-CN"/>
              </w:rPr>
            </w:pPr>
            <w:r>
              <w:rPr>
                <w:rFonts w:hint="eastAsia"/>
                <w:lang w:val="en-US" w:eastAsia="zh-CN"/>
              </w:rPr>
              <w:t>5.门、门锁、窗、床、桌、椅、板凳、讲台、吊顶维修养护和管理，包括门、窗、消防栓玻璃、各种门锁把手、窗户栏维修、养护更换配件、供暖期前后各楼栋进户门帘子的挂取；</w:t>
            </w:r>
          </w:p>
          <w:p w14:paraId="4B771CBA">
            <w:pPr>
              <w:widowControl w:val="0"/>
              <w:rPr>
                <w:rFonts w:hint="eastAsia"/>
                <w:lang w:val="en-US" w:eastAsia="zh-CN"/>
              </w:rPr>
            </w:pPr>
            <w:r>
              <w:rPr>
                <w:rFonts w:hint="eastAsia"/>
                <w:lang w:val="en-US" w:eastAsia="zh-CN"/>
              </w:rPr>
              <w:t>6.校园四周围栏、楼梯扶手维修、养护和管理。包括7个大门的维修更换配件；</w:t>
            </w:r>
          </w:p>
          <w:p w14:paraId="7EDB6A6E">
            <w:pPr>
              <w:widowControl w:val="0"/>
              <w:rPr>
                <w:rFonts w:hint="eastAsia"/>
                <w:lang w:val="en-US" w:eastAsia="zh-CN"/>
              </w:rPr>
            </w:pPr>
            <w:r>
              <w:rPr>
                <w:rFonts w:hint="eastAsia"/>
                <w:lang w:val="en-US" w:eastAsia="zh-CN"/>
              </w:rPr>
              <w:t>7.锅炉房使用管理，包括3台燃气锅炉（一台10T、二台6T ）试水及其它附属设备（电路、泵、水处理设备等养护、维修更换配件和管理），供暖期间锅炉房按要求安排管理人员和专人24小时值班（不得从其他水、电、暖维修队伍中抽取），值班期间保持锅炉房内卫生及设备日常定期清扫保洁，做到按制定标准全天候、全方位保洁，保证按要求正常供暖。</w:t>
            </w:r>
          </w:p>
          <w:p w14:paraId="620349D9">
            <w:pPr>
              <w:widowControl w:val="0"/>
              <w:rPr>
                <w:rFonts w:hint="default" w:ascii="仿宋_GB2312" w:hAnsi="仿宋_GB2312" w:eastAsia="仿宋_GB2312" w:cs="仿宋_GB2312"/>
                <w:snapToGrid w:val="0"/>
                <w:color w:val="000000"/>
                <w:kern w:val="0"/>
                <w:sz w:val="28"/>
                <w:szCs w:val="28"/>
                <w:vertAlign w:val="baseline"/>
                <w:lang w:val="en-US" w:eastAsia="zh-CN" w:bidi="ar-SA"/>
              </w:rPr>
            </w:pPr>
            <w:r>
              <w:rPr>
                <w:rFonts w:hint="eastAsia"/>
                <w:lang w:val="en-US" w:eastAsia="zh-CN"/>
              </w:rPr>
              <w:t>8.甲方因临时性工作和特殊情况需要乙方配合时，乙方应服从甲方的安排，并保质保量完成任务。</w:t>
            </w:r>
          </w:p>
        </w:tc>
        <w:tc>
          <w:tcPr>
            <w:tcW w:w="2450" w:type="dxa"/>
            <w:vAlign w:val="center"/>
          </w:tcPr>
          <w:p w14:paraId="43BB158C">
            <w:pPr>
              <w:pStyle w:val="2"/>
              <w:keepNext w:val="0"/>
              <w:keepLines w:val="0"/>
              <w:pageBreakBefore w:val="0"/>
              <w:widowControl w:val="0"/>
              <w:wordWrap/>
              <w:overflowPunct/>
              <w:topLinePunct w:val="0"/>
              <w:bidi w:val="0"/>
              <w:spacing w:line="560" w:lineRule="exact"/>
              <w:ind w:right="0"/>
              <w:jc w:val="center"/>
              <w:rPr>
                <w:rFonts w:hint="default" w:ascii="仿宋_GB2312" w:hAnsi="仿宋_GB2312" w:eastAsia="仿宋_GB2312" w:cs="仿宋_GB2312"/>
                <w:snapToGrid w:val="0"/>
                <w:color w:val="000000"/>
                <w:kern w:val="0"/>
                <w:sz w:val="28"/>
                <w:szCs w:val="28"/>
                <w:vertAlign w:val="baseline"/>
                <w:lang w:val="en-US" w:eastAsia="zh-CN" w:bidi="ar-SA"/>
              </w:rPr>
            </w:pPr>
            <w:r>
              <w:rPr>
                <w:rFonts w:hint="eastAsia" w:ascii="仿宋_GB2312" w:hAnsi="仿宋_GB2312" w:eastAsia="仿宋_GB2312" w:cs="仿宋_GB2312"/>
                <w:snapToGrid w:val="0"/>
                <w:color w:val="000000"/>
                <w:kern w:val="0"/>
                <w:sz w:val="28"/>
                <w:szCs w:val="28"/>
                <w:vertAlign w:val="baseline"/>
                <w:lang w:val="en-US" w:eastAsia="zh-CN" w:bidi="ar-SA"/>
              </w:rPr>
              <w:t>80万元</w:t>
            </w:r>
          </w:p>
        </w:tc>
        <w:tc>
          <w:tcPr>
            <w:tcW w:w="2010" w:type="dxa"/>
          </w:tcPr>
          <w:p w14:paraId="1F93EEFD">
            <w:pPr>
              <w:pStyle w:val="2"/>
              <w:keepNext w:val="0"/>
              <w:keepLines w:val="0"/>
              <w:pageBreakBefore w:val="0"/>
              <w:widowControl w:val="0"/>
              <w:wordWrap/>
              <w:overflowPunct/>
              <w:topLinePunct w:val="0"/>
              <w:bidi w:val="0"/>
              <w:spacing w:line="560" w:lineRule="exact"/>
              <w:ind w:right="0"/>
              <w:rPr>
                <w:rFonts w:hint="default" w:ascii="仿宋_GB2312" w:hAnsi="仿宋_GB2312" w:eastAsia="仿宋_GB2312" w:cs="仿宋_GB2312"/>
                <w:snapToGrid w:val="0"/>
                <w:color w:val="000000"/>
                <w:kern w:val="0"/>
                <w:sz w:val="28"/>
                <w:szCs w:val="28"/>
                <w:vertAlign w:val="baseline"/>
                <w:lang w:val="en-US" w:eastAsia="zh-CN" w:bidi="ar-SA"/>
              </w:rPr>
            </w:pPr>
          </w:p>
        </w:tc>
      </w:tr>
    </w:tbl>
    <w:p w14:paraId="74180773">
      <w:pPr>
        <w:keepNext w:val="0"/>
        <w:keepLines w:val="0"/>
        <w:pageBreakBefore w:val="0"/>
        <w:wordWrap/>
        <w:overflowPunct/>
        <w:topLinePunct w:val="0"/>
        <w:bidi w:val="0"/>
        <w:spacing w:line="560" w:lineRule="exact"/>
        <w:ind w:left="0" w:right="0"/>
        <w:rPr>
          <w:rFonts w:ascii="仿宋" w:hAnsi="仿宋" w:eastAsia="仿宋" w:cs="仿宋"/>
          <w:sz w:val="28"/>
          <w:szCs w:val="28"/>
        </w:rPr>
        <w:sectPr>
          <w:pgSz w:w="16840" w:h="11907" w:orient="landscape"/>
          <w:pgMar w:top="1287" w:right="1297" w:bottom="1170" w:left="1262" w:header="1283" w:footer="993" w:gutter="0"/>
          <w:pgBorders>
            <w:top w:val="none" w:sz="0" w:space="0"/>
            <w:left w:val="none" w:sz="0" w:space="0"/>
            <w:bottom w:val="none" w:sz="0" w:space="0"/>
            <w:right w:val="none" w:sz="0" w:space="0"/>
          </w:pgBorders>
          <w:pgNumType w:fmt="decimal"/>
          <w:cols w:space="720" w:num="1"/>
        </w:sectPr>
      </w:pPr>
    </w:p>
    <w:p w14:paraId="11288CF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br w:type="page"/>
      </w:r>
      <w:r>
        <w:rPr>
          <w:rFonts w:hint="eastAsia" w:ascii="方正小标宋简体" w:hAnsi="方正小标宋简体" w:eastAsia="方正小标宋简体" w:cs="方正小标宋简体"/>
          <w:sz w:val="44"/>
          <w:szCs w:val="44"/>
          <w:lang w:eastAsia="zh-CN"/>
        </w:rPr>
        <w:t>现场</w:t>
      </w:r>
      <w:bookmarkStart w:id="0" w:name="_GoBack"/>
      <w:r>
        <w:rPr>
          <w:rFonts w:hint="eastAsia" w:ascii="方正小标宋简体" w:hAnsi="方正小标宋简体" w:eastAsia="方正小标宋简体" w:cs="方正小标宋简体"/>
          <w:sz w:val="44"/>
          <w:szCs w:val="44"/>
          <w:lang w:eastAsia="zh-CN"/>
        </w:rPr>
        <w:t>踏勘</w:t>
      </w:r>
      <w:bookmarkEnd w:id="0"/>
      <w:r>
        <w:rPr>
          <w:rFonts w:hint="eastAsia" w:ascii="方正小标宋简体" w:hAnsi="方正小标宋简体" w:eastAsia="方正小标宋简体" w:cs="方正小标宋简体"/>
          <w:sz w:val="44"/>
          <w:szCs w:val="44"/>
          <w:lang w:eastAsia="zh-CN"/>
        </w:rPr>
        <w:t>证明</w:t>
      </w:r>
    </w:p>
    <w:p w14:paraId="76F6F50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p>
    <w:p w14:paraId="62B3283B">
      <w:pPr>
        <w:keepNext w:val="0"/>
        <w:keepLines w:val="0"/>
        <w:pageBreakBefore w:val="0"/>
        <w:widowControl w:val="0"/>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eastAsia="zh-CN"/>
        </w:rPr>
      </w:pPr>
      <w:r>
        <w:rPr>
          <w:rFonts w:hint="eastAsia" w:ascii="仿宋_GB2312" w:hAnsi="仿宋_GB2312" w:eastAsia="仿宋_GB2312" w:cs="仿宋_GB2312"/>
          <w:sz w:val="32"/>
          <w:szCs w:val="32"/>
          <w:lang w:eastAsia="zh-CN"/>
        </w:rPr>
        <w:t>　根据竞价要求，各竞价人对</w:t>
      </w:r>
      <w:r>
        <w:rPr>
          <w:rFonts w:hint="eastAsia" w:ascii="仿宋_GB2312" w:hAnsi="仿宋_GB2312" w:eastAsia="仿宋_GB2312" w:cs="仿宋_GB2312"/>
          <w:sz w:val="32"/>
          <w:szCs w:val="32"/>
          <w:u w:val="single"/>
          <w:lang w:val="en-US" w:eastAsia="zh-CN"/>
        </w:rPr>
        <w:t xml:space="preserve">   （项目）       </w:t>
      </w:r>
      <w:r>
        <w:rPr>
          <w:rFonts w:hint="eastAsia" w:ascii="仿宋_GB2312" w:hAnsi="仿宋_GB2312" w:eastAsia="仿宋_GB2312" w:cs="仿宋_GB2312"/>
          <w:sz w:val="32"/>
          <w:szCs w:val="32"/>
          <w:lang w:eastAsia="zh-CN"/>
        </w:rPr>
        <w:t>，现有竞价</w:t>
      </w:r>
      <w:r>
        <w:rPr>
          <w:rFonts w:hint="eastAsia" w:ascii="仿宋_GB2312" w:hAnsi="仿宋_GB2312" w:eastAsia="仿宋_GB2312" w:cs="仿宋_GB2312"/>
          <w:sz w:val="32"/>
          <w:szCs w:val="32"/>
          <w:lang w:val="en-US" w:eastAsia="zh-CN"/>
        </w:rPr>
        <w:t>单位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u w:val="single"/>
          <w:lang w:eastAsia="zh-CN"/>
        </w:rPr>
        <w:t>　　　　　　　　　　　　</w:t>
      </w:r>
      <w:r>
        <w:rPr>
          <w:rFonts w:hint="eastAsia" w:ascii="仿宋_GB2312" w:hAnsi="仿宋_GB2312" w:eastAsia="仿宋_GB2312" w:cs="仿宋_GB2312"/>
          <w:sz w:val="32"/>
          <w:szCs w:val="32"/>
          <w:u w:val="none"/>
          <w:lang w:eastAsia="zh-CN"/>
        </w:rPr>
        <w:t>已进行实地踏勘，获得竞价所需要的相关资料。</w:t>
      </w:r>
    </w:p>
    <w:p w14:paraId="454E8CC3">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eastAsia="zh-CN"/>
        </w:rPr>
      </w:pPr>
      <w:r>
        <w:rPr>
          <w:rFonts w:hint="eastAsia" w:ascii="仿宋_GB2312" w:hAnsi="仿宋_GB2312" w:eastAsia="仿宋_GB2312" w:cs="仿宋_GB2312"/>
          <w:sz w:val="32"/>
          <w:szCs w:val="32"/>
          <w:u w:val="none"/>
          <w:lang w:eastAsia="zh-CN"/>
        </w:rPr>
        <w:t>经现场踏勘，该竞价单位对该项目现场现状已充分了解。</w:t>
      </w:r>
    </w:p>
    <w:p w14:paraId="6CAB347E">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eastAsia="zh-CN"/>
        </w:rPr>
      </w:pPr>
      <w:r>
        <w:rPr>
          <w:rFonts w:hint="eastAsia" w:ascii="仿宋_GB2312" w:hAnsi="仿宋_GB2312" w:eastAsia="仿宋_GB2312" w:cs="仿宋_GB2312"/>
          <w:sz w:val="32"/>
          <w:szCs w:val="32"/>
          <w:u w:val="none"/>
          <w:lang w:eastAsia="zh-CN"/>
        </w:rPr>
        <w:t>该竞价单位若中标，不对场地现状提出异议，不以场地存在瑕疵为由拒绝签署项目合同书或履行约定的各项义务。</w:t>
      </w:r>
    </w:p>
    <w:p w14:paraId="15664F7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default"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eastAsia="zh-CN"/>
        </w:rPr>
        <w:t>特此证明。</w:t>
      </w:r>
    </w:p>
    <w:p w14:paraId="3A46127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eastAsia="zh-CN"/>
        </w:rPr>
      </w:pPr>
    </w:p>
    <w:p w14:paraId="299E31B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eastAsia="zh-CN"/>
        </w:rPr>
      </w:pPr>
    </w:p>
    <w:p w14:paraId="2B83B7C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eastAsia="zh-CN"/>
        </w:rPr>
      </w:pPr>
      <w:r>
        <w:rPr>
          <w:rFonts w:hint="eastAsia" w:ascii="仿宋_GB2312" w:hAnsi="仿宋_GB2312" w:eastAsia="仿宋_GB2312" w:cs="仿宋_GB2312"/>
          <w:sz w:val="32"/>
          <w:szCs w:val="32"/>
          <w:u w:val="none"/>
          <w:lang w:eastAsia="zh-CN"/>
        </w:rPr>
        <w:t>　　　　　　　　　采购单位：</w:t>
      </w:r>
      <w:r>
        <w:rPr>
          <w:rFonts w:hint="eastAsia" w:ascii="仿宋_GB2312" w:hAnsi="仿宋_GB2312" w:eastAsia="仿宋_GB2312" w:cs="仿宋_GB2312"/>
          <w:sz w:val="32"/>
          <w:szCs w:val="32"/>
          <w:u w:val="none"/>
          <w:lang w:val="en-US" w:eastAsia="zh-CN"/>
        </w:rPr>
        <w:t>吐鲁番市中等职业技术</w:t>
      </w:r>
      <w:r>
        <w:rPr>
          <w:rFonts w:hint="eastAsia" w:ascii="仿宋_GB2312" w:hAnsi="仿宋_GB2312" w:eastAsia="仿宋_GB2312" w:cs="仿宋_GB2312"/>
          <w:sz w:val="32"/>
          <w:szCs w:val="32"/>
          <w:u w:val="none"/>
          <w:lang w:eastAsia="zh-CN"/>
        </w:rPr>
        <w:t>学校</w:t>
      </w:r>
    </w:p>
    <w:p w14:paraId="5990C0A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sz w:val="32"/>
          <w:szCs w:val="32"/>
          <w:u w:val="none"/>
          <w:lang w:eastAsia="zh-CN"/>
        </w:rPr>
        <w:t>　　　　　　　　　　　　　　　　</w:t>
      </w:r>
      <w:r>
        <w:rPr>
          <w:rFonts w:hint="eastAsia" w:ascii="仿宋_GB2312" w:hAnsi="仿宋_GB2312" w:eastAsia="仿宋_GB2312" w:cs="仿宋_GB2312"/>
          <w:color w:val="auto"/>
          <w:sz w:val="32"/>
          <w:szCs w:val="32"/>
          <w:u w:val="none"/>
          <w:lang w:eastAsia="zh-CN"/>
        </w:rPr>
        <w:t>　</w:t>
      </w:r>
      <w:r>
        <w:rPr>
          <w:rFonts w:hint="eastAsia" w:ascii="仿宋_GB2312" w:hAnsi="仿宋_GB2312" w:eastAsia="仿宋_GB2312" w:cs="仿宋_GB2312"/>
          <w:color w:val="auto"/>
          <w:sz w:val="32"/>
          <w:szCs w:val="32"/>
          <w:u w:val="none"/>
          <w:lang w:val="en-US" w:eastAsia="zh-CN"/>
        </w:rPr>
        <w:t>2024年8月2日</w:t>
      </w:r>
    </w:p>
    <w:p w14:paraId="4337488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val="en-US" w:eastAsia="zh-CN"/>
        </w:rPr>
      </w:pPr>
    </w:p>
    <w:p w14:paraId="7024F63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val="en-US" w:eastAsia="zh-CN"/>
        </w:rPr>
      </w:pPr>
    </w:p>
    <w:p w14:paraId="52BE271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采购方经办人签字：</w:t>
      </w:r>
    </w:p>
    <w:p w14:paraId="1EF65A8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val="en-US" w:eastAsia="zh-CN"/>
        </w:rPr>
      </w:pPr>
    </w:p>
    <w:p w14:paraId="2D902CF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val="en-US" w:eastAsia="zh-CN"/>
        </w:rPr>
      </w:pPr>
    </w:p>
    <w:p w14:paraId="5A22F62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供应商法人或被委托人签字：</w:t>
      </w:r>
    </w:p>
    <w:p w14:paraId="25E0A31F">
      <w:pPr>
        <w:rPr>
          <w:rFonts w:hint="eastAsia" w:ascii="仿宋_GB2312" w:hAnsi="仿宋_GB2312" w:eastAsia="仿宋_GB2312" w:cs="仿宋_GB2312"/>
          <w:sz w:val="32"/>
          <w:szCs w:val="32"/>
          <w:lang w:val="en-US" w:eastAsia="zh-CN"/>
        </w:rPr>
        <w:sectPr>
          <w:headerReference r:id="rId11" w:type="default"/>
          <w:footerReference r:id="rId12" w:type="default"/>
          <w:pgSz w:w="11907" w:h="16840"/>
          <w:pgMar w:top="1297" w:right="1170" w:bottom="1262" w:left="1287" w:header="1283" w:footer="993" w:gutter="0"/>
          <w:pgBorders>
            <w:top w:val="none" w:sz="0" w:space="0"/>
            <w:left w:val="none" w:sz="0" w:space="0"/>
            <w:bottom w:val="none" w:sz="0" w:space="0"/>
            <w:right w:val="none" w:sz="0" w:space="0"/>
          </w:pgBorders>
          <w:pgNumType w:fmt="decimal"/>
          <w:cols w:space="720" w:num="1"/>
        </w:sectPr>
      </w:pPr>
    </w:p>
    <w:p w14:paraId="4BD48326">
      <w:pPr>
        <w:jc w:val="center"/>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供应商需要上传的响应附件清单</w:t>
      </w:r>
    </w:p>
    <w:p w14:paraId="698BAE36">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1、</w:t>
      </w:r>
      <w:r>
        <w:rPr>
          <w:rFonts w:hint="eastAsia" w:ascii="仿宋_GB2312" w:hAnsi="仿宋_GB2312" w:eastAsia="仿宋_GB2312" w:cs="仿宋_GB2312"/>
          <w:b w:val="0"/>
          <w:bCs/>
          <w:snapToGrid w:val="0"/>
          <w:color w:val="000000"/>
          <w:kern w:val="0"/>
          <w:sz w:val="32"/>
          <w:szCs w:val="32"/>
          <w:lang w:val="en-US" w:eastAsia="en-US" w:bidi="ar-SA"/>
        </w:rPr>
        <w:t>企业营业执照。</w:t>
      </w:r>
    </w:p>
    <w:p w14:paraId="7336D2BF">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2、</w:t>
      </w:r>
      <w:r>
        <w:rPr>
          <w:rFonts w:hint="eastAsia" w:ascii="仿宋_GB2312" w:hAnsi="仿宋_GB2312" w:eastAsia="仿宋_GB2312" w:cs="仿宋_GB2312"/>
          <w:b w:val="0"/>
          <w:bCs/>
          <w:snapToGrid w:val="0"/>
          <w:color w:val="000000"/>
          <w:kern w:val="0"/>
          <w:sz w:val="32"/>
          <w:szCs w:val="32"/>
          <w:lang w:val="en-US" w:eastAsia="en-US" w:bidi="ar-SA"/>
        </w:rPr>
        <w:t>投标代表的法人授权书，法人授权委托书应由法定代表人签名并加盖公章，私章无效。</w:t>
      </w:r>
    </w:p>
    <w:p w14:paraId="697347B3">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3、</w:t>
      </w:r>
      <w:r>
        <w:rPr>
          <w:rFonts w:hint="eastAsia" w:ascii="仿宋_GB2312" w:hAnsi="仿宋_GB2312" w:eastAsia="仿宋_GB2312" w:cs="仿宋_GB2312"/>
          <w:b w:val="0"/>
          <w:bCs/>
          <w:snapToGrid w:val="0"/>
          <w:color w:val="000000"/>
          <w:kern w:val="0"/>
          <w:sz w:val="32"/>
          <w:szCs w:val="32"/>
          <w:lang w:val="en-US" w:eastAsia="en-US" w:bidi="ar-SA"/>
        </w:rPr>
        <w:t>被委托人社保缴纳凭证（需提供社保缴纳查询截图并加盖投标人公章）。</w:t>
      </w:r>
    </w:p>
    <w:p w14:paraId="2E0AD945">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4、</w:t>
      </w:r>
      <w:r>
        <w:rPr>
          <w:rFonts w:hint="eastAsia" w:ascii="仿宋_GB2312" w:hAnsi="仿宋_GB2312" w:eastAsia="仿宋_GB2312" w:cs="仿宋_GB2312"/>
          <w:b w:val="0"/>
          <w:bCs/>
          <w:snapToGrid w:val="0"/>
          <w:color w:val="000000"/>
          <w:kern w:val="0"/>
          <w:sz w:val="32"/>
          <w:szCs w:val="32"/>
          <w:lang w:val="en-US" w:eastAsia="en-US" w:bidi="ar-SA"/>
        </w:rPr>
        <w:t>信用资料（信用中国、中国政府采购网截图）</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0D158EC1">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5、</w:t>
      </w:r>
      <w:r>
        <w:rPr>
          <w:rFonts w:hint="eastAsia" w:ascii="仿宋_GB2312" w:hAnsi="仿宋_GB2312" w:eastAsia="仿宋_GB2312" w:cs="仿宋_GB2312"/>
          <w:b w:val="0"/>
          <w:bCs/>
          <w:snapToGrid w:val="0"/>
          <w:color w:val="000000"/>
          <w:kern w:val="0"/>
          <w:sz w:val="32"/>
          <w:szCs w:val="32"/>
          <w:lang w:val="en-US" w:eastAsia="en-US" w:bidi="ar-SA"/>
        </w:rPr>
        <w:t>参加政府采购活动近三年内在经营活动中没有重大违法记录的书面声明</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31FF9BF1">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6、</w:t>
      </w:r>
      <w:r>
        <w:rPr>
          <w:rFonts w:hint="eastAsia" w:ascii="仿宋_GB2312" w:hAnsi="仿宋_GB2312" w:eastAsia="仿宋_GB2312" w:cs="仿宋_GB2312"/>
          <w:b w:val="0"/>
          <w:bCs/>
          <w:snapToGrid w:val="0"/>
          <w:color w:val="000000"/>
          <w:kern w:val="0"/>
          <w:sz w:val="32"/>
          <w:szCs w:val="32"/>
          <w:highlight w:val="none"/>
          <w:lang w:val="en-US" w:eastAsia="en-US" w:bidi="ar-SA"/>
        </w:rPr>
        <w:t>人员配备</w:t>
      </w:r>
      <w:r>
        <w:rPr>
          <w:rFonts w:hint="eastAsia" w:ascii="仿宋_GB2312" w:hAnsi="仿宋_GB2312" w:eastAsia="仿宋_GB2312" w:cs="仿宋_GB2312"/>
          <w:b w:val="0"/>
          <w:bCs/>
          <w:snapToGrid w:val="0"/>
          <w:color w:val="000000"/>
          <w:kern w:val="0"/>
          <w:sz w:val="32"/>
          <w:szCs w:val="32"/>
          <w:highlight w:val="none"/>
          <w:lang w:val="en-US" w:eastAsia="zh-CN" w:bidi="ar-SA"/>
        </w:rPr>
        <w:t>情况说明。</w:t>
      </w:r>
      <w:r>
        <w:rPr>
          <w:rFonts w:hint="eastAsia" w:ascii="仿宋_GB2312" w:hAnsi="仿宋_GB2312" w:eastAsia="仿宋_GB2312" w:cs="仿宋_GB2312"/>
          <w:b w:val="0"/>
          <w:bCs/>
          <w:snapToGrid w:val="0"/>
          <w:color w:val="000000"/>
          <w:kern w:val="0"/>
          <w:sz w:val="32"/>
          <w:szCs w:val="32"/>
          <w:lang w:val="en-US" w:eastAsia="en-US" w:bidi="ar-SA"/>
        </w:rPr>
        <w:t>项目负责人</w:t>
      </w:r>
      <w:r>
        <w:rPr>
          <w:rFonts w:hint="eastAsia" w:ascii="仿宋_GB2312" w:hAnsi="仿宋_GB2312" w:eastAsia="仿宋_GB2312" w:cs="仿宋_GB2312"/>
          <w:b w:val="0"/>
          <w:bCs/>
          <w:snapToGrid w:val="0"/>
          <w:color w:val="000000"/>
          <w:kern w:val="0"/>
          <w:sz w:val="32"/>
          <w:szCs w:val="32"/>
          <w:lang w:val="en-US" w:eastAsia="zh-CN" w:bidi="ar-SA"/>
        </w:rPr>
        <w:t>应</w:t>
      </w:r>
      <w:r>
        <w:rPr>
          <w:rFonts w:hint="eastAsia" w:ascii="仿宋_GB2312" w:hAnsi="仿宋_GB2312" w:eastAsia="仿宋_GB2312" w:cs="仿宋_GB2312"/>
          <w:b w:val="0"/>
          <w:bCs/>
          <w:snapToGrid w:val="0"/>
          <w:color w:val="000000"/>
          <w:kern w:val="0"/>
          <w:sz w:val="32"/>
          <w:szCs w:val="32"/>
          <w:lang w:val="en-US" w:eastAsia="en-US" w:bidi="ar-SA"/>
        </w:rPr>
        <w:t>具备</w:t>
      </w:r>
      <w:r>
        <w:rPr>
          <w:rFonts w:hint="eastAsia" w:ascii="仿宋_GB2312" w:hAnsi="仿宋_GB2312" w:eastAsia="仿宋_GB2312" w:cs="仿宋_GB2312"/>
          <w:b w:val="0"/>
          <w:bCs/>
          <w:snapToGrid w:val="0"/>
          <w:color w:val="000000"/>
          <w:kern w:val="0"/>
          <w:sz w:val="32"/>
          <w:szCs w:val="32"/>
          <w:lang w:val="en-US" w:eastAsia="zh-CN" w:bidi="ar-SA"/>
        </w:rPr>
        <w:t>水、暖、电相关专业（给排水、电气）中级职称及以上，其他配备人员应具备管道工、电力维修工等相关专业证书，并在本单位有近2个月以上社保（身份证、相关证书、社保缴纳证明），盖公章</w:t>
      </w:r>
      <w:r>
        <w:rPr>
          <w:rFonts w:hint="eastAsia" w:ascii="仿宋_GB2312" w:hAnsi="仿宋_GB2312" w:eastAsia="仿宋_GB2312" w:cs="仿宋_GB2312"/>
          <w:b w:val="0"/>
          <w:bCs/>
          <w:snapToGrid w:val="0"/>
          <w:color w:val="000000"/>
          <w:kern w:val="0"/>
          <w:sz w:val="32"/>
          <w:szCs w:val="32"/>
          <w:lang w:val="en-US" w:eastAsia="en-US" w:bidi="ar-SA"/>
        </w:rPr>
        <w:t>。</w:t>
      </w:r>
    </w:p>
    <w:p w14:paraId="2EC7C154">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en-US" w:bidi="ar-SA"/>
        </w:rPr>
      </w:pPr>
      <w:r>
        <w:rPr>
          <w:rFonts w:hint="eastAsia" w:ascii="仿宋_GB2312" w:hAnsi="仿宋_GB2312" w:eastAsia="仿宋_GB2312" w:cs="仿宋_GB2312"/>
          <w:b w:val="0"/>
          <w:bCs/>
          <w:snapToGrid w:val="0"/>
          <w:color w:val="000000"/>
          <w:kern w:val="0"/>
          <w:sz w:val="32"/>
          <w:szCs w:val="32"/>
          <w:lang w:val="en-US" w:eastAsia="zh-CN" w:bidi="ar-SA"/>
        </w:rPr>
        <w:t>7、</w:t>
      </w:r>
      <w:r>
        <w:rPr>
          <w:rFonts w:hint="eastAsia" w:ascii="仿宋_GB2312" w:hAnsi="仿宋_GB2312" w:eastAsia="仿宋_GB2312" w:cs="仿宋_GB2312"/>
          <w:b w:val="0"/>
          <w:bCs/>
          <w:snapToGrid w:val="0"/>
          <w:color w:val="000000"/>
          <w:kern w:val="0"/>
          <w:sz w:val="32"/>
          <w:szCs w:val="32"/>
          <w:lang w:val="en-US" w:eastAsia="en-US" w:bidi="ar-SA"/>
        </w:rPr>
        <w:t>提供</w:t>
      </w:r>
      <w:r>
        <w:rPr>
          <w:rFonts w:hint="eastAsia" w:ascii="仿宋_GB2312" w:hAnsi="仿宋_GB2312" w:eastAsia="仿宋_GB2312" w:cs="仿宋_GB2312"/>
          <w:b w:val="0"/>
          <w:bCs/>
          <w:snapToGrid w:val="0"/>
          <w:color w:val="000000"/>
          <w:kern w:val="0"/>
          <w:sz w:val="32"/>
          <w:szCs w:val="32"/>
          <w:lang w:val="en-US" w:eastAsia="zh-CN" w:bidi="ar-SA"/>
        </w:rPr>
        <w:t>近三年（2021-</w:t>
      </w:r>
      <w:r>
        <w:rPr>
          <w:rFonts w:hint="eastAsia" w:ascii="仿宋_GB2312" w:hAnsi="仿宋_GB2312" w:eastAsia="仿宋_GB2312" w:cs="仿宋_GB2312"/>
          <w:b w:val="0"/>
          <w:bCs/>
          <w:snapToGrid w:val="0"/>
          <w:color w:val="000000"/>
          <w:kern w:val="0"/>
          <w:sz w:val="32"/>
          <w:szCs w:val="32"/>
          <w:lang w:val="en-US" w:eastAsia="en-US" w:bidi="ar-SA"/>
        </w:rPr>
        <w:t>202</w:t>
      </w:r>
      <w:r>
        <w:rPr>
          <w:rFonts w:hint="eastAsia" w:ascii="仿宋_GB2312" w:hAnsi="仿宋_GB2312" w:eastAsia="仿宋_GB2312" w:cs="仿宋_GB2312"/>
          <w:b w:val="0"/>
          <w:bCs/>
          <w:snapToGrid w:val="0"/>
          <w:color w:val="000000"/>
          <w:kern w:val="0"/>
          <w:sz w:val="32"/>
          <w:szCs w:val="32"/>
          <w:lang w:val="en-US" w:eastAsia="zh-CN" w:bidi="ar-SA"/>
        </w:rPr>
        <w:t>3</w:t>
      </w:r>
      <w:r>
        <w:rPr>
          <w:rFonts w:hint="eastAsia" w:ascii="仿宋_GB2312" w:hAnsi="仿宋_GB2312" w:eastAsia="仿宋_GB2312" w:cs="仿宋_GB2312"/>
          <w:b w:val="0"/>
          <w:bCs/>
          <w:snapToGrid w:val="0"/>
          <w:color w:val="000000"/>
          <w:kern w:val="0"/>
          <w:sz w:val="32"/>
          <w:szCs w:val="32"/>
          <w:lang w:val="en-US" w:eastAsia="en-US" w:bidi="ar-SA"/>
        </w:rPr>
        <w:t>年度</w:t>
      </w:r>
      <w:r>
        <w:rPr>
          <w:rFonts w:hint="eastAsia" w:ascii="仿宋_GB2312" w:hAnsi="仿宋_GB2312" w:eastAsia="仿宋_GB2312" w:cs="仿宋_GB2312"/>
          <w:b w:val="0"/>
          <w:bCs/>
          <w:snapToGrid w:val="0"/>
          <w:color w:val="000000"/>
          <w:kern w:val="0"/>
          <w:sz w:val="32"/>
          <w:szCs w:val="32"/>
          <w:lang w:val="en-US" w:eastAsia="zh-CN" w:bidi="ar-SA"/>
        </w:rPr>
        <w:t>）</w:t>
      </w:r>
      <w:r>
        <w:rPr>
          <w:rFonts w:hint="eastAsia" w:ascii="仿宋_GB2312" w:hAnsi="仿宋_GB2312" w:eastAsia="仿宋_GB2312" w:cs="仿宋_GB2312"/>
          <w:b w:val="0"/>
          <w:bCs/>
          <w:snapToGrid w:val="0"/>
          <w:color w:val="000000"/>
          <w:kern w:val="0"/>
          <w:sz w:val="32"/>
          <w:szCs w:val="32"/>
          <w:lang w:val="en-US" w:eastAsia="en-US" w:bidi="ar-SA"/>
        </w:rPr>
        <w:t>经审计的财务报告</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2B660EA8">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8、</w:t>
      </w:r>
      <w:r>
        <w:rPr>
          <w:rFonts w:hint="eastAsia" w:ascii="仿宋_GB2312" w:hAnsi="仿宋_GB2312" w:eastAsia="仿宋_GB2312" w:cs="仿宋_GB2312"/>
          <w:b w:val="0"/>
          <w:bCs/>
          <w:snapToGrid w:val="0"/>
          <w:color w:val="auto"/>
          <w:kern w:val="0"/>
          <w:sz w:val="32"/>
          <w:szCs w:val="32"/>
          <w:lang w:val="en-US" w:eastAsia="en-US" w:bidi="ar-SA"/>
        </w:rPr>
        <w:t>供应商认为有必要提供的声明及文件资料</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38D41FD0">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en-US" w:bidi="ar-SA"/>
        </w:rPr>
      </w:pPr>
      <w:r>
        <w:rPr>
          <w:rFonts w:hint="eastAsia" w:ascii="仿宋_GB2312" w:hAnsi="仿宋_GB2312" w:eastAsia="仿宋_GB2312" w:cs="仿宋_GB2312"/>
          <w:b w:val="0"/>
          <w:bCs/>
          <w:snapToGrid w:val="0"/>
          <w:color w:val="auto"/>
          <w:kern w:val="0"/>
          <w:sz w:val="32"/>
          <w:szCs w:val="32"/>
          <w:lang w:val="en-US" w:eastAsia="zh-CN" w:bidi="ar-SA"/>
        </w:rPr>
        <w:t>9、</w:t>
      </w:r>
      <w:r>
        <w:rPr>
          <w:rFonts w:hint="eastAsia" w:ascii="仿宋_GB2312" w:hAnsi="仿宋_GB2312" w:eastAsia="仿宋_GB2312" w:cs="仿宋_GB2312"/>
          <w:b w:val="0"/>
          <w:bCs/>
          <w:snapToGrid w:val="0"/>
          <w:color w:val="auto"/>
          <w:kern w:val="0"/>
          <w:sz w:val="32"/>
          <w:szCs w:val="32"/>
          <w:lang w:val="en-US" w:eastAsia="en-US" w:bidi="ar-SA"/>
        </w:rPr>
        <w:t>报价单</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000000"/>
          <w:kern w:val="0"/>
          <w:sz w:val="32"/>
          <w:szCs w:val="32"/>
          <w:lang w:val="en-US" w:eastAsia="en-US" w:bidi="ar-SA"/>
        </w:rPr>
        <w:t>。</w:t>
      </w:r>
    </w:p>
    <w:p w14:paraId="160E657E">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en-US" w:bidi="ar-SA"/>
        </w:rPr>
      </w:pPr>
      <w:r>
        <w:rPr>
          <w:rFonts w:hint="eastAsia" w:ascii="仿宋_GB2312" w:hAnsi="仿宋_GB2312" w:eastAsia="仿宋_GB2312" w:cs="仿宋_GB2312"/>
          <w:b w:val="0"/>
          <w:bCs/>
          <w:snapToGrid w:val="0"/>
          <w:color w:val="auto"/>
          <w:kern w:val="0"/>
          <w:sz w:val="32"/>
          <w:szCs w:val="32"/>
          <w:lang w:val="en-US" w:eastAsia="zh-CN" w:bidi="ar-SA"/>
        </w:rPr>
        <w:t>10、</w:t>
      </w:r>
      <w:r>
        <w:rPr>
          <w:rFonts w:hint="eastAsia" w:ascii="仿宋_GB2312" w:hAnsi="仿宋_GB2312" w:eastAsia="仿宋_GB2312" w:cs="仿宋_GB2312"/>
          <w:b w:val="0"/>
          <w:bCs/>
          <w:snapToGrid w:val="0"/>
          <w:color w:val="auto"/>
          <w:kern w:val="0"/>
          <w:sz w:val="32"/>
          <w:szCs w:val="32"/>
          <w:lang w:val="en-US" w:eastAsia="en-US" w:bidi="ar-SA"/>
        </w:rPr>
        <w:t>服务承诺书</w:t>
      </w:r>
      <w:r>
        <w:rPr>
          <w:rFonts w:hint="eastAsia" w:ascii="仿宋_GB2312" w:hAnsi="仿宋_GB2312" w:eastAsia="仿宋_GB2312" w:cs="仿宋_GB2312"/>
          <w:b w:val="0"/>
          <w:bCs/>
          <w:snapToGrid w:val="0"/>
          <w:color w:val="000000"/>
          <w:kern w:val="0"/>
          <w:sz w:val="32"/>
          <w:szCs w:val="32"/>
          <w:lang w:val="en-US" w:eastAsia="zh-CN" w:bidi="ar-SA"/>
        </w:rPr>
        <w:t>，盖公章。</w:t>
      </w:r>
    </w:p>
    <w:p w14:paraId="01161861">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auto"/>
          <w:kern w:val="0"/>
          <w:sz w:val="32"/>
          <w:szCs w:val="32"/>
          <w:lang w:val="en-US" w:eastAsia="en-US" w:bidi="ar-SA"/>
        </w:rPr>
      </w:pPr>
      <w:r>
        <w:rPr>
          <w:rFonts w:hint="eastAsia" w:ascii="仿宋_GB2312" w:hAnsi="仿宋_GB2312" w:eastAsia="仿宋_GB2312" w:cs="仿宋_GB2312"/>
          <w:b w:val="0"/>
          <w:bCs/>
          <w:snapToGrid w:val="0"/>
          <w:color w:val="auto"/>
          <w:kern w:val="0"/>
          <w:sz w:val="32"/>
          <w:szCs w:val="32"/>
          <w:lang w:val="en-US" w:eastAsia="zh-CN" w:bidi="ar-SA"/>
        </w:rPr>
        <w:t>11、</w:t>
      </w:r>
      <w:r>
        <w:rPr>
          <w:rFonts w:hint="eastAsia" w:ascii="仿宋_GB2312" w:hAnsi="仿宋_GB2312" w:eastAsia="仿宋_GB2312" w:cs="仿宋_GB2312"/>
          <w:b w:val="0"/>
          <w:bCs/>
          <w:snapToGrid w:val="0"/>
          <w:color w:val="auto"/>
          <w:kern w:val="0"/>
          <w:sz w:val="32"/>
          <w:szCs w:val="32"/>
          <w:lang w:val="en-US" w:eastAsia="en-US" w:bidi="ar-SA"/>
        </w:rPr>
        <w:t>服务安全责任保证书</w:t>
      </w:r>
      <w:r>
        <w:rPr>
          <w:rFonts w:hint="eastAsia" w:ascii="仿宋_GB2312" w:hAnsi="仿宋_GB2312" w:eastAsia="仿宋_GB2312" w:cs="仿宋_GB2312"/>
          <w:b w:val="0"/>
          <w:bCs/>
          <w:snapToGrid w:val="0"/>
          <w:color w:val="000000"/>
          <w:kern w:val="0"/>
          <w:sz w:val="32"/>
          <w:szCs w:val="32"/>
          <w:lang w:val="en-US" w:eastAsia="zh-CN" w:bidi="ar-SA"/>
        </w:rPr>
        <w:t>，盖公章</w:t>
      </w:r>
      <w:r>
        <w:rPr>
          <w:rFonts w:hint="eastAsia" w:ascii="仿宋_GB2312" w:hAnsi="仿宋_GB2312" w:eastAsia="仿宋_GB2312" w:cs="仿宋_GB2312"/>
          <w:b w:val="0"/>
          <w:bCs/>
          <w:snapToGrid w:val="0"/>
          <w:color w:val="auto"/>
          <w:kern w:val="0"/>
          <w:sz w:val="32"/>
          <w:szCs w:val="32"/>
          <w:lang w:val="en-US" w:eastAsia="en-US" w:bidi="ar-SA"/>
        </w:rPr>
        <w:t>。</w:t>
      </w:r>
    </w:p>
    <w:p w14:paraId="0E02ACBB">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b w:val="0"/>
          <w:bCs/>
          <w:snapToGrid w:val="0"/>
          <w:color w:val="000000"/>
          <w:kern w:val="0"/>
          <w:sz w:val="32"/>
          <w:szCs w:val="32"/>
          <w:lang w:val="en-US" w:eastAsia="zh-CN" w:bidi="ar-SA"/>
        </w:rPr>
      </w:pPr>
      <w:r>
        <w:rPr>
          <w:rFonts w:hint="eastAsia" w:ascii="仿宋_GB2312" w:hAnsi="仿宋_GB2312" w:eastAsia="仿宋_GB2312" w:cs="仿宋_GB2312"/>
          <w:b w:val="0"/>
          <w:bCs/>
          <w:snapToGrid w:val="0"/>
          <w:color w:val="000000"/>
          <w:kern w:val="0"/>
          <w:sz w:val="32"/>
          <w:szCs w:val="32"/>
          <w:lang w:val="en-US" w:eastAsia="zh-CN" w:bidi="ar-SA"/>
        </w:rPr>
        <w:t>12、</w:t>
      </w:r>
      <w:r>
        <w:rPr>
          <w:rFonts w:hint="eastAsia" w:ascii="仿宋_GB2312" w:hAnsi="仿宋_GB2312" w:eastAsia="仿宋_GB2312" w:cs="仿宋_GB2312"/>
          <w:b w:val="0"/>
          <w:bCs/>
          <w:snapToGrid w:val="0"/>
          <w:color w:val="000000"/>
          <w:kern w:val="0"/>
          <w:sz w:val="32"/>
          <w:szCs w:val="32"/>
          <w:lang w:val="en-US" w:eastAsia="en-US" w:bidi="ar-SA"/>
        </w:rPr>
        <w:t>专用机械及工具清单</w:t>
      </w:r>
      <w:r>
        <w:rPr>
          <w:rFonts w:hint="eastAsia" w:ascii="仿宋_GB2312" w:hAnsi="仿宋_GB2312" w:eastAsia="仿宋_GB2312" w:cs="仿宋_GB2312"/>
          <w:b w:val="0"/>
          <w:bCs/>
          <w:snapToGrid w:val="0"/>
          <w:color w:val="000000"/>
          <w:kern w:val="0"/>
          <w:sz w:val="32"/>
          <w:szCs w:val="32"/>
          <w:lang w:val="en-US" w:eastAsia="zh-CN" w:bidi="ar-SA"/>
        </w:rPr>
        <w:t>，盖公章。</w:t>
      </w:r>
    </w:p>
    <w:p w14:paraId="0392D7D9">
      <w:pPr>
        <w:pStyle w:val="7"/>
        <w:numPr>
          <w:ilvl w:val="0"/>
          <w:numId w:val="0"/>
        </w:numPr>
        <w:tabs>
          <w:tab w:val="left" w:pos="1348"/>
        </w:tabs>
        <w:spacing w:before="0" w:after="0" w:line="240" w:lineRule="auto"/>
        <w:ind w:right="0" w:rightChars="0"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响应文件用中文书写，以上材料须加盖公章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不符合要求的视为无效报价。</w:t>
      </w:r>
    </w:p>
    <w:p w14:paraId="67B31C3E">
      <w:pPr>
        <w:pStyle w:val="2"/>
        <w:keepNext w:val="0"/>
        <w:keepLines w:val="0"/>
        <w:pageBreakBefore w:val="0"/>
        <w:wordWrap/>
        <w:overflowPunct/>
        <w:topLinePunct w:val="0"/>
        <w:bidi w:val="0"/>
        <w:spacing w:line="560" w:lineRule="exact"/>
        <w:ind w:left="0" w:right="0"/>
        <w:rPr>
          <w:rFonts w:hint="default" w:ascii="仿宋_GB2312" w:hAnsi="仿宋_GB2312" w:eastAsia="仿宋_GB2312" w:cs="仿宋_GB2312"/>
          <w:snapToGrid w:val="0"/>
          <w:color w:val="000000"/>
          <w:kern w:val="0"/>
          <w:sz w:val="28"/>
          <w:szCs w:val="28"/>
          <w:lang w:val="en-US" w:eastAsia="zh-CN" w:bidi="ar-SA"/>
        </w:rPr>
      </w:pPr>
    </w:p>
    <w:p w14:paraId="6D185A1B"/>
    <w:sectPr>
      <w:pgSz w:w="11907" w:h="16840"/>
      <w:pgMar w:top="1297" w:right="1170" w:bottom="1262" w:left="1287" w:header="1283" w:footer="993" w:gutter="0"/>
      <w:pgBorders>
        <w:top w:val="none" w:sz="0" w:space="0"/>
        <w:left w:val="none" w:sz="0" w:space="0"/>
        <w:bottom w:val="none" w:sz="0" w:space="0"/>
        <w:right w:val="none" w:sz="0" w:space="0"/>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DBBF2">
    <w:pPr>
      <w:spacing w:before="106" w:line="177" w:lineRule="auto"/>
      <w:ind w:left="4503"/>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CC536">
    <w:pPr>
      <w:spacing w:before="106" w:line="177" w:lineRule="auto"/>
      <w:ind w:left="4503"/>
      <w:rPr>
        <w:rFonts w:ascii="Times New Roman" w:hAnsi="Times New Roman" w:eastAsia="Times New Roman" w:cs="Times New Roman"/>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E3E70">
    <w:pPr>
      <w:spacing w:before="106" w:line="177" w:lineRule="auto"/>
      <w:ind w:left="4506"/>
      <w:rPr>
        <w:rFonts w:ascii="Times New Roman" w:hAnsi="Times New Roman" w:eastAsia="Times New Roman" w:cs="Times New Roman"/>
        <w:sz w:val="18"/>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154A5">
    <w:pPr>
      <w:spacing w:before="106" w:line="177" w:lineRule="auto"/>
      <w:ind w:left="4506"/>
      <w:rPr>
        <w:rFonts w:ascii="Times New Roman" w:hAnsi="Times New Roman" w:eastAsia="Times New Roman" w:cs="Times New Roman"/>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5028E">
    <w:pPr>
      <w:spacing w:line="46"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32B70">
    <w:pPr>
      <w:spacing w:line="46"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2F9FB">
    <w:pPr>
      <w:spacing w:line="46" w:lineRule="auto"/>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861B0">
    <w:pPr>
      <w:spacing w:line="46"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6442B2"/>
    <w:multiLevelType w:val="singleLevel"/>
    <w:tmpl w:val="906442B2"/>
    <w:lvl w:ilvl="0" w:tentative="0">
      <w:start w:val="1"/>
      <w:numFmt w:val="decimalFullWidth"/>
      <w:suff w:val="nothing"/>
      <w:lvlText w:val="%1、"/>
      <w:lvlJc w:val="left"/>
      <w:rPr>
        <w:rFonts w:hint="eastAsia"/>
      </w:rPr>
    </w:lvl>
  </w:abstractNum>
  <w:abstractNum w:abstractNumId="1">
    <w:nsid w:val="C4697DA1"/>
    <w:multiLevelType w:val="singleLevel"/>
    <w:tmpl w:val="C4697DA1"/>
    <w:lvl w:ilvl="0" w:tentative="0">
      <w:start w:val="6"/>
      <w:numFmt w:val="chineseCounting"/>
      <w:suff w:val="space"/>
      <w:lvlText w:val="第%1条"/>
      <w:lvlJc w:val="left"/>
      <w:rPr>
        <w:rFonts w:hint="eastAsia"/>
      </w:rPr>
    </w:lvl>
  </w:abstractNum>
  <w:abstractNum w:abstractNumId="2">
    <w:nsid w:val="F5BF83A0"/>
    <w:multiLevelType w:val="singleLevel"/>
    <w:tmpl w:val="F5BF83A0"/>
    <w:lvl w:ilvl="0" w:tentative="0">
      <w:start w:val="2"/>
      <w:numFmt w:val="chineseCounting"/>
      <w:suff w:val="space"/>
      <w:lvlText w:val="第%1条"/>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0Mzg1M2MyYzJmYzA0MDU1NGJhMDdkMmE1YzMzMDgifQ=="/>
  </w:docVars>
  <w:rsids>
    <w:rsidRoot w:val="7CCA2112"/>
    <w:rsid w:val="00D2531E"/>
    <w:rsid w:val="04104DE8"/>
    <w:rsid w:val="069E139A"/>
    <w:rsid w:val="06D803DD"/>
    <w:rsid w:val="06F86967"/>
    <w:rsid w:val="07B55DDA"/>
    <w:rsid w:val="0A0009B5"/>
    <w:rsid w:val="0A116B8A"/>
    <w:rsid w:val="0B2D380D"/>
    <w:rsid w:val="0BA15CEB"/>
    <w:rsid w:val="0BB61CF8"/>
    <w:rsid w:val="0E7F149F"/>
    <w:rsid w:val="103C4234"/>
    <w:rsid w:val="1144541B"/>
    <w:rsid w:val="126F08F1"/>
    <w:rsid w:val="1358091B"/>
    <w:rsid w:val="147574C4"/>
    <w:rsid w:val="160457F4"/>
    <w:rsid w:val="16A03040"/>
    <w:rsid w:val="18A94431"/>
    <w:rsid w:val="1A2226ED"/>
    <w:rsid w:val="1A33556A"/>
    <w:rsid w:val="1B960EE0"/>
    <w:rsid w:val="1E092963"/>
    <w:rsid w:val="1E287E5B"/>
    <w:rsid w:val="1F696397"/>
    <w:rsid w:val="20DB2206"/>
    <w:rsid w:val="22444ACC"/>
    <w:rsid w:val="232A50B4"/>
    <w:rsid w:val="252C54F3"/>
    <w:rsid w:val="264D430D"/>
    <w:rsid w:val="282D5012"/>
    <w:rsid w:val="29157C90"/>
    <w:rsid w:val="293C18AB"/>
    <w:rsid w:val="2B8E4F82"/>
    <w:rsid w:val="2C870122"/>
    <w:rsid w:val="2E3B656E"/>
    <w:rsid w:val="2E484F46"/>
    <w:rsid w:val="30037839"/>
    <w:rsid w:val="308C04F3"/>
    <w:rsid w:val="35F40B39"/>
    <w:rsid w:val="3676678A"/>
    <w:rsid w:val="36DE17E1"/>
    <w:rsid w:val="36F3056E"/>
    <w:rsid w:val="38434D5F"/>
    <w:rsid w:val="39A21B4E"/>
    <w:rsid w:val="39AD4AD3"/>
    <w:rsid w:val="39F04E73"/>
    <w:rsid w:val="3A3E27D3"/>
    <w:rsid w:val="3AFB2AC5"/>
    <w:rsid w:val="3BAF17BC"/>
    <w:rsid w:val="3C210B7F"/>
    <w:rsid w:val="3D0B5494"/>
    <w:rsid w:val="3E4E3201"/>
    <w:rsid w:val="3EB556A0"/>
    <w:rsid w:val="410066A6"/>
    <w:rsid w:val="418750C2"/>
    <w:rsid w:val="45EE77A4"/>
    <w:rsid w:val="471A6804"/>
    <w:rsid w:val="487F438D"/>
    <w:rsid w:val="488F5987"/>
    <w:rsid w:val="49942410"/>
    <w:rsid w:val="4B2210EC"/>
    <w:rsid w:val="4BD52C51"/>
    <w:rsid w:val="4D535BB7"/>
    <w:rsid w:val="4E3869B2"/>
    <w:rsid w:val="52665276"/>
    <w:rsid w:val="534547C9"/>
    <w:rsid w:val="5B2D7FCE"/>
    <w:rsid w:val="5C237623"/>
    <w:rsid w:val="5C5C08AF"/>
    <w:rsid w:val="5E88311E"/>
    <w:rsid w:val="60B32F03"/>
    <w:rsid w:val="64017BAE"/>
    <w:rsid w:val="66127710"/>
    <w:rsid w:val="67495941"/>
    <w:rsid w:val="67FD6F7B"/>
    <w:rsid w:val="68843A52"/>
    <w:rsid w:val="6BCA1115"/>
    <w:rsid w:val="6C4F33BC"/>
    <w:rsid w:val="6C551CA8"/>
    <w:rsid w:val="71CC3B58"/>
    <w:rsid w:val="734423A5"/>
    <w:rsid w:val="73B5231A"/>
    <w:rsid w:val="73C372CA"/>
    <w:rsid w:val="73E33BED"/>
    <w:rsid w:val="77874C68"/>
    <w:rsid w:val="78B81191"/>
    <w:rsid w:val="78D23F5A"/>
    <w:rsid w:val="7B035B14"/>
    <w:rsid w:val="7B0B038E"/>
    <w:rsid w:val="7C8B2109"/>
    <w:rsid w:val="7CCA2112"/>
    <w:rsid w:val="7E227E81"/>
    <w:rsid w:val="7FAC50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0"/>
      <w:szCs w:val="20"/>
      <w:lang w:val="en-US" w:eastAsia="en-US" w:bidi="ar-SA"/>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Table Paragraph"/>
    <w:basedOn w:val="1"/>
    <w:qFormat/>
    <w:uiPriority w:val="1"/>
    <w:rPr>
      <w:rFonts w:ascii="仿宋" w:hAnsi="仿宋" w:eastAsia="仿宋" w:cs="仿宋"/>
    </w:rPr>
  </w:style>
  <w:style w:type="paragraph" w:styleId="7">
    <w:name w:val="List Paragraph"/>
    <w:basedOn w:val="1"/>
    <w:qFormat/>
    <w:uiPriority w:val="1"/>
    <w:pPr>
      <w:ind w:left="392" w:firstLine="480"/>
    </w:pPr>
    <w:rPr>
      <w:rFonts w:ascii="仿宋" w:hAnsi="仿宋" w:eastAsia="仿宋" w:cs="仿宋"/>
    </w:rPr>
  </w:style>
  <w:style w:type="paragraph" w:customStyle="1" w:styleId="8">
    <w:name w:val="null3"/>
    <w:qFormat/>
    <w:uiPriority w:val="0"/>
    <w:rPr>
      <w:rFonts w:hint="eastAsia" w:ascii="Calibri" w:hAnsi="Calibri" w:eastAsia="宋体" w:cs="Times New Roman"/>
      <w:lang w:val="en-US" w:eastAsia="zh-Hans"/>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27</Pages>
  <Words>11849</Words>
  <Characters>12196</Characters>
  <Lines>0</Lines>
  <Paragraphs>0</Paragraphs>
  <TotalTime>1</TotalTime>
  <ScaleCrop>false</ScaleCrop>
  <LinksUpToDate>false</LinksUpToDate>
  <CharactersWithSpaces>13026</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2024-07-14T03:03:00Z</dcterms:created>
  <dc:creator>宋超</dc:creator>
  <cp:lastModifiedBy>umar </cp:lastModifiedBy>
  <cp:lastPrinted>2024-07-30T17:13:00Z</cp:lastPrinted>
  <dcterms:modified xsi:type="dcterms:W3CDTF">2024-07-30T17:29:24Z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02D94F314EDE4D46BDC7C9757344443D_13</vt:lpwstr>
  </property>
</Properties>
</file>