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color w:val="auto"/>
          <w:sz w:val="32"/>
          <w:szCs w:val="32"/>
        </w:rPr>
        <w:t>1、投标商应标内容必须响应招标参数要求，不得以任何理由更改清单参数内容；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color w:val="auto"/>
          <w:sz w:val="32"/>
          <w:szCs w:val="32"/>
        </w:rPr>
        <w:t>日内全部供货到位，如未能在指定时间内供货，视为投标商自愿放弃；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</w:t>
      </w:r>
      <w:r>
        <w:rPr>
          <w:color w:val="auto"/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02144227"/>
    <w:rsid w:val="107B0F7D"/>
    <w:rsid w:val="4F20330A"/>
    <w:rsid w:val="59DD640A"/>
    <w:rsid w:val="5EF37F0A"/>
    <w:rsid w:val="67C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261</Characters>
  <Lines>0</Lines>
  <Paragraphs>0</Paragraphs>
  <TotalTime>5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umar </cp:lastModifiedBy>
  <dcterms:modified xsi:type="dcterms:W3CDTF">2024-06-21T11:30:08Z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B38D752DABF5410FB1E9B24EA482B4B2_13</vt:lpwstr>
  </property>
</Properties>
</file>