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389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702"/>
        <w:gridCol w:w="588"/>
        <w:gridCol w:w="990"/>
        <w:gridCol w:w="7769"/>
        <w:gridCol w:w="465"/>
        <w:gridCol w:w="456"/>
        <w:gridCol w:w="1350"/>
        <w:gridCol w:w="1570"/>
      </w:tblGrid>
      <w:tr w14:paraId="53AE6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1" w:hRule="atLeast"/>
        </w:trPr>
        <w:tc>
          <w:tcPr>
            <w:tcW w:w="13890" w:type="dxa"/>
            <w:gridSpan w:val="8"/>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53F055">
            <w:pPr>
              <w:keepNext w:val="0"/>
              <w:keepLines w:val="0"/>
              <w:widowControl/>
              <w:suppressLineNumbers w:val="0"/>
              <w:jc w:val="center"/>
              <w:textAlignment w:val="center"/>
              <w:rPr>
                <w:rFonts w:hint="eastAsia" w:ascii="宋体" w:hAnsi="宋体" w:eastAsia="宋体" w:cs="宋体"/>
                <w:b/>
                <w:i w:val="0"/>
                <w:color w:val="auto"/>
                <w:sz w:val="32"/>
                <w:szCs w:val="32"/>
                <w:u w:val="none"/>
              </w:rPr>
            </w:pPr>
            <w:r>
              <w:rPr>
                <w:rFonts w:hint="eastAsia" w:ascii="宋体" w:hAnsi="宋体" w:eastAsia="宋体" w:cs="宋体"/>
                <w:b/>
                <w:i w:val="0"/>
                <w:color w:val="auto"/>
                <w:kern w:val="0"/>
                <w:sz w:val="32"/>
                <w:szCs w:val="32"/>
                <w:u w:val="none"/>
                <w:lang w:val="en-US" w:eastAsia="zh-CN" w:bidi="ar"/>
              </w:rPr>
              <w:t>智慧JG建设需求</w:t>
            </w:r>
            <w:bookmarkStart w:id="0" w:name="_GoBack"/>
            <w:bookmarkEnd w:id="0"/>
            <w:r>
              <w:rPr>
                <w:rFonts w:hint="eastAsia" w:ascii="宋体" w:hAnsi="宋体" w:eastAsia="宋体" w:cs="宋体"/>
                <w:b/>
                <w:i w:val="0"/>
                <w:color w:val="auto"/>
                <w:kern w:val="0"/>
                <w:sz w:val="32"/>
                <w:szCs w:val="32"/>
                <w:u w:val="none"/>
                <w:lang w:val="en-US" w:eastAsia="zh-CN" w:bidi="ar"/>
              </w:rPr>
              <w:t>清单</w:t>
            </w:r>
          </w:p>
        </w:tc>
      </w:tr>
      <w:tr w14:paraId="74EB2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9279A2">
            <w:pPr>
              <w:keepNext w:val="0"/>
              <w:keepLines w:val="0"/>
              <w:widowControl/>
              <w:suppressLineNumbers w:val="0"/>
              <w:jc w:val="center"/>
              <w:textAlignment w:val="center"/>
              <w:rPr>
                <w:rFonts w:hint="eastAsia" w:ascii="宋体" w:hAnsi="宋体" w:eastAsia="宋体" w:cs="宋体"/>
                <w:b/>
                <w:i w:val="0"/>
                <w:color w:val="auto"/>
                <w:sz w:val="22"/>
                <w:szCs w:val="22"/>
                <w:u w:val="none"/>
              </w:rPr>
            </w:pPr>
            <w:r>
              <w:rPr>
                <w:rFonts w:hint="eastAsia" w:ascii="宋体" w:hAnsi="宋体" w:eastAsia="宋体" w:cs="宋体"/>
                <w:b/>
                <w:i w:val="0"/>
                <w:color w:val="auto"/>
                <w:kern w:val="0"/>
                <w:sz w:val="22"/>
                <w:szCs w:val="22"/>
                <w:u w:val="none"/>
                <w:lang w:val="en-US" w:eastAsia="zh-CN" w:bidi="ar"/>
              </w:rPr>
              <w:t>序号</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47011B">
            <w:pPr>
              <w:keepNext w:val="0"/>
              <w:keepLines w:val="0"/>
              <w:widowControl/>
              <w:suppressLineNumbers w:val="0"/>
              <w:jc w:val="center"/>
              <w:textAlignment w:val="center"/>
              <w:rPr>
                <w:rFonts w:hint="eastAsia" w:ascii="宋体" w:hAnsi="宋体" w:eastAsia="宋体" w:cs="宋体"/>
                <w:b/>
                <w:i w:val="0"/>
                <w:color w:val="auto"/>
                <w:sz w:val="22"/>
                <w:szCs w:val="22"/>
                <w:u w:val="none"/>
              </w:rPr>
            </w:pPr>
            <w:r>
              <w:rPr>
                <w:rFonts w:hint="eastAsia" w:ascii="宋体" w:hAnsi="宋体" w:eastAsia="宋体" w:cs="宋体"/>
                <w:b/>
                <w:i w:val="0"/>
                <w:color w:val="auto"/>
                <w:kern w:val="0"/>
                <w:sz w:val="22"/>
                <w:szCs w:val="22"/>
                <w:u w:val="none"/>
                <w:lang w:val="en-US" w:eastAsia="zh-CN" w:bidi="ar"/>
              </w:rPr>
              <w:t>设备名称</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E80AE2">
            <w:pPr>
              <w:keepNext w:val="0"/>
              <w:keepLines w:val="0"/>
              <w:widowControl/>
              <w:suppressLineNumbers w:val="0"/>
              <w:jc w:val="center"/>
              <w:textAlignment w:val="center"/>
              <w:rPr>
                <w:rFonts w:hint="eastAsia" w:ascii="宋体" w:hAnsi="宋体" w:eastAsia="宋体" w:cs="宋体"/>
                <w:b/>
                <w:i w:val="0"/>
                <w:color w:val="auto"/>
                <w:sz w:val="22"/>
                <w:szCs w:val="22"/>
                <w:u w:val="none"/>
              </w:rPr>
            </w:pPr>
            <w:r>
              <w:rPr>
                <w:rFonts w:hint="eastAsia" w:ascii="宋体" w:hAnsi="宋体" w:eastAsia="宋体" w:cs="宋体"/>
                <w:b/>
                <w:i w:val="0"/>
                <w:color w:val="auto"/>
                <w:kern w:val="0"/>
                <w:sz w:val="22"/>
                <w:szCs w:val="22"/>
                <w:u w:val="none"/>
                <w:lang w:val="en-US" w:eastAsia="zh-CN" w:bidi="ar"/>
              </w:rPr>
              <w:t>产品描述</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81D0B8">
            <w:pPr>
              <w:keepNext w:val="0"/>
              <w:keepLines w:val="0"/>
              <w:widowControl/>
              <w:suppressLineNumbers w:val="0"/>
              <w:jc w:val="center"/>
              <w:textAlignment w:val="center"/>
              <w:rPr>
                <w:rFonts w:hint="eastAsia" w:ascii="宋体" w:hAnsi="宋体" w:eastAsia="宋体" w:cs="宋体"/>
                <w:b/>
                <w:i w:val="0"/>
                <w:color w:val="auto"/>
                <w:sz w:val="22"/>
                <w:szCs w:val="22"/>
                <w:u w:val="none"/>
              </w:rPr>
            </w:pPr>
            <w:r>
              <w:rPr>
                <w:rFonts w:hint="eastAsia" w:ascii="宋体" w:hAnsi="宋体" w:eastAsia="宋体" w:cs="宋体"/>
                <w:b/>
                <w:i w:val="0"/>
                <w:color w:val="auto"/>
                <w:kern w:val="0"/>
                <w:sz w:val="22"/>
                <w:szCs w:val="22"/>
                <w:u w:val="none"/>
                <w:lang w:val="en-US" w:eastAsia="zh-CN" w:bidi="ar"/>
              </w:rPr>
              <w:t>数量</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54C276">
            <w:pPr>
              <w:keepNext w:val="0"/>
              <w:keepLines w:val="0"/>
              <w:widowControl/>
              <w:suppressLineNumbers w:val="0"/>
              <w:jc w:val="center"/>
              <w:textAlignment w:val="center"/>
              <w:rPr>
                <w:rFonts w:hint="eastAsia" w:ascii="宋体" w:hAnsi="宋体" w:eastAsia="宋体" w:cs="宋体"/>
                <w:b/>
                <w:i w:val="0"/>
                <w:color w:val="auto"/>
                <w:sz w:val="22"/>
                <w:szCs w:val="22"/>
                <w:u w:val="none"/>
              </w:rPr>
            </w:pPr>
            <w:r>
              <w:rPr>
                <w:rFonts w:hint="eastAsia" w:ascii="宋体" w:hAnsi="宋体" w:eastAsia="宋体" w:cs="宋体"/>
                <w:b/>
                <w:i w:val="0"/>
                <w:color w:val="auto"/>
                <w:kern w:val="0"/>
                <w:sz w:val="22"/>
                <w:szCs w:val="22"/>
                <w:u w:val="none"/>
                <w:lang w:val="en-US" w:eastAsia="zh-CN" w:bidi="ar"/>
              </w:rPr>
              <w:t>单位</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21A7C1">
            <w:pPr>
              <w:keepNext w:val="0"/>
              <w:keepLines w:val="0"/>
              <w:widowControl/>
              <w:suppressLineNumbers w:val="0"/>
              <w:jc w:val="center"/>
              <w:textAlignment w:val="center"/>
              <w:rPr>
                <w:rFonts w:hint="eastAsia" w:ascii="宋体" w:hAnsi="宋体" w:eastAsia="宋体" w:cs="宋体"/>
                <w:b/>
                <w:i w:val="0"/>
                <w:color w:val="auto"/>
                <w:sz w:val="22"/>
                <w:szCs w:val="22"/>
                <w:u w:val="none"/>
              </w:rPr>
            </w:pPr>
            <w:r>
              <w:rPr>
                <w:rFonts w:hint="eastAsia" w:ascii="宋体" w:hAnsi="宋体" w:eastAsia="宋体" w:cs="宋体"/>
                <w:b/>
                <w:i w:val="0"/>
                <w:color w:val="auto"/>
                <w:kern w:val="0"/>
                <w:sz w:val="22"/>
                <w:szCs w:val="22"/>
                <w:u w:val="none"/>
                <w:lang w:val="en-US" w:eastAsia="zh-CN" w:bidi="ar"/>
              </w:rPr>
              <w:t>单价</w:t>
            </w: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4B62A1">
            <w:pPr>
              <w:keepNext w:val="0"/>
              <w:keepLines w:val="0"/>
              <w:widowControl/>
              <w:suppressLineNumbers w:val="0"/>
              <w:jc w:val="center"/>
              <w:textAlignment w:val="center"/>
              <w:rPr>
                <w:rFonts w:hint="eastAsia" w:ascii="宋体" w:hAnsi="宋体" w:eastAsia="宋体" w:cs="宋体"/>
                <w:b/>
                <w:i w:val="0"/>
                <w:color w:val="auto"/>
                <w:sz w:val="22"/>
                <w:szCs w:val="22"/>
                <w:u w:val="none"/>
              </w:rPr>
            </w:pPr>
            <w:r>
              <w:rPr>
                <w:rFonts w:hint="eastAsia" w:ascii="宋体" w:hAnsi="宋体" w:eastAsia="宋体" w:cs="宋体"/>
                <w:b/>
                <w:i w:val="0"/>
                <w:color w:val="auto"/>
                <w:kern w:val="0"/>
                <w:sz w:val="22"/>
                <w:szCs w:val="22"/>
                <w:u w:val="none"/>
                <w:lang w:val="en-US" w:eastAsia="zh-CN" w:bidi="ar"/>
              </w:rPr>
              <w:t>小计</w:t>
            </w:r>
          </w:p>
        </w:tc>
      </w:tr>
      <w:tr w14:paraId="12CBE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62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D97A2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BC0C9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综合平台服务器</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493D1F">
            <w:pPr>
              <w:keepNext w:val="0"/>
              <w:keepLines w:val="0"/>
              <w:widowControl/>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1、2U/8盘位，处理器：2颗Hygon 3350 8核16线程处理器，主频：3.0GHz，</w:t>
            </w:r>
          </w:p>
          <w:p w14:paraId="758FB6A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2、不低于64G DDR4内存，≥8个内存插槽，整机容量最高支持扩容至512GB</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3、标配≥4个千兆网卡</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4、标配≥2个前置USB2.0接口，标配≥4个后置USB3.0接口</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5、标配不少于4TB  SATA硬盘</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6、标配openEuler 22.03操作系统</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1DDE1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A6882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9BAEA7">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93DF5C">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1AD8A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2" w:hRule="atLeast"/>
        </w:trPr>
        <w:tc>
          <w:tcPr>
            <w:tcW w:w="70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ABC9A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58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A928B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智慧JS一体化管理平台</w:t>
            </w:r>
          </w:p>
        </w:tc>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046C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信息可视化模块</w:t>
            </w:r>
          </w:p>
        </w:tc>
        <w:tc>
          <w:tcPr>
            <w:tcW w:w="776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9C6FD7">
            <w:pPr>
              <w:keepNext w:val="0"/>
              <w:keepLines w:val="0"/>
              <w:widowControl/>
              <w:numPr>
                <w:ilvl w:val="0"/>
                <w:numId w:val="1"/>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支持显示下级单位综合风险等级及风险分值，风险值会随分值变化改变颜色。</w:t>
            </w:r>
          </w:p>
          <w:p w14:paraId="735CD0CC">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2、展示全市JG场所的整体概况（按照相关文件要求人员分类清除，数量正确）</w:t>
            </w:r>
          </w:p>
          <w:p w14:paraId="288F3D56">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3、支持对督导统计信息进行可视化展示；支持多级下钻查看详细信息。点击图形后支持弹出督导统计界面，显示督导单位、被督导单位、督导类型、督导时间、督导对象、问题性质、督导状态等信息。</w:t>
            </w:r>
          </w:p>
          <w:p w14:paraId="439E143E">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5、可视化看板全景概览专题展示，支持实时展示下级单位的当前动态，可查看相关动态的详情信息。支持逐层钻取，查看人员详情（按照相关文件要求的基本信息）。</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6、可视化看板安全预警专题展示，支持滚动显示重点关注信息；支持以柱状图显示重点关注信息在下辖单位的分布数量。</w:t>
            </w:r>
          </w:p>
          <w:p w14:paraId="59C12D6A">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7、可视化看板监控图像关联应用专题展示，支持滚动显示下辖区域视频运维结果，包括视频掉线数量、亮度异常数量、视频偏色数量、视频抖动数量、画面冻结数量、卡顿数量、噪声干扰数量、人为干扰数量等；支持查看详情，包括设备名称、异常日期、所属区域等，并支持数据导出。</w:t>
            </w:r>
          </w:p>
          <w:p w14:paraId="099A5820">
            <w:pPr>
              <w:keepNext w:val="0"/>
              <w:keepLines w:val="0"/>
              <w:widowControl/>
              <w:numPr>
                <w:ilvl w:val="0"/>
                <w:numId w:val="0"/>
              </w:numPr>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门户管理功能，提供图形化的门户管理工具，为用户提供基于Web的信息服务门户整体框架功能，为工作人员提供一体化的操作界面，包括功能、菜单的自定义功能，个性化排版，对各种功能和菜单的权限管理等；</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9、可视化看板功能，可对综合风险、下级单位情况、各类动态、队伍情况、便民服务、监控联网、数据质量、消息提醒等信息进行图形化显示，并可针对板块进行细节信息钻取，使工作人员快速了解当前实际情况，显示信息板块可按现场实际关注度自定义进行调整。</w:t>
            </w:r>
          </w:p>
        </w:tc>
        <w:tc>
          <w:tcPr>
            <w:tcW w:w="4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37D00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446E8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135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E5654E">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B13206">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53EEB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2"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95EBCD">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0AE84D">
            <w:pPr>
              <w:jc w:val="center"/>
              <w:rPr>
                <w:rFonts w:hint="eastAsia" w:ascii="宋体" w:hAnsi="宋体" w:eastAsia="宋体" w:cs="宋体"/>
                <w:i w:val="0"/>
                <w:color w:val="000000"/>
                <w:sz w:val="22"/>
                <w:szCs w:val="22"/>
                <w:u w:val="none"/>
              </w:rPr>
            </w:pPr>
          </w:p>
        </w:tc>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F3EA7F">
            <w:pPr>
              <w:jc w:val="center"/>
              <w:rPr>
                <w:rFonts w:hint="eastAsia" w:ascii="宋体" w:hAnsi="宋体" w:eastAsia="宋体" w:cs="宋体"/>
                <w:i w:val="0"/>
                <w:color w:val="000000"/>
                <w:sz w:val="22"/>
                <w:szCs w:val="22"/>
                <w:u w:val="none"/>
              </w:rPr>
            </w:pPr>
          </w:p>
        </w:tc>
        <w:tc>
          <w:tcPr>
            <w:tcW w:w="776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F75D83">
            <w:pPr>
              <w:jc w:val="left"/>
              <w:rPr>
                <w:rFonts w:hint="eastAsia" w:ascii="宋体" w:hAnsi="宋体" w:eastAsia="宋体" w:cs="宋体"/>
                <w:i w:val="0"/>
                <w:color w:val="000000"/>
                <w:sz w:val="22"/>
                <w:szCs w:val="22"/>
                <w:u w:val="none"/>
              </w:rPr>
            </w:pPr>
          </w:p>
        </w:tc>
        <w:tc>
          <w:tcPr>
            <w:tcW w:w="4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D91E3D">
            <w:pPr>
              <w:jc w:val="center"/>
              <w:rPr>
                <w:rFonts w:hint="eastAsia" w:ascii="宋体" w:hAnsi="宋体" w:eastAsia="宋体" w:cs="宋体"/>
                <w:i w:val="0"/>
                <w:color w:val="000000"/>
                <w:sz w:val="22"/>
                <w:szCs w:val="22"/>
                <w:u w:val="none"/>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D08E03">
            <w:pPr>
              <w:jc w:val="center"/>
              <w:rPr>
                <w:rFonts w:hint="eastAsia" w:ascii="宋体" w:hAnsi="宋体" w:eastAsia="宋体" w:cs="宋体"/>
                <w:i w:val="0"/>
                <w:color w:val="000000"/>
                <w:sz w:val="22"/>
                <w:szCs w:val="22"/>
                <w:u w:val="none"/>
              </w:rPr>
            </w:pPr>
          </w:p>
        </w:tc>
        <w:tc>
          <w:tcPr>
            <w:tcW w:w="13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14C77C">
            <w:pPr>
              <w:jc w:val="center"/>
              <w:rPr>
                <w:rFonts w:hint="eastAsia" w:ascii="宋体" w:hAnsi="宋体" w:eastAsia="宋体" w:cs="宋体"/>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09056C">
            <w:pPr>
              <w:jc w:val="center"/>
              <w:rPr>
                <w:rFonts w:hint="eastAsia" w:ascii="宋体" w:hAnsi="宋体" w:eastAsia="宋体" w:cs="宋体"/>
                <w:i w:val="0"/>
                <w:color w:val="000000"/>
                <w:sz w:val="22"/>
                <w:szCs w:val="22"/>
                <w:u w:val="none"/>
              </w:rPr>
            </w:pPr>
          </w:p>
        </w:tc>
      </w:tr>
      <w:tr w14:paraId="44E04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35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5D94D4">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C8A5FE">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F3530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全程操作留痕模块</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7491974">
            <w:pPr>
              <w:keepNext w:val="0"/>
              <w:keepLines w:val="0"/>
              <w:widowControl/>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1、应用系统根据支撑平台推送的用户进行本系统用户属性维护，用户信息增/删/改由支撑平台统一管理和维护，从而实现多应用系统用户的统一管理。</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全程操作留痕：基于IP,登录时间，用户名，所在单位生产水印，根据用户选择进行是否启用水印设置。若启用，则在平台上设置后会出现水印。详细记录所有操作人员操作系统所产生的所有行为日志，包括操作人员登录、视频巡查、回放录像、系统设置等各项详细操作。通过各种条件查询和统计，实现对平台操作人员行为规范性和安全性的监测。</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2B785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5BE35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B42979">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73C89F">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36EB9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5615A2">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361461">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9C7E4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智慧JG管理综合平台</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0032E21">
            <w:pPr>
              <w:keepNext w:val="0"/>
              <w:keepLines w:val="0"/>
              <w:widowControl/>
              <w:numPr>
                <w:ilvl w:val="0"/>
                <w:numId w:val="2"/>
              </w:numPr>
              <w:suppressLineNumbers w:val="0"/>
              <w:jc w:val="left"/>
              <w:textAlignment w:val="bottom"/>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平台具备智能巡视功能，主要分为：实时视频巡视、列表分类巡视、历史视频巡视等3种不同的巡视方式。</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2、平台配合智能分析服务器或带智能分析的摄像机使用，具备视频智能行为分析功能，可对值班人员进行实时监控，当值班人员离岗超过设定时长会触发行为分析报警。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3、平台具备电视墙同步显示，管理客户端显示内容可以实时投送电视墙显示。</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4、支持多级联网，上级管理部门可直接查看下级单位的视频图像，并实现网上检查、督导、反馈、督办、查询、统计、分析、系统设置功能；</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5、具备调用下级单位的实时视频，实现网上检查、督导（方式分别为语音通话、下达文字指令、下达《整改通知书》）、反馈、督办、查询、统计、分析、系统设置功能。</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6、支持实时视频、历史视频、电视墙管理。支持五查战法、交接班、生活制度管理等功能应用</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7、平台具备巡更功能，支持设置巡更相关路线和计划；支持给已添加的路线分配相关巡更人员。按照排班日期、巡更时间等条件设置巡更任务排班计划；支持异常频次分析：对未巡、漏巡、晚巡、巡更超时次数排名统计。</w:t>
            </w:r>
          </w:p>
          <w:p w14:paraId="0E6D1982">
            <w:pPr>
              <w:keepNext w:val="0"/>
              <w:keepLines w:val="0"/>
              <w:widowControl/>
              <w:numPr>
                <w:ilvl w:val="0"/>
                <w:numId w:val="3"/>
              </w:numPr>
              <w:suppressLineNumbers w:val="0"/>
              <w:jc w:val="left"/>
              <w:textAlignment w:val="bottom"/>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平台具备强电控制定时批量控制功能，可批量操作强电设备的打开、关闭操作。支持设置定时批量全开或全关和定时生效功能，定时控制对应的强电批量全开或全关。</w:t>
            </w:r>
          </w:p>
          <w:p w14:paraId="1414EB8F">
            <w:pPr>
              <w:keepNext w:val="0"/>
              <w:keepLines w:val="0"/>
              <w:widowControl/>
              <w:numPr>
                <w:ilvl w:val="0"/>
                <w:numId w:val="3"/>
              </w:numPr>
              <w:suppressLineNumbers w:val="0"/>
              <w:jc w:val="left"/>
              <w:textAlignment w:val="bottom"/>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该平台需与上级平台实现无缝对接，同时接收上级的督导指令以及黄牌等相关消息，并可以进行回复。关于重点部位方面支持标定上传至上一级部门。</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ABB52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CD4C3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2DBA86">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BAB495">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05EE04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4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86F39E">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781103">
            <w:pPr>
              <w:jc w:val="center"/>
              <w:rPr>
                <w:rFonts w:hint="eastAsia" w:ascii="宋体" w:hAnsi="宋体" w:eastAsia="宋体" w:cs="宋体"/>
                <w:i w:val="0"/>
                <w:color w:val="000000"/>
                <w:sz w:val="22"/>
                <w:szCs w:val="22"/>
                <w:u w:val="none"/>
              </w:rPr>
            </w:pPr>
          </w:p>
        </w:tc>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50B1C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视频巡查模块</w:t>
            </w:r>
          </w:p>
        </w:tc>
        <w:tc>
          <w:tcPr>
            <w:tcW w:w="776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742781">
            <w:pPr>
              <w:keepNext w:val="0"/>
              <w:keepLines w:val="0"/>
              <w:widowControl/>
              <w:numPr>
                <w:ilvl w:val="0"/>
                <w:numId w:val="4"/>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可根据通道类型条件筛选设备，针对筛选出的通道，可设置轮巡时间间隔，进行轮巡显示。</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2、支持在设备树形列表上实时显示设备在线情况，不在线通道以灰色显示。</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3、支持在区域节点上显示该区域下设备总数和在线设备总数。支持一键播放区域内所有通道视频。</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4、支持即时回放功能，支持即时回放加速播放。</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5、支持向下级单位发送语音督导、文字指令、整改通知。</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6、支持报警联动视频弹窗并语音提示。</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7、可按照通道名称、人员姓名进行通道搜索；支持按照时间段查询录像，自动搜索出集中存储和前端录像；支持在树形列表中模糊查询视频通道；支持查阅集中存储的视频录像时，对视频录像添加标记；</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8、支持向下级单位发送语音督导、文字指令、整改通知。</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9、支持不同单位相同部位的点位实时视频预览。</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10、支持按照时间和单位进行值班情况抽查，支持查看抽查结果，抽查结果支持查看详细信息，可标记正常/异常、违规类型，并可填写抽查意见，下发督导。</w:t>
            </w:r>
          </w:p>
          <w:p w14:paraId="711F87BD">
            <w:pPr>
              <w:keepNext w:val="0"/>
              <w:keepLines w:val="0"/>
              <w:widowControl/>
              <w:numPr>
                <w:ilvl w:val="0"/>
                <w:numId w:val="5"/>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支持按照单位名称、类型、时间等条件进行抽查查询。</w:t>
            </w:r>
          </w:p>
          <w:p w14:paraId="36BF9AFC">
            <w:pPr>
              <w:keepNext w:val="0"/>
              <w:keepLines w:val="0"/>
              <w:widowControl/>
              <w:numPr>
                <w:ilvl w:val="0"/>
                <w:numId w:val="5"/>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支持刷新点名结果状态。</w:t>
            </w:r>
          </w:p>
          <w:p w14:paraId="5650CA68">
            <w:pPr>
              <w:keepNext w:val="0"/>
              <w:keepLines w:val="0"/>
              <w:widowControl/>
              <w:numPr>
                <w:ilvl w:val="0"/>
                <w:numId w:val="5"/>
              </w:numPr>
              <w:suppressLineNumbers w:val="0"/>
              <w:ind w:left="0" w:leftChars="0" w:firstLine="0" w:firstLineChars="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支持显示点名状态、组织区域、值班室、点名结果、昨日异常数量。</w:t>
            </w:r>
          </w:p>
          <w:p w14:paraId="1212DAD4">
            <w:pPr>
              <w:keepNext w:val="0"/>
              <w:keepLines w:val="0"/>
              <w:widowControl/>
              <w:numPr>
                <w:ilvl w:val="0"/>
                <w:numId w:val="5"/>
              </w:numPr>
              <w:suppressLineNumbers w:val="0"/>
              <w:ind w:left="0" w:leftChars="0" w:firstLine="0" w:firstLineChars="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支持打标功能</w:t>
            </w:r>
          </w:p>
          <w:p w14:paraId="0C2142AA">
            <w:pPr>
              <w:keepNext w:val="0"/>
              <w:keepLines w:val="0"/>
              <w:widowControl/>
              <w:numPr>
                <w:ilvl w:val="0"/>
                <w:numId w:val="5"/>
              </w:numPr>
              <w:suppressLineNumbers w:val="0"/>
              <w:ind w:left="0" w:leftChars="0" w:firstLine="0" w:firstLineChars="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可实现值岗检查功能，可在实时检测值班人员值班状态的同时，对指定时间段内的随机视频截图，即可查看当时的值班状态；通过视频切片技术的应用，使对值班状态的抽查更加智能化、精细化。方便事后对值班状态的查询，同时用户可根据抽查过程中抓拍的快照填写处理意见。具有定点查、定时查、反复查、重点查、切片快查、智能巡查、智能标签等功能</w:t>
            </w:r>
          </w:p>
        </w:tc>
        <w:tc>
          <w:tcPr>
            <w:tcW w:w="4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F98F5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08A26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135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982225">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278CCD">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598F5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34B24A">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43A856">
            <w:pPr>
              <w:jc w:val="center"/>
              <w:rPr>
                <w:rFonts w:hint="eastAsia" w:ascii="宋体" w:hAnsi="宋体" w:eastAsia="宋体" w:cs="宋体"/>
                <w:i w:val="0"/>
                <w:color w:val="000000"/>
                <w:sz w:val="22"/>
                <w:szCs w:val="22"/>
                <w:u w:val="none"/>
              </w:rPr>
            </w:pPr>
          </w:p>
        </w:tc>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D8A5F2">
            <w:pPr>
              <w:jc w:val="center"/>
              <w:rPr>
                <w:rFonts w:hint="eastAsia" w:ascii="宋体" w:hAnsi="宋体" w:eastAsia="宋体" w:cs="宋体"/>
                <w:i w:val="0"/>
                <w:color w:val="000000"/>
                <w:sz w:val="22"/>
                <w:szCs w:val="22"/>
                <w:u w:val="none"/>
              </w:rPr>
            </w:pPr>
          </w:p>
        </w:tc>
        <w:tc>
          <w:tcPr>
            <w:tcW w:w="776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661077">
            <w:pPr>
              <w:jc w:val="left"/>
              <w:rPr>
                <w:rFonts w:hint="eastAsia" w:ascii="宋体" w:hAnsi="宋体" w:eastAsia="宋体" w:cs="宋体"/>
                <w:i w:val="0"/>
                <w:color w:val="000000"/>
                <w:sz w:val="22"/>
                <w:szCs w:val="22"/>
                <w:u w:val="none"/>
              </w:rPr>
            </w:pPr>
          </w:p>
        </w:tc>
        <w:tc>
          <w:tcPr>
            <w:tcW w:w="4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0512D6">
            <w:pPr>
              <w:jc w:val="center"/>
              <w:rPr>
                <w:rFonts w:hint="eastAsia" w:ascii="宋体" w:hAnsi="宋体" w:eastAsia="宋体" w:cs="宋体"/>
                <w:i w:val="0"/>
                <w:color w:val="000000"/>
                <w:sz w:val="22"/>
                <w:szCs w:val="22"/>
                <w:u w:val="none"/>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FDE35C">
            <w:pPr>
              <w:jc w:val="center"/>
              <w:rPr>
                <w:rFonts w:hint="eastAsia" w:ascii="宋体" w:hAnsi="宋体" w:eastAsia="宋体" w:cs="宋体"/>
                <w:i w:val="0"/>
                <w:color w:val="000000"/>
                <w:sz w:val="22"/>
                <w:szCs w:val="22"/>
                <w:u w:val="none"/>
              </w:rPr>
            </w:pPr>
          </w:p>
        </w:tc>
        <w:tc>
          <w:tcPr>
            <w:tcW w:w="13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63CE4C">
            <w:pPr>
              <w:jc w:val="center"/>
              <w:rPr>
                <w:rFonts w:hint="eastAsia" w:ascii="宋体" w:hAnsi="宋体" w:eastAsia="宋体" w:cs="宋体"/>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5136F0">
            <w:pPr>
              <w:jc w:val="center"/>
              <w:rPr>
                <w:rFonts w:hint="eastAsia" w:ascii="宋体" w:hAnsi="宋体" w:eastAsia="宋体" w:cs="宋体"/>
                <w:i w:val="0"/>
                <w:color w:val="000000"/>
                <w:sz w:val="22"/>
                <w:szCs w:val="22"/>
                <w:u w:val="none"/>
              </w:rPr>
            </w:pPr>
          </w:p>
        </w:tc>
      </w:tr>
      <w:tr w14:paraId="2687E6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2"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12A6DA">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63E7FB">
            <w:pPr>
              <w:jc w:val="center"/>
              <w:rPr>
                <w:rFonts w:hint="eastAsia" w:ascii="宋体" w:hAnsi="宋体" w:eastAsia="宋体" w:cs="宋体"/>
                <w:i w:val="0"/>
                <w:color w:val="000000"/>
                <w:sz w:val="22"/>
                <w:szCs w:val="22"/>
                <w:u w:val="none"/>
              </w:rPr>
            </w:pPr>
          </w:p>
        </w:tc>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A861B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勤务综合管理模块</w:t>
            </w:r>
          </w:p>
        </w:tc>
        <w:tc>
          <w:tcPr>
            <w:tcW w:w="776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4BD950">
            <w:pPr>
              <w:keepNext w:val="0"/>
              <w:keepLines w:val="0"/>
              <w:widowControl/>
              <w:numPr>
                <w:ilvl w:val="0"/>
                <w:numId w:val="6"/>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系统可添加岗位</w:t>
            </w:r>
          </w:p>
          <w:p w14:paraId="5BB67220">
            <w:pPr>
              <w:keepNext w:val="0"/>
              <w:keepLines w:val="0"/>
              <w:widowControl/>
              <w:numPr>
                <w:ilvl w:val="0"/>
                <w:numId w:val="6"/>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支持对各岗位的不同业务功能，及日常工作中所产生的业务待办事项，按照岗位不同，产生不同的待办提示，并可通过提示直接进入相关应用界面进行直接处理。</w:t>
            </w:r>
          </w:p>
          <w:p w14:paraId="27808513">
            <w:pPr>
              <w:keepNext w:val="0"/>
              <w:keepLines w:val="0"/>
              <w:widowControl/>
              <w:numPr>
                <w:ilvl w:val="0"/>
                <w:numId w:val="6"/>
              </w:numPr>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支持岗位协同信息推送功能。各岗位间可发送岗位协同信息，提醒对应岗位处理。</w:t>
            </w:r>
          </w:p>
          <w:p w14:paraId="02A8C271">
            <w:pPr>
              <w:keepNext w:val="0"/>
              <w:keepLines w:val="0"/>
              <w:widowControl/>
              <w:numPr>
                <w:ilvl w:val="0"/>
                <w:numId w:val="6"/>
              </w:numPr>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不同岗位人员登录平台，可看到本用户的待办事项数量，可查询待办事项详细。5、督导督办：支持人工督导、智能督导、督导反馈、督导分析、通知通报、语音督导</w:t>
            </w:r>
          </w:p>
        </w:tc>
        <w:tc>
          <w:tcPr>
            <w:tcW w:w="4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E1885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91D4F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135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7BB364">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2BF12A">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1EC0DC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35"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F93774">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7F8496">
            <w:pPr>
              <w:jc w:val="center"/>
              <w:rPr>
                <w:rFonts w:hint="eastAsia" w:ascii="宋体" w:hAnsi="宋体" w:eastAsia="宋体" w:cs="宋体"/>
                <w:i w:val="0"/>
                <w:color w:val="000000"/>
                <w:sz w:val="22"/>
                <w:szCs w:val="22"/>
                <w:u w:val="none"/>
              </w:rPr>
            </w:pPr>
          </w:p>
        </w:tc>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959F09">
            <w:pPr>
              <w:jc w:val="center"/>
              <w:rPr>
                <w:rFonts w:hint="eastAsia" w:ascii="宋体" w:hAnsi="宋体" w:eastAsia="宋体" w:cs="宋体"/>
                <w:i w:val="0"/>
                <w:color w:val="000000"/>
                <w:sz w:val="22"/>
                <w:szCs w:val="22"/>
                <w:u w:val="none"/>
              </w:rPr>
            </w:pPr>
          </w:p>
        </w:tc>
        <w:tc>
          <w:tcPr>
            <w:tcW w:w="776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7F743E">
            <w:pPr>
              <w:jc w:val="left"/>
              <w:rPr>
                <w:rFonts w:hint="eastAsia" w:ascii="宋体" w:hAnsi="宋体" w:eastAsia="宋体" w:cs="宋体"/>
                <w:i w:val="0"/>
                <w:color w:val="000000"/>
                <w:sz w:val="22"/>
                <w:szCs w:val="22"/>
                <w:u w:val="none"/>
              </w:rPr>
            </w:pPr>
          </w:p>
        </w:tc>
        <w:tc>
          <w:tcPr>
            <w:tcW w:w="4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968123">
            <w:pPr>
              <w:jc w:val="center"/>
              <w:rPr>
                <w:rFonts w:hint="eastAsia" w:ascii="宋体" w:hAnsi="宋体" w:eastAsia="宋体" w:cs="宋体"/>
                <w:i w:val="0"/>
                <w:color w:val="000000"/>
                <w:sz w:val="22"/>
                <w:szCs w:val="22"/>
                <w:u w:val="none"/>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30956A">
            <w:pPr>
              <w:jc w:val="center"/>
              <w:rPr>
                <w:rFonts w:hint="eastAsia" w:ascii="宋体" w:hAnsi="宋体" w:eastAsia="宋体" w:cs="宋体"/>
                <w:i w:val="0"/>
                <w:color w:val="000000"/>
                <w:sz w:val="22"/>
                <w:szCs w:val="22"/>
                <w:u w:val="none"/>
              </w:rPr>
            </w:pPr>
          </w:p>
        </w:tc>
        <w:tc>
          <w:tcPr>
            <w:tcW w:w="13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6CAFBE">
            <w:pPr>
              <w:jc w:val="center"/>
              <w:rPr>
                <w:rFonts w:hint="eastAsia" w:ascii="宋体" w:hAnsi="宋体" w:eastAsia="宋体" w:cs="宋体"/>
                <w:i w:val="0"/>
                <w:color w:val="000000"/>
                <w:sz w:val="22"/>
                <w:szCs w:val="22"/>
                <w:u w:val="none"/>
              </w:rPr>
            </w:pPr>
          </w:p>
        </w:tc>
        <w:tc>
          <w:tcPr>
            <w:tcW w:w="15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133887">
            <w:pPr>
              <w:jc w:val="center"/>
              <w:rPr>
                <w:rFonts w:hint="eastAsia" w:ascii="宋体" w:hAnsi="宋体" w:eastAsia="宋体" w:cs="宋体"/>
                <w:i w:val="0"/>
                <w:color w:val="000000"/>
                <w:sz w:val="22"/>
                <w:szCs w:val="22"/>
                <w:u w:val="none"/>
              </w:rPr>
            </w:pPr>
          </w:p>
        </w:tc>
      </w:tr>
      <w:tr w14:paraId="587C48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7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B0FB57">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81B858">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93D99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应急指挥处置模块</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C356548">
            <w:pPr>
              <w:keepNext w:val="0"/>
              <w:keepLines w:val="0"/>
              <w:widowControl/>
              <w:numPr>
                <w:ilvl w:val="0"/>
                <w:numId w:val="7"/>
              </w:numPr>
              <w:suppressLineNumbers w:val="0"/>
              <w:jc w:val="left"/>
              <w:textAlignment w:val="bottom"/>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支持预案管理</w:t>
            </w:r>
          </w:p>
          <w:p w14:paraId="7B0F8B2E">
            <w:pPr>
              <w:keepNext w:val="0"/>
              <w:keepLines w:val="0"/>
              <w:widowControl/>
              <w:numPr>
                <w:ilvl w:val="0"/>
                <w:numId w:val="7"/>
              </w:numPr>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支持应急预案演练</w:t>
            </w:r>
          </w:p>
          <w:p w14:paraId="41C0472E">
            <w:pPr>
              <w:keepNext w:val="0"/>
              <w:keepLines w:val="0"/>
              <w:widowControl/>
              <w:numPr>
                <w:ilvl w:val="0"/>
                <w:numId w:val="7"/>
              </w:numPr>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支持应急预案启动</w:t>
            </w:r>
          </w:p>
          <w:p w14:paraId="28C2B0CB">
            <w:pPr>
              <w:keepNext w:val="0"/>
              <w:keepLines w:val="0"/>
              <w:widowControl/>
              <w:numPr>
                <w:ilvl w:val="0"/>
                <w:numId w:val="7"/>
              </w:numPr>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视频插件支持指挥处置六画面视频显示，并提供计时功能。</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5、支持一键调取监室相关联视频信息。</w:t>
            </w:r>
          </w:p>
          <w:p w14:paraId="64B83E34">
            <w:pPr>
              <w:keepNext w:val="0"/>
              <w:keepLines w:val="0"/>
              <w:widowControl/>
              <w:numPr>
                <w:ilvl w:val="0"/>
                <w:numId w:val="7"/>
              </w:numPr>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支持在启动应预案的同时，弹出应急处置的流程图。</w:t>
            </w:r>
          </w:p>
          <w:p w14:paraId="3E7CA7E3">
            <w:pPr>
              <w:keepNext w:val="0"/>
              <w:keepLines w:val="0"/>
              <w:widowControl/>
              <w:numPr>
                <w:ilvl w:val="0"/>
                <w:numId w:val="7"/>
              </w:numPr>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支持在报警事件发生后，系统根据不同的报警场景，弹出相应的报警提醒和预案提示，值班人员确认报警后，可以按照提示查看当前同步预案的步骤信息。</w:t>
            </w:r>
          </w:p>
          <w:p w14:paraId="11890294">
            <w:pPr>
              <w:keepNext w:val="0"/>
              <w:keepLines w:val="0"/>
              <w:widowControl/>
              <w:numPr>
                <w:ilvl w:val="0"/>
                <w:numId w:val="7"/>
              </w:numPr>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支持应急预案执行结束后，可填写应急预案执行情况。</w:t>
            </w:r>
          </w:p>
          <w:p w14:paraId="32C4B209">
            <w:pPr>
              <w:keepNext w:val="0"/>
              <w:keepLines w:val="0"/>
              <w:widowControl/>
              <w:numPr>
                <w:ilvl w:val="0"/>
                <w:numId w:val="7"/>
              </w:numPr>
              <w:suppressLineNumbers w:val="0"/>
              <w:jc w:val="left"/>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支持提供页面查询应急预案执行历史记录、详细信息、录像信息。</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F5DAB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941C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9ED498">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4C7A68">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00DB0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EA535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5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C87E2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监控联网设备</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72EA7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视频变码传输网关</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0E747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2U/8盘位，处理器：2颗Hygon 3350 8核16线程处理器，主频：3.0GHz，内存：32GB DDR4内存，共8个内存插槽，容量最高支持至512G ，标配2个千兆网卡 ，最大可扩展5个PCIE 3.0插槽 ，标配2个前置USB2.0接口，标配4个后置USB3.0接口，标配4T机械硬盘，支持3.5/2.5寸SATA硬盘，支持热插拔，功率：电源额定：550W。具备4路1080P音视频码流变码处理，限制码流大小以及根据带宽情况降低分辨率或动态调整等功能，并发上传视频路数不小于9路1080P视频，用于与其他第三方平台实现数据接入和业务功能整合；支持公安部颁布的GB/T 28181标准、符合 H.265视频编码技术、支持基于SIP标准规范的其他协议、支持定制第三方平台私有协议对接管理。支持500个下级平台注册；支持一键获取所有下级平台的目录资源。</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A8EFC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70B93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CB8597">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3887E0">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274AC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80" w:hRule="atLeast"/>
        </w:trPr>
        <w:tc>
          <w:tcPr>
            <w:tcW w:w="70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8D877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58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2D6FA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运维检测设备</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8C80D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运维管理服务器</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8AAA9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2U/8盘位，处理器：2颗Hygon 3350 8核16线程处理器，主频：3.0GHz，标配32GB内存；支持8盘位，标配4T机械硬盘系统盘*1，千兆网口*2；针对监控联网相关的核心设备，如平台服务器、前端摄像机、视频存储、网络状态等进行自动检测。配合视频诊断服务器实时监测图像质量，可对视频图像出现的未联网、无图像、黑屏、卡顿、重点部位监控未上传、电话号码错误、模糊、偏色、亮度异常等常见故障等异常现象进行自动诊断分析和报警提示，对标注错、电话号码错误异常现象进行自动诊断分析和报警提示，使系统维护人员快速了解异常情况</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F901E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CC3A5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AF1475">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128D01">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23DCB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62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919D06">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E3A9C5">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7E1C6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智能视频诊断主机</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1B8D4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采用国产化架构，算力：64T；最大分析路数：16路1080P；接入性能：16路标准H.264、H.265码流实时分析；网口：2个千兆自适应网口，支持聚合冗余、负载均衡、双IP工作模式，支持配置双网关；报警输出：4个；报警输入：16个；SATA 接口：4个、标配1块4T机械盘；电源：AC220V，50/60HZ；功率：350W。可对视频图像出现的未联网、无图像、黑屏、标注错、卡顿、重点部位监控未上传、电话号码错误、模糊、偏色、亮度异常等常见故障以及人为干扰等不法行为准确判断并发出报警信息，有效预防因图像质量问题导致的损失，兼容主流厂家的网络视频信号，可同时对16路网络视频进行诊断，也可对不同点位按时间模板进行分时轮巡检测。</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38174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48676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C0EE55">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30F0F4">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305F35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8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DE4936">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AC5369">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86864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目录动态维护服务器</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02FC3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2U/8盘位，处理器：2颗Hygon 3350 8核16线程处理器，主频：3.0GHz，内存：32GB DDR4内存，共8个内存插槽，容量最高支持至512G ，标配2个千兆网卡 ，最大可支持5个PCIE 3.0插槽，标配2个前置USB2.0接口，标配4个后置USB3.0接口 ，标配4T机械硬盘，支持3.5/2.5寸SATA硬盘，支持热插拔，功率：电源额定：550W。根据《全国公安JS监控联网白皮书》中各类型JS监控位置类型编码及说明，支持对下级单位监控标定分类上传，实现下级单位值班室或监控室电话对上级单位的上传申报；</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6654C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136EC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1341DA">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556B2A">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02D7E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35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10530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0B99B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督导会商终端</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CFF92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1、支持一路HDMI视频输入</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2、硬件设备需包含1个高清云台摄像头、1个360度全向麦克风、1个智能高清视频终端。支持1080P分辨率处理能力，用于音视频编解码、双流发送，音视频输入输出。</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支持对基层单位进行视频会商、远程会议、指挥调度、远程培训等要求</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要求中标单位在中标后7日内进行与上级业务指导部门视频会商系统对接测试，如无法对接，取消中标资格</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58477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751E3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E63A21">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4F49B6">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78E8F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62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DFA2C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67ECA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塔式工作站</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6A0F7A">
            <w:pPr>
              <w:keepNext w:val="0"/>
              <w:keepLines w:val="0"/>
              <w:widowControl/>
              <w:numPr>
                <w:ilvl w:val="0"/>
                <w:numId w:val="8"/>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处理器：1*飞腾D3000 CPU。 2、内存≥32G，DDR4/LPDDR4/LPDDR4X及以上。</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3、硬盘：1*SSD 512GB M.2 NVMe。4、含≥23.8寸显示器,有线键鼠</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5、显卡≥4G独立显卡，DDR3/DDR4/GDDR5/LPDDR4及以上,显存位宽&gt;64位</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6、标配 麒麟（ARM版）国产化操作系统，适配于ARM架构台式机电脑</w:t>
            </w:r>
          </w:p>
          <w:p w14:paraId="63F5265E">
            <w:pPr>
              <w:keepNext w:val="0"/>
              <w:keepLines w:val="0"/>
              <w:widowControl/>
              <w:numPr>
                <w:ilvl w:val="0"/>
                <w:numId w:val="0"/>
              </w:numPr>
              <w:suppressLineNumbers w:val="0"/>
              <w:jc w:val="left"/>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7、其他配件必须符合《工作站政府采购需求标准（2023年版）》</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E1DDB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ED5CF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305170">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CA8DEF">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0DDC55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021F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ED99D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证据存储服务器</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E59EC0">
            <w:pPr>
              <w:keepNext w:val="0"/>
              <w:keepLines w:val="0"/>
              <w:widowControl/>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4U/36盘位，前置24盘，后置12盘，存储性能：接入带宽1024Mbps，同时800Mbps转发（直存）</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支持NTP时间同步功能设置</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支持通过onvif、海康私有协议、大华私有协议接入前端设备</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标配2颗Hygon 3350，8核16线程处理器，主频3.0GHz</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标配16GB（2*8GB）DDR4 3200MHz，共8个内存插槽，整机容量最高支持扩容至512GB</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标配openEuler 22.03操作系统</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标配4个千兆以太网口（RJ45）</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标配1个独立BMC控制接口（RJ45）</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标配1个VGA接口</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标配1块128GB固态硬盘（SSD）作为系统盘（不占用硬盘槽位）</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支持2.5寸或3.5寸SATA协议企业级机械硬盘（HDD），支持2.5寸固态硬盘（SSD），支持硬盘热插拔</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标配2个前置USB2.0接口，标配4个后置USB3.0接口</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支持RAID0、1、3、5、6、10、50、60模式，支持区域热备、局部热备和全局热备</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基于全中文WEB GUI界面，RAID管理界面、中间件管理界面</w:t>
            </w:r>
          </w:p>
          <w:p w14:paraId="00FB9EBB">
            <w:pPr>
              <w:keepNext w:val="0"/>
              <w:keepLines w:val="0"/>
              <w:widowControl/>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其他配件必须符合《通用服务器政府采购需求标准（2023年版）》</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DB451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27EDE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74553C">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46F76F">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27017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32C1B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66490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6T企业级硬盘</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756DA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支持温度传感器；256MB缓存；平均故障间隔时间MTBF：2,000,000小时；转速：7200rpm；接口访问速度：6.0、 3.0、 1.5 Gb/秒；最高可持续传输率：226MB/秒；平均闲置功率6.2瓦；平均运行功率11.67瓦；电源+12V和+5V；运行时温度 5~60C</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3439B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FE777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块</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A78D92">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3402FA">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4CCA1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8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F12C4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1C215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数据对接服务器</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34F6E4">
            <w:pPr>
              <w:keepNext w:val="0"/>
              <w:keepLines w:val="0"/>
              <w:widowControl/>
              <w:numPr>
                <w:ilvl w:val="0"/>
                <w:numId w:val="9"/>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企业级高性能平台服务器，2U/8盘位，前置硬盘</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2、标配2颗Hygon 3350 8核16线程处理器，主频3.0GHz</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3、标配64GB（8*8GB）DDR4 3200MHz，共8个内存插槽，整机容量最高支持扩容至512GB；4、标配openEuler 22.03操作系统</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5、标配4个千兆以太网口（RJ45）；6、标配1个独立BMC控制接口（RJ45）</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7、标配1个VGA视频接口</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8、标配1块4T企业级硬盘作为系统盘使用（占用1个硬盘槽位）</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9、支持2.5寸或3.5寸SATA硬盘，支持热插拔</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10、标配4个PCIE 3.0插槽</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11、标配2个前置USB2.0接口，标配4个后置USB3.0接口</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12、标配1+1冗余电源，AC100V～AC240V，50Hz；13、电源额定：550W</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14、整机尺寸：88mm(高)×437.2mm(宽)×650mm(深)</w:t>
            </w:r>
          </w:p>
          <w:p w14:paraId="05F9747A">
            <w:pPr>
              <w:keepNext w:val="0"/>
              <w:keepLines w:val="0"/>
              <w:widowControl/>
              <w:numPr>
                <w:ilvl w:val="0"/>
                <w:numId w:val="9"/>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其他配件必须符合《通用服务器政府采购需求标准（2023年版）》</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B14FB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BF0D3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639382">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D7A450">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6C7D6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29BC8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57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D503F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国产化数据库</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14C294">
            <w:pPr>
              <w:keepNext w:val="0"/>
              <w:keepLines w:val="0"/>
              <w:widowControl/>
              <w:suppressLineNumbers w:val="0"/>
              <w:jc w:val="lef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符合数据库政府采购需求标准（2023年版），具有对接上级数据库和适配平台能力。同时，数据库应采用全新主流的体系架构，在保证大型通用的基础上，针对可靠性、高性能、海量数据处理和安全性成熟，充分的研发和改进，数据库产品具备业内顶尖的性能、可靠性、可扩展性，能同时兼顾OLTP和OLAP的请求。</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B52BF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F72BDE">
            <w:pPr>
              <w:keepNext w:val="0"/>
              <w:keepLines w:val="0"/>
              <w:widowControl/>
              <w:suppressLineNumbers w:val="0"/>
              <w:jc w:val="center"/>
              <w:textAlignment w:val="center"/>
              <w:rPr>
                <w:rFonts w:ascii="微软雅黑" w:hAnsi="微软雅黑" w:eastAsia="微软雅黑" w:cs="微软雅黑"/>
                <w:i w:val="0"/>
                <w:color w:val="000000"/>
                <w:sz w:val="20"/>
                <w:szCs w:val="20"/>
                <w:u w:val="none"/>
              </w:rPr>
            </w:pPr>
            <w:r>
              <w:rPr>
                <w:rFonts w:hint="eastAsia" w:ascii="微软雅黑" w:hAnsi="微软雅黑" w:eastAsia="微软雅黑" w:cs="微软雅黑"/>
                <w:i w:val="0"/>
                <w:color w:val="000000"/>
                <w:kern w:val="0"/>
                <w:sz w:val="20"/>
                <w:szCs w:val="20"/>
                <w:u w:val="none"/>
                <w:lang w:val="en-US" w:eastAsia="zh-CN" w:bidi="ar"/>
              </w:rPr>
              <w:t>套</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E9147D">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22B4B3">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0D15BE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trPr>
        <w:tc>
          <w:tcPr>
            <w:tcW w:w="70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345D1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58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0BF1F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显示设备</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E2DD5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49寸3.5mm拼缝LCD拼接显示单元</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6EB8C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1、49寸面板，双边拼缝3.5mm;</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2、接口：VGA输入X1、DVI输入X1、HDMI输入X1、CVBS（BNC接口）输入X1、USBX1;可视角度（水平/垂直）178/1、</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3、背光源：LED。4、亮度（标准值）：500cd/㎡。</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5、对比度：4000:1；6、色彩：1.07B。</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7、可视角度：178/178；8、响应时间≤8ms。</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9、运行温度 0℃～50℃（工作温度），-20℃～65℃(存储温度)。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10、湿度 20-90%（工作湿度），20-90%（存储湿度）</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5EDCE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ADDD5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块</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E53F55">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18884C">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445A3D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8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0C0096">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A4ACE2">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070AC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解码器</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D8C1E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持2台级联使用，级联后最高96路高清视频解码输出支持H.264/265等编码格式支持H.265、H.264的Baseline/Main/High-profile编码级别支持16个系统预案及快速调取音频解码支持G.711A、G.711U、AAC、ADPCM音频格式的解码整机解码能力：96路8MP/ 96路6MP/ 144路5MP/ 192路4MP/ 240路3MP/ 384路1080P/ 512路720P/ 512路4CIF 整机最高解码通道路数512路支持语音对讲支持解码性能自由划分支持拼接、开窗、叠加、漫游、跨屏等功能，含24路解码输出，4路编码输入</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25DDE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478D2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791151">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15A3B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r>
      <w:tr w14:paraId="75B74D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057311">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C0233D">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D7072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支架</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2EF23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屏体框架</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38FBC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C669A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批</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2BBA6D">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CD53F3">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05528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trPr>
        <w:tc>
          <w:tcPr>
            <w:tcW w:w="70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A0D8E0">
            <w:pPr>
              <w:jc w:val="center"/>
              <w:rPr>
                <w:rFonts w:hint="eastAsia" w:ascii="宋体" w:hAnsi="宋体" w:eastAsia="宋体" w:cs="宋体"/>
                <w:i w:val="0"/>
                <w:color w:val="000000"/>
                <w:sz w:val="22"/>
                <w:szCs w:val="22"/>
                <w:u w:val="none"/>
              </w:rPr>
            </w:pPr>
          </w:p>
        </w:tc>
        <w:tc>
          <w:tcPr>
            <w:tcW w:w="58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C1C749">
            <w:pPr>
              <w:jc w:val="center"/>
              <w:rPr>
                <w:rFonts w:hint="eastAsia" w:ascii="宋体" w:hAnsi="宋体" w:eastAsia="宋体" w:cs="宋体"/>
                <w:i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164A5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空调</w:t>
            </w:r>
          </w:p>
        </w:tc>
        <w:tc>
          <w:tcPr>
            <w:tcW w:w="77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0AF16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正1.5P空调</w:t>
            </w:r>
          </w:p>
        </w:tc>
        <w:tc>
          <w:tcPr>
            <w:tcW w:w="4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7298B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4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44331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13C7DC">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3718FD">
            <w:pPr>
              <w:keepNext w:val="0"/>
              <w:keepLines w:val="0"/>
              <w:widowControl/>
              <w:suppressLineNumbers w:val="0"/>
              <w:jc w:val="center"/>
              <w:textAlignment w:val="center"/>
              <w:rPr>
                <w:rFonts w:hint="eastAsia" w:ascii="宋体" w:hAnsi="宋体" w:eastAsia="宋体" w:cs="宋体"/>
                <w:i w:val="0"/>
                <w:color w:val="000000"/>
                <w:sz w:val="22"/>
                <w:szCs w:val="22"/>
                <w:u w:val="none"/>
              </w:rPr>
            </w:pPr>
          </w:p>
        </w:tc>
      </w:tr>
      <w:tr w14:paraId="78E9B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trPr>
        <w:tc>
          <w:tcPr>
            <w:tcW w:w="13890" w:type="dxa"/>
            <w:gridSpan w:val="8"/>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79871">
            <w:pPr>
              <w:keepNext w:val="0"/>
              <w:keepLines w:val="0"/>
              <w:widowControl/>
              <w:suppressLineNumbers w:val="0"/>
              <w:jc w:val="left"/>
              <w:textAlignment w:val="center"/>
              <w:rPr>
                <w:rFonts w:hint="eastAsia" w:ascii="宋体" w:hAnsi="宋体" w:eastAsia="宋体" w:cs="宋体"/>
                <w:i w:val="0"/>
                <w:color w:val="C00000"/>
                <w:sz w:val="22"/>
                <w:szCs w:val="22"/>
                <w:u w:val="none"/>
                <w:lang w:eastAsia="zh-CN"/>
              </w:rPr>
            </w:pPr>
            <w:r>
              <w:rPr>
                <w:rFonts w:hint="eastAsia" w:ascii="宋体" w:hAnsi="宋体" w:eastAsia="宋体" w:cs="宋体"/>
                <w:i w:val="0"/>
                <w:color w:val="C00000"/>
                <w:sz w:val="22"/>
                <w:szCs w:val="22"/>
                <w:u w:val="none"/>
                <w:lang w:eastAsia="zh-CN"/>
              </w:rPr>
              <w:t>特别说明：</w:t>
            </w:r>
          </w:p>
          <w:p w14:paraId="5B57BE83">
            <w:pPr>
              <w:keepNext w:val="0"/>
              <w:keepLines w:val="0"/>
              <w:widowControl/>
              <w:numPr>
                <w:numId w:val="0"/>
              </w:numPr>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sz w:val="22"/>
                <w:szCs w:val="22"/>
                <w:u w:val="none"/>
                <w:lang w:val="en-US" w:eastAsia="zh-CN"/>
              </w:rPr>
              <w:t>1、</w:t>
            </w:r>
            <w:r>
              <w:rPr>
                <w:rFonts w:hint="eastAsia" w:ascii="宋体" w:hAnsi="宋体" w:eastAsia="宋体" w:cs="宋体"/>
                <w:i w:val="0"/>
                <w:color w:val="000000"/>
                <w:sz w:val="22"/>
                <w:szCs w:val="22"/>
                <w:u w:val="none"/>
                <w:lang w:eastAsia="zh-CN"/>
              </w:rPr>
              <w:t>所有设备安装产生的辅材（</w:t>
            </w:r>
            <w:r>
              <w:rPr>
                <w:rFonts w:hint="eastAsia" w:ascii="宋体" w:hAnsi="宋体" w:eastAsia="宋体" w:cs="宋体"/>
                <w:i w:val="0"/>
                <w:color w:val="000000"/>
                <w:kern w:val="0"/>
                <w:sz w:val="22"/>
                <w:szCs w:val="22"/>
                <w:u w:val="none"/>
                <w:lang w:val="en-US" w:eastAsia="zh-CN" w:bidi="ar"/>
              </w:rPr>
              <w:t>含现场使用的所有高清线、网线及辅材等</w:t>
            </w:r>
            <w:r>
              <w:rPr>
                <w:rFonts w:hint="eastAsia" w:ascii="宋体" w:hAnsi="宋体" w:eastAsia="宋体" w:cs="宋体"/>
                <w:i w:val="0"/>
                <w:color w:val="000000"/>
                <w:sz w:val="22"/>
                <w:szCs w:val="22"/>
                <w:u w:val="none"/>
                <w:lang w:eastAsia="zh-CN"/>
              </w:rPr>
              <w:t>）以及原</w:t>
            </w:r>
            <w:r>
              <w:rPr>
                <w:rFonts w:hint="eastAsia" w:ascii="宋体" w:hAnsi="宋体" w:eastAsia="宋体" w:cs="宋体"/>
                <w:i w:val="0"/>
                <w:color w:val="000000"/>
                <w:sz w:val="22"/>
                <w:szCs w:val="22"/>
                <w:u w:val="none"/>
                <w:lang w:val="en-US" w:eastAsia="zh-CN"/>
              </w:rPr>
              <w:t>LED屏幕拆除装新、原墙面的</w:t>
            </w:r>
            <w:r>
              <w:rPr>
                <w:rFonts w:hint="eastAsia" w:ascii="宋体" w:hAnsi="宋体" w:eastAsia="宋体" w:cs="宋体"/>
                <w:i w:val="0"/>
                <w:color w:val="000000"/>
                <w:kern w:val="0"/>
                <w:sz w:val="22"/>
                <w:szCs w:val="22"/>
                <w:u w:val="none"/>
                <w:lang w:val="en-US" w:eastAsia="zh-CN" w:bidi="ar"/>
              </w:rPr>
              <w:t>吸音板、隐形门等进行二次改造均包含在报价范围内，确保新装屏幕在安装后保持统一。报价含货物本身费用、运费、装卸费、安装调试费、税费等，采购人不再支付其他任何费用。</w:t>
            </w:r>
          </w:p>
          <w:p w14:paraId="005C88B9">
            <w:pPr>
              <w:keepNext w:val="0"/>
              <w:keepLines w:val="0"/>
              <w:widowControl/>
              <w:numPr>
                <w:numId w:val="0"/>
              </w:numPr>
              <w:suppressLineNumbers w:val="0"/>
              <w:jc w:val="left"/>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2、涉及通用服务器、数据库、工作站的设备参数需求，除采购人表述的需求外，同时满足2023年版通用服务器、数据库、工作站的政府采购需求标准。</w:t>
            </w:r>
          </w:p>
          <w:p w14:paraId="0B5F1029">
            <w:pPr>
              <w:keepNext w:val="0"/>
              <w:keepLines w:val="0"/>
              <w:widowControl/>
              <w:suppressLineNumbers w:val="0"/>
              <w:jc w:val="left"/>
              <w:textAlignment w:val="center"/>
              <w:rPr>
                <w:rFonts w:hint="eastAsia" w:ascii="宋体" w:hAnsi="宋体" w:eastAsia="宋体" w:cs="宋体"/>
                <w:i w:val="0"/>
                <w:color w:val="000000"/>
                <w:kern w:val="0"/>
                <w:sz w:val="22"/>
                <w:szCs w:val="22"/>
                <w:u w:val="none"/>
                <w:lang w:val="en-US" w:eastAsia="zh-CN" w:bidi="ar"/>
              </w:rPr>
            </w:pPr>
          </w:p>
          <w:p w14:paraId="3793BC1D">
            <w:pPr>
              <w:keepNext w:val="0"/>
              <w:keepLines w:val="0"/>
              <w:widowControl/>
              <w:suppressLineNumbers w:val="0"/>
              <w:jc w:val="left"/>
              <w:textAlignment w:val="center"/>
              <w:rPr>
                <w:rFonts w:hint="eastAsia" w:ascii="宋体" w:hAnsi="宋体" w:eastAsia="宋体" w:cs="宋体"/>
                <w:i w:val="0"/>
                <w:color w:val="000000"/>
                <w:kern w:val="0"/>
                <w:sz w:val="22"/>
                <w:szCs w:val="22"/>
                <w:u w:val="none"/>
                <w:lang w:val="en-US" w:eastAsia="zh-CN" w:bidi="ar"/>
              </w:rPr>
            </w:pPr>
          </w:p>
          <w:p w14:paraId="0EB55187">
            <w:pPr>
              <w:keepNext w:val="0"/>
              <w:keepLines w:val="0"/>
              <w:widowControl/>
              <w:suppressLineNumbers w:val="0"/>
              <w:jc w:val="left"/>
              <w:textAlignment w:val="center"/>
              <w:rPr>
                <w:rFonts w:hint="default" w:ascii="宋体" w:hAnsi="宋体" w:eastAsia="宋体" w:cs="宋体"/>
                <w:i w:val="0"/>
                <w:color w:val="000000"/>
                <w:kern w:val="0"/>
                <w:sz w:val="22"/>
                <w:szCs w:val="22"/>
                <w:u w:val="none"/>
                <w:lang w:val="en-US" w:eastAsia="zh-CN" w:bidi="ar"/>
              </w:rPr>
            </w:pPr>
          </w:p>
        </w:tc>
      </w:tr>
    </w:tbl>
    <w:p w14:paraId="3A4B9158"/>
    <w:sectPr>
      <w:pgSz w:w="16838" w:h="11906" w:orient="landscape"/>
      <w:pgMar w:top="1800" w:right="1417" w:bottom="141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8DBAB"/>
    <w:multiLevelType w:val="singleLevel"/>
    <w:tmpl w:val="9B68DBAB"/>
    <w:lvl w:ilvl="0" w:tentative="0">
      <w:start w:val="11"/>
      <w:numFmt w:val="decimal"/>
      <w:suff w:val="nothing"/>
      <w:lvlText w:val="%1、"/>
      <w:lvlJc w:val="left"/>
    </w:lvl>
  </w:abstractNum>
  <w:abstractNum w:abstractNumId="1">
    <w:nsid w:val="A01CEA58"/>
    <w:multiLevelType w:val="singleLevel"/>
    <w:tmpl w:val="A01CEA58"/>
    <w:lvl w:ilvl="0" w:tentative="0">
      <w:start w:val="8"/>
      <w:numFmt w:val="decimal"/>
      <w:suff w:val="nothing"/>
      <w:lvlText w:val="%1、"/>
      <w:lvlJc w:val="left"/>
    </w:lvl>
  </w:abstractNum>
  <w:abstractNum w:abstractNumId="2">
    <w:nsid w:val="C49E1D5E"/>
    <w:multiLevelType w:val="singleLevel"/>
    <w:tmpl w:val="C49E1D5E"/>
    <w:lvl w:ilvl="0" w:tentative="0">
      <w:start w:val="1"/>
      <w:numFmt w:val="decimal"/>
      <w:suff w:val="nothing"/>
      <w:lvlText w:val="%1、"/>
      <w:lvlJc w:val="left"/>
    </w:lvl>
  </w:abstractNum>
  <w:abstractNum w:abstractNumId="3">
    <w:nsid w:val="09B64805"/>
    <w:multiLevelType w:val="singleLevel"/>
    <w:tmpl w:val="09B64805"/>
    <w:lvl w:ilvl="0" w:tentative="0">
      <w:start w:val="1"/>
      <w:numFmt w:val="decimal"/>
      <w:suff w:val="nothing"/>
      <w:lvlText w:val="%1、"/>
      <w:lvlJc w:val="left"/>
    </w:lvl>
  </w:abstractNum>
  <w:abstractNum w:abstractNumId="4">
    <w:nsid w:val="18B54BBF"/>
    <w:multiLevelType w:val="singleLevel"/>
    <w:tmpl w:val="18B54BBF"/>
    <w:lvl w:ilvl="0" w:tentative="0">
      <w:start w:val="1"/>
      <w:numFmt w:val="decimal"/>
      <w:suff w:val="nothing"/>
      <w:lvlText w:val="%1、"/>
      <w:lvlJc w:val="left"/>
    </w:lvl>
  </w:abstractNum>
  <w:abstractNum w:abstractNumId="5">
    <w:nsid w:val="2C46A869"/>
    <w:multiLevelType w:val="singleLevel"/>
    <w:tmpl w:val="2C46A869"/>
    <w:lvl w:ilvl="0" w:tentative="0">
      <w:start w:val="1"/>
      <w:numFmt w:val="decimal"/>
      <w:suff w:val="nothing"/>
      <w:lvlText w:val="%1、"/>
      <w:lvlJc w:val="left"/>
    </w:lvl>
  </w:abstractNum>
  <w:abstractNum w:abstractNumId="6">
    <w:nsid w:val="2E15634B"/>
    <w:multiLevelType w:val="singleLevel"/>
    <w:tmpl w:val="2E15634B"/>
    <w:lvl w:ilvl="0" w:tentative="0">
      <w:start w:val="1"/>
      <w:numFmt w:val="decimal"/>
      <w:suff w:val="nothing"/>
      <w:lvlText w:val="%1、"/>
      <w:lvlJc w:val="left"/>
    </w:lvl>
  </w:abstractNum>
  <w:abstractNum w:abstractNumId="7">
    <w:nsid w:val="48BEC426"/>
    <w:multiLevelType w:val="singleLevel"/>
    <w:tmpl w:val="48BEC426"/>
    <w:lvl w:ilvl="0" w:tentative="0">
      <w:start w:val="1"/>
      <w:numFmt w:val="decimal"/>
      <w:suff w:val="nothing"/>
      <w:lvlText w:val="%1、"/>
      <w:lvlJc w:val="left"/>
    </w:lvl>
  </w:abstractNum>
  <w:abstractNum w:abstractNumId="8">
    <w:nsid w:val="6771504F"/>
    <w:multiLevelType w:val="singleLevel"/>
    <w:tmpl w:val="6771504F"/>
    <w:lvl w:ilvl="0" w:tentative="0">
      <w:start w:val="1"/>
      <w:numFmt w:val="decimal"/>
      <w:suff w:val="nothing"/>
      <w:lvlText w:val="%1、"/>
      <w:lvlJc w:val="left"/>
    </w:lvl>
  </w:abstractNum>
  <w:num w:numId="1">
    <w:abstractNumId w:val="5"/>
  </w:num>
  <w:num w:numId="2">
    <w:abstractNumId w:val="2"/>
  </w:num>
  <w:num w:numId="3">
    <w:abstractNumId w:val="1"/>
  </w:num>
  <w:num w:numId="4">
    <w:abstractNumId w:val="4"/>
  </w:num>
  <w:num w:numId="5">
    <w:abstractNumId w:val="0"/>
  </w:num>
  <w:num w:numId="6">
    <w:abstractNumId w:val="6"/>
  </w:num>
  <w:num w:numId="7">
    <w:abstractNumId w:val="8"/>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B42042"/>
    <w:rsid w:val="0A0C341E"/>
    <w:rsid w:val="0A6400D2"/>
    <w:rsid w:val="21D06E49"/>
    <w:rsid w:val="273368FE"/>
    <w:rsid w:val="29E4176D"/>
    <w:rsid w:val="29EA4667"/>
    <w:rsid w:val="308E1C81"/>
    <w:rsid w:val="32E5724E"/>
    <w:rsid w:val="355041BD"/>
    <w:rsid w:val="35E10B5F"/>
    <w:rsid w:val="3A1467A8"/>
    <w:rsid w:val="3BAF3B87"/>
    <w:rsid w:val="3D4B3FCA"/>
    <w:rsid w:val="3E012496"/>
    <w:rsid w:val="415766D6"/>
    <w:rsid w:val="46814DC8"/>
    <w:rsid w:val="469D57FB"/>
    <w:rsid w:val="495B6096"/>
    <w:rsid w:val="49A64BCC"/>
    <w:rsid w:val="4E93614C"/>
    <w:rsid w:val="51EB7AA6"/>
    <w:rsid w:val="560F72FF"/>
    <w:rsid w:val="567B2B20"/>
    <w:rsid w:val="5C7A24F7"/>
    <w:rsid w:val="639E68EE"/>
    <w:rsid w:val="64244BD7"/>
    <w:rsid w:val="65440766"/>
    <w:rsid w:val="6D9968C8"/>
    <w:rsid w:val="6DCC7B1B"/>
    <w:rsid w:val="6FC20C45"/>
    <w:rsid w:val="718C1A9B"/>
    <w:rsid w:val="72676064"/>
    <w:rsid w:val="75644ADD"/>
    <w:rsid w:val="775F7E5D"/>
    <w:rsid w:val="7B37342B"/>
    <w:rsid w:val="7CE309DD"/>
    <w:rsid w:val="7D2958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5257</Words>
  <Characters>6087</Characters>
  <Lines>0</Lines>
  <Paragraphs>0</Paragraphs>
  <TotalTime>24</TotalTime>
  <ScaleCrop>false</ScaleCrop>
  <LinksUpToDate>false</LinksUpToDate>
  <CharactersWithSpaces>6141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2025-02-26T04:19:00Z</dcterms:created>
  <dc:creator>Administrator</dc:creator>
  <cp:lastModifiedBy>Administrator</cp:lastModifiedBy>
  <dcterms:modified xsi:type="dcterms:W3CDTF">2025-04-07T09:01:34Z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eyJoZGlkIjoiYzRhM2EwNzI2NDgxMzZlOGZjYWYyY2JmMjJiZDJkMDkifQ==</vt:lpwstr>
  </property>
  <property fmtid="{D5CDD505-2E9C-101B-9397-08002B2CF9AE}" pid="4" name="ICV">
    <vt:lpwstr>9BEEB0178AE24C708AF0E06A8F35ED3B_12</vt:lpwstr>
  </property>
</Properties>
</file>