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hint="eastAsia" w:ascii="仿宋_GB2312" w:hAnsi="华文仿宋" w:eastAsia="仿宋_GB2312" w:cs="华文仿宋"/>
          <w:b/>
          <w:bCs w:val="0"/>
          <w:color w:val="000000"/>
          <w:sz w:val="32"/>
          <w:szCs w:val="32"/>
          <w:lang w:val="en-US" w:eastAsia="zh-CN"/>
        </w:rPr>
      </w:pPr>
      <w:r>
        <w:rPr>
          <w:rFonts w:hint="eastAsia" w:ascii="仿宋_GB2312" w:hAnsi="华文仿宋" w:eastAsia="仿宋_GB2312" w:cs="华文仿宋"/>
          <w:b/>
          <w:bCs w:val="0"/>
          <w:color w:val="000000"/>
          <w:sz w:val="32"/>
          <w:szCs w:val="32"/>
          <w:lang w:val="en-US" w:eastAsia="zh-CN"/>
        </w:rPr>
        <w:t>吐鲁番市中等职业技术学校电梯维护保养项目</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一、采购需求：</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1、例行维保工作。按照《特种设备安全法》、《特种设备安全监察条例》《电梯维护保养规则》和电梯安全监督管理规定，中标单位派出维保专业人员对上述设备提供不少于每15天1次的例行保养工作，其中包括对设备机件的安全及功能清洁、调整、检查及润滑。</w:t>
      </w:r>
      <w:bookmarkStart w:id="0" w:name="_GoBack"/>
      <w:bookmarkEnd w:id="0"/>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2、配件更换服务。在电梯保养期，中标单位负责提供价值300元以下的配件更换服务。提供保养免收人工费，维修保养中单品更换零部件，单价在300元及以下的由中标单位免费更换，超过300元的采购单位签字确认后由采购单位承担，其中包括对设备机件的安全及功能清洁、调整、检查及润滑,润滑油、润滑脂由中标单位免费提供。</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3、定期保养加油及调整下列各项设备：</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A、机房内曳引机、电动机、控制柜及限速器等。</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B、轿顶上的一切安全装置。</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C、井道内导轨、对重、缓冲器、保险装置、极限开关及有关安全装置。</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4、导轨适度润滑。</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5、检查及平衡曳引钢丝绳涨力。</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6、定期检修限速器安全钳及各项安全装置，每年作一次安全测试。</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7、当电梯发生故障时或接到危及人身安全事故，接到通知后派遣急修人员10分钟-60分钟内 到达现场，作紧急处置修理。</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8、配合技术监督部门实施年度检验及保险业务。</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9、每年进行一次综合性的运行安全和运行质量的检查，并在检测结束时向甲方提交检测报告。 每年要进行两次电梯故障应急演练。</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10、提供全套特种设备的安全管理制度。</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11、电梯年检提前一月书面形式告知甲方电梯所存在的问题及解决办法。</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12、甲方根据考核细则对乙方维保工作进行考核。</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 xml:space="preserve">13、乙方维保时间为一年，在维保到期时必须与新入场维保单位完成好交接方可离场。 </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14、配合校方的要求，对电梯的管理与运行情况及时进行调整。</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15、负责电梯巡查和维修管理，做好院内各项维保记录。</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16、电梯保险（包含保险费）。</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17、电梯限速器校验（包含校验费）。</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18、电梯承重调解（包含电梯年检相关砝码及租赁费）。</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19、协助用户与当地质量技术监督局特种设备质量安全检测所配合进行每年一次的安全年检（含年检费），协助用户向当地质量技术监督局办理电梯安全年检手续并提供电梯定期检验报告。</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20、负责按要求完善电梯安全管理方面材料。</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21、开展电梯使用安全知识培训并做好记录。</w:t>
      </w:r>
    </w:p>
    <w:p>
      <w:pPr>
        <w:spacing w:line="380" w:lineRule="exact"/>
        <w:ind w:firstLine="643" w:firstLineChars="200"/>
        <w:rPr>
          <w:rFonts w:hint="eastAsia" w:ascii="仿宋_GB2312" w:hAnsi="华文仿宋" w:eastAsia="仿宋_GB2312" w:cs="华文仿宋"/>
          <w:b/>
          <w:bCs w:val="0"/>
          <w:color w:val="000000"/>
          <w:sz w:val="32"/>
          <w:szCs w:val="32"/>
          <w:lang w:val="en-US" w:eastAsia="zh-CN"/>
        </w:rPr>
      </w:pPr>
      <w:r>
        <w:rPr>
          <w:rFonts w:hint="eastAsia" w:ascii="仿宋_GB2312" w:hAnsi="华文仿宋" w:eastAsia="仿宋_GB2312" w:cs="华文仿宋"/>
          <w:b/>
          <w:bCs w:val="0"/>
          <w:color w:val="000000"/>
          <w:sz w:val="32"/>
          <w:szCs w:val="32"/>
          <w:lang w:val="en-US" w:eastAsia="zh-CN"/>
        </w:rPr>
        <w:t>二、投标报价人的资质要求：</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1、符合《中华人民共和国政府采购法》第二十二条的规定,且具备独立法人资格。</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2、本项目不接受联合体投标。</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r>
        <w:rPr>
          <w:rFonts w:hint="eastAsia" w:ascii="仿宋_GB2312" w:hAnsi="华文仿宋" w:eastAsia="仿宋_GB2312" w:cs="华文仿宋"/>
          <w:b w:val="0"/>
          <w:bCs/>
          <w:color w:val="000000"/>
          <w:sz w:val="32"/>
          <w:szCs w:val="32"/>
          <w:lang w:val="en-US" w:eastAsia="zh-CN"/>
        </w:rPr>
        <w:t>3、投标人为“信用中国”（www.creditchina.gov.cn）和中国政府采购网（www.ccgp.gov.cn）网站上未被列入失信被执行人、重大税收违法案件当事人名单以及政府采购严重违法失信行为记录名单，根据财库（2016）125号《财政部关于在政府采购活动中查询及使用信用记录有关问题的通知》的规定，对列入失信被执行人、重大税收违法案件当事人名单、政府采购严重违法失信行为记录名单的投标单位，拒绝参与本次采购活动。</w:t>
      </w:r>
    </w:p>
    <w:p>
      <w:pPr>
        <w:spacing w:line="380" w:lineRule="exact"/>
        <w:ind w:firstLine="640" w:firstLineChars="200"/>
        <w:rPr>
          <w:rFonts w:hint="eastAsia" w:ascii="仿宋_GB2312" w:hAnsi="华文仿宋" w:eastAsia="仿宋_GB2312" w:cs="华文仿宋"/>
          <w:b w:val="0"/>
          <w:bCs/>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Mzg1M2MyYzJmYzA0MDU1NGJhMDdkMmE1YzMzMDgifQ=="/>
  </w:docVars>
  <w:rsids>
    <w:rsidRoot w:val="00000000"/>
    <w:rsid w:val="01525185"/>
    <w:rsid w:val="294E705B"/>
    <w:rsid w:val="37B24EE4"/>
    <w:rsid w:val="5371254A"/>
    <w:rsid w:val="57044B1F"/>
    <w:rsid w:val="58FF53CC"/>
    <w:rsid w:val="695B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color w:val="0000FF"/>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2024-03-26T03:54:00Z</dcterms:created>
  <dc:creator>Administrator</dc:creator>
  <cp:lastModifiedBy>Administrator</cp:lastModifiedBy>
  <dcterms:modified xsi:type="dcterms:W3CDTF">2024-03-28T10:46:39Z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968C2FB7746A4C76B37646D6DCA74FCF_13</vt:lpwstr>
  </property>
</Properties>
</file>