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6C33373">
      <w:pPr>
        <w:spacing w:before="85" w:line="221" w:lineRule="auto"/>
        <w:ind w:left="193"/>
        <w:rPr>
          <w:rFonts w:ascii="宋体" w:hAnsi="宋体" w:eastAsia="宋体" w:cs="宋体"/>
          <w:sz w:val="43"/>
          <w:szCs w:val="43"/>
        </w:rPr>
      </w:pPr>
      <w:r>
        <w:rPr>
          <w:rFonts w:ascii="宋体" w:hAnsi="宋体" w:eastAsia="宋体" w:cs="宋体"/>
          <w:b/>
          <w:bCs/>
          <w:spacing w:val="5"/>
          <w:sz w:val="43"/>
          <w:szCs w:val="43"/>
        </w:rPr>
        <w:t>新疆</w:t>
      </w:r>
      <w:r>
        <w:rPr>
          <w:rFonts w:hint="eastAsia" w:ascii="宋体" w:hAnsi="宋体" w:eastAsia="宋体" w:cs="宋体"/>
          <w:b/>
          <w:bCs/>
          <w:spacing w:val="5"/>
          <w:sz w:val="43"/>
          <w:szCs w:val="43"/>
          <w:lang w:val="en-US" w:eastAsia="zh-CN"/>
        </w:rPr>
        <w:t>鄯善县</w:t>
      </w:r>
      <w:r>
        <w:rPr>
          <w:rFonts w:ascii="宋体" w:hAnsi="宋体" w:eastAsia="宋体" w:cs="宋体"/>
          <w:b/>
          <w:bCs/>
          <w:spacing w:val="5"/>
          <w:sz w:val="43"/>
          <w:szCs w:val="43"/>
        </w:rPr>
        <w:t>人民医院医</w:t>
      </w:r>
      <w:bookmarkStart w:id="0" w:name="_GoBack"/>
      <w:bookmarkEnd w:id="0"/>
      <w:r>
        <w:rPr>
          <w:rFonts w:ascii="宋体" w:hAnsi="宋体" w:eastAsia="宋体" w:cs="宋体"/>
          <w:b/>
          <w:bCs/>
          <w:spacing w:val="5"/>
          <w:sz w:val="43"/>
          <w:szCs w:val="43"/>
        </w:rPr>
        <w:t>保基金监管服务</w:t>
      </w:r>
    </w:p>
    <w:p w14:paraId="77FDEE97">
      <w:pPr>
        <w:spacing w:before="46" w:line="220" w:lineRule="auto"/>
        <w:ind w:left="3051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ascii="宋体" w:hAnsi="宋体" w:eastAsia="宋体" w:cs="宋体"/>
          <w:b/>
          <w:bCs/>
          <w:spacing w:val="4"/>
          <w:sz w:val="43"/>
          <w:szCs w:val="43"/>
        </w:rPr>
        <w:t>项目采购需求</w:t>
      </w:r>
    </w:p>
    <w:p w14:paraId="776588F1">
      <w:pPr>
        <w:spacing w:line="303" w:lineRule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</w:p>
    <w:p w14:paraId="1C631730">
      <w:pPr>
        <w:spacing w:line="303" w:lineRule="auto"/>
        <w:rPr>
          <w:rFonts w:ascii="Arial"/>
          <w:sz w:val="21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为进一步加强医疗保障基金规范、合理、安全使用。通过购买第三方服务，协助我院开展医保基金监管和自查自纠工作，需求如下：</w:t>
      </w:r>
    </w:p>
    <w:p w14:paraId="1607EDF0">
      <w:pPr>
        <w:spacing w:before="100" w:line="227" w:lineRule="auto"/>
        <w:ind w:left="647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8"/>
          <w:sz w:val="31"/>
          <w:szCs w:val="31"/>
        </w:rPr>
        <w:t>一、供应商资格要求</w:t>
      </w:r>
    </w:p>
    <w:p w14:paraId="6D14B9AB">
      <w:pPr>
        <w:pStyle w:val="2"/>
        <w:spacing w:before="178" w:line="277" w:lineRule="auto"/>
        <w:ind w:left="1" w:right="30" w:firstLine="665"/>
      </w:pPr>
      <w:r>
        <w:rPr>
          <w:rFonts w:ascii="Times New Roman" w:hAnsi="Times New Roman" w:eastAsia="Times New Roman" w:cs="Times New Roman"/>
          <w:spacing w:val="3"/>
        </w:rPr>
        <w:t>1.</w:t>
      </w:r>
      <w:r>
        <w:rPr>
          <w:spacing w:val="3"/>
        </w:rPr>
        <w:t>工商营业执照副本或具有同等法律效力的证明文件（发证</w:t>
      </w:r>
      <w:r>
        <w:rPr>
          <w:spacing w:val="9"/>
        </w:rPr>
        <w:t xml:space="preserve"> </w:t>
      </w:r>
      <w:r>
        <w:rPr>
          <w:spacing w:val="7"/>
        </w:rPr>
        <w:t>机关或公证机关出具的证明材料</w:t>
      </w:r>
      <w:r>
        <w:rPr>
          <w:spacing w:val="-80"/>
          <w:w w:val="90"/>
        </w:rPr>
        <w:t>）（</w:t>
      </w:r>
      <w:r>
        <w:rPr>
          <w:spacing w:val="7"/>
        </w:rPr>
        <w:t>扫描件加盖公章）。</w:t>
      </w:r>
    </w:p>
    <w:p w14:paraId="7866961A">
      <w:pPr>
        <w:pStyle w:val="2"/>
        <w:spacing w:before="190" w:line="296" w:lineRule="auto"/>
        <w:ind w:left="11" w:firstLine="624"/>
      </w:pPr>
      <w:r>
        <w:rPr>
          <w:rFonts w:ascii="Times New Roman" w:hAnsi="Times New Roman" w:eastAsia="Times New Roman" w:cs="Times New Roman"/>
          <w:spacing w:val="6"/>
        </w:rPr>
        <w:t>2.</w:t>
      </w:r>
      <w:r>
        <w:rPr>
          <w:spacing w:val="6"/>
        </w:rPr>
        <w:t>供应商未被列入</w:t>
      </w:r>
      <w:r>
        <w:rPr>
          <w:rFonts w:ascii="Times New Roman" w:hAnsi="Times New Roman" w:eastAsia="Times New Roman" w:cs="Times New Roman"/>
          <w:spacing w:val="6"/>
        </w:rPr>
        <w:t>“</w:t>
      </w:r>
      <w:r>
        <w:rPr>
          <w:spacing w:val="6"/>
        </w:rPr>
        <w:t>信用中国</w:t>
      </w:r>
      <w:r>
        <w:rPr>
          <w:rFonts w:ascii="Times New Roman" w:hAnsi="Times New Roman" w:eastAsia="Times New Roman" w:cs="Times New Roman"/>
          <w:spacing w:val="6"/>
        </w:rPr>
        <w:t>”</w:t>
      </w:r>
      <w:r>
        <w:rPr>
          <w:spacing w:val="6"/>
        </w:rPr>
        <w:t>网站信用记录失信被执行人、</w:t>
      </w:r>
      <w:r>
        <w:rPr>
          <w:spacing w:val="18"/>
        </w:rPr>
        <w:t xml:space="preserve"> </w:t>
      </w:r>
      <w:r>
        <w:rPr>
          <w:spacing w:val="13"/>
        </w:rPr>
        <w:t>重大税收违法案件当事人名单以及政府采购严重违法失信行为</w:t>
      </w:r>
      <w:r>
        <w:rPr>
          <w:spacing w:val="10"/>
        </w:rPr>
        <w:t xml:space="preserve"> </w:t>
      </w:r>
      <w:r>
        <w:rPr>
          <w:spacing w:val="4"/>
        </w:rPr>
        <w:t>记录名单等。</w:t>
      </w:r>
    </w:p>
    <w:p w14:paraId="2918F9B5">
      <w:pPr>
        <w:pStyle w:val="2"/>
        <w:spacing w:before="191" w:line="221" w:lineRule="auto"/>
        <w:ind w:left="642"/>
      </w:pPr>
      <w:r>
        <w:rPr>
          <w:rFonts w:ascii="Times New Roman" w:hAnsi="Times New Roman" w:eastAsia="Times New Roman" w:cs="Times New Roman"/>
          <w:spacing w:val="8"/>
        </w:rPr>
        <w:t>3.</w:t>
      </w:r>
      <w:r>
        <w:rPr>
          <w:spacing w:val="8"/>
        </w:rPr>
        <w:t>具备开展医保基金监管服务项目能力和团队。</w:t>
      </w:r>
    </w:p>
    <w:p w14:paraId="59D75B9D">
      <w:pPr>
        <w:spacing w:before="187" w:line="226" w:lineRule="auto"/>
        <w:ind w:left="647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7"/>
          <w:sz w:val="31"/>
          <w:szCs w:val="31"/>
        </w:rPr>
        <w:t>二、服务内容</w:t>
      </w:r>
    </w:p>
    <w:p w14:paraId="31C257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80" w:lineRule="exact"/>
        <w:ind w:left="0" w:leftChars="0" w:firstLine="648" w:firstLineChars="200"/>
        <w:jc w:val="both"/>
        <w:textAlignment w:val="auto"/>
      </w:pPr>
      <w:r>
        <w:rPr>
          <w:rFonts w:ascii="仿宋" w:hAnsi="仿宋" w:eastAsia="仿宋" w:cs="仿宋"/>
          <w:snapToGrid w:val="0"/>
          <w:color w:val="000000"/>
          <w:spacing w:val="7"/>
          <w:kern w:val="0"/>
          <w:sz w:val="31"/>
          <w:szCs w:val="31"/>
          <w:lang w:val="en-US" w:eastAsia="en-US" w:bidi="ar-SA"/>
        </w:rPr>
        <w:t>（ 一）</w:t>
      </w:r>
      <w:r>
        <w:rPr>
          <w:rFonts w:ascii="仿宋" w:hAnsi="仿宋" w:eastAsia="仿宋" w:cs="仿宋"/>
          <w:snapToGrid w:val="0"/>
          <w:color w:val="000000"/>
          <w:spacing w:val="7"/>
          <w:kern w:val="0"/>
          <w:sz w:val="31"/>
          <w:szCs w:val="31"/>
          <w:lang w:val="en-US" w:eastAsia="en-US" w:bidi="ar-SA"/>
        </w:rPr>
        <w:t>根据医院对医保基金使用合规性的管理工作要求， 检查组充分发挥大数据技术优势，采用数据分析、现场检查、 培训指导等相结合的模式，对医院 202</w:t>
      </w:r>
      <w:r>
        <w:rPr>
          <w:rFonts w:hint="eastAsia" w:ascii="仿宋" w:hAnsi="仿宋" w:eastAsia="仿宋" w:cs="仿宋"/>
          <w:snapToGrid w:val="0"/>
          <w:color w:val="000000"/>
          <w:spacing w:val="7"/>
          <w:kern w:val="0"/>
          <w:sz w:val="31"/>
          <w:szCs w:val="31"/>
          <w:lang w:val="en-US" w:eastAsia="zh-CN" w:bidi="ar-SA"/>
        </w:rPr>
        <w:t>3</w:t>
      </w:r>
      <w:r>
        <w:rPr>
          <w:rFonts w:ascii="仿宋" w:hAnsi="仿宋" w:eastAsia="仿宋" w:cs="仿宋"/>
          <w:snapToGrid w:val="0"/>
          <w:color w:val="000000"/>
          <w:spacing w:val="7"/>
          <w:kern w:val="0"/>
          <w:sz w:val="31"/>
          <w:szCs w:val="31"/>
          <w:lang w:val="en-US" w:eastAsia="en-US" w:bidi="ar-SA"/>
        </w:rPr>
        <w:t>年1月1日至 2024 年</w:t>
      </w:r>
      <w:r>
        <w:rPr>
          <w:rFonts w:hint="eastAsia" w:ascii="仿宋" w:hAnsi="仿宋" w:eastAsia="仿宋" w:cs="仿宋"/>
          <w:snapToGrid w:val="0"/>
          <w:color w:val="000000"/>
          <w:spacing w:val="7"/>
          <w:kern w:val="0"/>
          <w:sz w:val="31"/>
          <w:szCs w:val="31"/>
          <w:lang w:val="en-US" w:eastAsia="zh-CN" w:bidi="ar-SA"/>
        </w:rPr>
        <w:t>12月31</w:t>
      </w:r>
      <w:r>
        <w:rPr>
          <w:rFonts w:ascii="仿宋" w:hAnsi="仿宋" w:eastAsia="仿宋" w:cs="仿宋"/>
          <w:snapToGrid w:val="0"/>
          <w:color w:val="000000"/>
          <w:spacing w:val="7"/>
          <w:kern w:val="0"/>
          <w:sz w:val="31"/>
          <w:szCs w:val="31"/>
          <w:lang w:val="en-US" w:eastAsia="en-US" w:bidi="ar-SA"/>
        </w:rPr>
        <w:t>日的医疗服务行为和医疗费用组织专业团队开展检查、指导、培训工作，并由检查组站在专业角度对检查结果进行统计分析、撰写分析报告，对存在的问题就医保政策以及收费合规性等方面进行培训。</w:t>
      </w:r>
      <w:r>
        <w:rPr>
          <w:rFonts w:hint="eastAsia" w:ascii="仿宋" w:hAnsi="仿宋" w:eastAsia="仿宋" w:cs="仿宋"/>
          <w:snapToGrid w:val="0"/>
          <w:color w:val="000000"/>
          <w:spacing w:val="7"/>
          <w:kern w:val="0"/>
          <w:sz w:val="31"/>
          <w:szCs w:val="31"/>
          <w:lang w:val="en-US" w:eastAsia="zh-CN" w:bidi="ar-SA"/>
        </w:rPr>
        <w:t>提供2次自查服务（现场开展）；院内培训一年不少于2次；并提供医保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飞检或交叉检查违规项目申诉服务；自查结束出具总结报告。</w:t>
      </w:r>
    </w:p>
    <w:p w14:paraId="5A25C254">
      <w:pPr>
        <w:pStyle w:val="2"/>
        <w:spacing w:before="197" w:line="314" w:lineRule="auto"/>
        <w:ind w:left="5" w:right="26" w:firstLine="629"/>
      </w:pPr>
      <w:r>
        <w:rPr>
          <w:spacing w:val="11"/>
        </w:rPr>
        <w:t>（</w:t>
      </w:r>
      <w:r>
        <w:rPr>
          <w:spacing w:val="-72"/>
        </w:rPr>
        <w:t xml:space="preserve"> </w:t>
      </w:r>
      <w:r>
        <w:rPr>
          <w:spacing w:val="11"/>
        </w:rPr>
        <w:t>二）按照《新疆维吾尔自治区新疆生产建设兵团医疗服</w:t>
      </w:r>
      <w:r>
        <w:t xml:space="preserve"> </w:t>
      </w:r>
      <w:r>
        <w:rPr>
          <w:spacing w:val="-1"/>
        </w:rPr>
        <w:t>务价格项目</w:t>
      </w:r>
      <w:r>
        <w:rPr>
          <w:spacing w:val="-70"/>
        </w:rPr>
        <w:t xml:space="preserve"> </w:t>
      </w:r>
      <w:r>
        <w:rPr>
          <w:spacing w:val="-1"/>
        </w:rPr>
        <w:t>目录》、《国家基本医疗保险、工伤保险和生育保险</w:t>
      </w:r>
      <w:r>
        <w:t xml:space="preserve"> </w:t>
      </w:r>
      <w:r>
        <w:rPr>
          <w:spacing w:val="2"/>
        </w:rPr>
        <w:t>药品目录》、《医疗保障基金使用监督管理条例》等相关法律法</w:t>
      </w:r>
      <w:r>
        <w:rPr>
          <w:spacing w:val="1"/>
        </w:rPr>
        <w:t xml:space="preserve"> </w:t>
      </w:r>
      <w:r>
        <w:rPr>
          <w:spacing w:val="-11"/>
        </w:rPr>
        <w:t>规，以及《</w:t>
      </w:r>
      <w:r>
        <w:rPr>
          <w:rFonts w:ascii="Times New Roman" w:hAnsi="Times New Roman" w:eastAsia="Times New Roman" w:cs="Times New Roman"/>
          <w:spacing w:val="-11"/>
        </w:rPr>
        <w:t>2024</w:t>
      </w:r>
      <w:r>
        <w:rPr>
          <w:rFonts w:ascii="Times New Roman" w:hAnsi="Times New Roman" w:eastAsia="Times New Roman" w:cs="Times New Roman"/>
          <w:spacing w:val="34"/>
        </w:rPr>
        <w:t xml:space="preserve"> </w:t>
      </w:r>
      <w:r>
        <w:rPr>
          <w:spacing w:val="-11"/>
        </w:rPr>
        <w:t>年医保领域打击欺诈骗保专项整治方案》、《</w:t>
      </w:r>
      <w:r>
        <w:rPr>
          <w:rFonts w:ascii="Times New Roman" w:hAnsi="Times New Roman" w:eastAsia="Times New Roman" w:cs="Times New Roman"/>
          <w:spacing w:val="-11"/>
        </w:rPr>
        <w:t>2024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spacing w:val="-2"/>
        </w:rPr>
        <w:t>年医疗保障基金飞行检查工作方案》、《</w:t>
      </w:r>
      <w:r>
        <w:rPr>
          <w:rFonts w:ascii="Times New Roman" w:hAnsi="Times New Roman" w:eastAsia="Times New Roman" w:cs="Times New Roman"/>
          <w:spacing w:val="-2"/>
        </w:rPr>
        <w:t>2024</w:t>
      </w:r>
      <w:r>
        <w:rPr>
          <w:rFonts w:ascii="Times New Roman" w:hAnsi="Times New Roman" w:eastAsia="Times New Roman" w:cs="Times New Roman"/>
          <w:spacing w:val="37"/>
          <w:w w:val="101"/>
        </w:rPr>
        <w:t xml:space="preserve"> </w:t>
      </w:r>
      <w:r>
        <w:rPr>
          <w:spacing w:val="-2"/>
        </w:rPr>
        <w:t>年定点医疗机构自</w:t>
      </w:r>
      <w:r>
        <w:t xml:space="preserve"> </w:t>
      </w:r>
      <w:r>
        <w:rPr>
          <w:rFonts w:ascii="宋体" w:hAnsi="宋体" w:eastAsia="宋体" w:cs="宋体"/>
          <w:spacing w:val="13"/>
        </w:rPr>
        <w:t>査</w:t>
      </w:r>
      <w:r>
        <w:rPr>
          <w:spacing w:val="13"/>
        </w:rPr>
        <w:t>自纠问题清单》等文件精神，结合参与医保监管、飞行检查</w:t>
      </w:r>
      <w:r>
        <w:rPr>
          <w:spacing w:val="12"/>
        </w:rPr>
        <w:t>的工作经验，配合医院开展医保基金使用合理性自查工作，对</w:t>
      </w:r>
      <w:r>
        <w:rPr>
          <w:spacing w:val="17"/>
        </w:rPr>
        <w:t xml:space="preserve"> </w:t>
      </w:r>
      <w:r>
        <w:rPr>
          <w:spacing w:val="6"/>
        </w:rPr>
        <w:t>涉嫌违规的问题进行分析整理，</w:t>
      </w:r>
      <w:r>
        <w:rPr>
          <w:spacing w:val="-86"/>
        </w:rPr>
        <w:t xml:space="preserve"> </w:t>
      </w:r>
      <w:r>
        <w:rPr>
          <w:spacing w:val="6"/>
        </w:rPr>
        <w:t>出具医保基金</w:t>
      </w:r>
      <w:r>
        <w:rPr>
          <w:spacing w:val="5"/>
        </w:rPr>
        <w:t>使用自查报告。</w:t>
      </w:r>
    </w:p>
    <w:p w14:paraId="3CA4E12F">
      <w:pPr>
        <w:pStyle w:val="2"/>
        <w:spacing w:before="4" w:line="322" w:lineRule="auto"/>
        <w:ind w:firstLine="634"/>
      </w:pPr>
      <w:r>
        <w:rPr>
          <w:spacing w:val="11"/>
        </w:rPr>
        <w:t>（</w:t>
      </w:r>
      <w:r>
        <w:rPr>
          <w:spacing w:val="-71"/>
        </w:rPr>
        <w:t xml:space="preserve"> </w:t>
      </w:r>
      <w:r>
        <w:rPr>
          <w:spacing w:val="11"/>
        </w:rPr>
        <w:t>三）检查重点包括但不限于：对前期国家医保、各省份</w:t>
      </w:r>
      <w:r>
        <w:t xml:space="preserve"> </w:t>
      </w:r>
      <w:r>
        <w:rPr>
          <w:spacing w:val="14"/>
        </w:rPr>
        <w:t>医保飞检查出来的问题，涉及药品目录、收</w:t>
      </w:r>
      <w:r>
        <w:rPr>
          <w:spacing w:val="13"/>
        </w:rPr>
        <w:t>费目录问题全部进</w:t>
      </w:r>
      <w:r>
        <w:t xml:space="preserve"> </w:t>
      </w:r>
      <w:r>
        <w:rPr>
          <w:spacing w:val="15"/>
        </w:rPr>
        <w:t>行筛查分析；对今年下发的相关检查中涉及的重点聚焦问题，</w:t>
      </w:r>
      <w:r>
        <w:rPr>
          <w:spacing w:val="2"/>
        </w:rPr>
        <w:t xml:space="preserve"> </w:t>
      </w:r>
      <w:r>
        <w:rPr>
          <w:spacing w:val="6"/>
        </w:rPr>
        <w:t>如重症医学、麻醉、骨科、血液净化、心血管内科</w:t>
      </w:r>
      <w:r>
        <w:rPr>
          <w:spacing w:val="5"/>
        </w:rPr>
        <w:t>、医学影像、</w:t>
      </w:r>
      <w:r>
        <w:t xml:space="preserve"> </w:t>
      </w:r>
      <w:r>
        <w:rPr>
          <w:spacing w:val="10"/>
        </w:rPr>
        <w:t>检验、康复理疗、</w:t>
      </w:r>
      <w:r>
        <w:rPr>
          <w:spacing w:val="-53"/>
        </w:rPr>
        <w:t xml:space="preserve"> </w:t>
      </w:r>
      <w:r>
        <w:rPr>
          <w:spacing w:val="10"/>
        </w:rPr>
        <w:t>口腔科等医保违规问题；违反诊疗规范，过</w:t>
      </w:r>
      <w:r>
        <w:t xml:space="preserve"> </w:t>
      </w:r>
      <w:r>
        <w:rPr>
          <w:spacing w:val="14"/>
        </w:rPr>
        <w:t>度诊疗，过度检查、分解处方、超量开药，重复</w:t>
      </w:r>
      <w:r>
        <w:rPr>
          <w:spacing w:val="13"/>
        </w:rPr>
        <w:t>开药或者提供</w:t>
      </w:r>
      <w:r>
        <w:t xml:space="preserve"> </w:t>
      </w:r>
      <w:r>
        <w:rPr>
          <w:spacing w:val="14"/>
        </w:rPr>
        <w:t>其他不必要的医疗服务；重复收费、超标准收费</w:t>
      </w:r>
      <w:r>
        <w:rPr>
          <w:spacing w:val="13"/>
        </w:rPr>
        <w:t>、分解项目收</w:t>
      </w:r>
      <w:r>
        <w:t xml:space="preserve"> </w:t>
      </w:r>
      <w:r>
        <w:rPr>
          <w:spacing w:val="14"/>
        </w:rPr>
        <w:t>费；将不属于医保基金支付范围的医药费用纳入</w:t>
      </w:r>
      <w:r>
        <w:rPr>
          <w:spacing w:val="13"/>
        </w:rPr>
        <w:t>医疗保障进行</w:t>
      </w:r>
      <w:r>
        <w:t xml:space="preserve"> </w:t>
      </w:r>
      <w:r>
        <w:rPr>
          <w:spacing w:val="6"/>
        </w:rPr>
        <w:t>结算；分解住院、挂床住院，虚构医药服务项目等</w:t>
      </w:r>
      <w:r>
        <w:rPr>
          <w:spacing w:val="5"/>
        </w:rPr>
        <w:t>不合规行为；</w:t>
      </w:r>
      <w:r>
        <w:t xml:space="preserve"> </w:t>
      </w:r>
      <w:r>
        <w:rPr>
          <w:spacing w:val="8"/>
        </w:rPr>
        <w:t>其他医保基金使用违规行为。</w:t>
      </w:r>
    </w:p>
    <w:p w14:paraId="1D0D9B99">
      <w:pPr>
        <w:pStyle w:val="2"/>
        <w:spacing w:before="188" w:line="306" w:lineRule="auto"/>
        <w:ind w:left="7" w:right="100" w:firstLine="626"/>
      </w:pPr>
      <w:r>
        <w:rPr>
          <w:spacing w:val="6"/>
        </w:rPr>
        <w:t>（</w:t>
      </w:r>
      <w:r>
        <w:rPr>
          <w:spacing w:val="-41"/>
        </w:rPr>
        <w:t xml:space="preserve"> </w:t>
      </w:r>
      <w:r>
        <w:rPr>
          <w:spacing w:val="6"/>
        </w:rPr>
        <w:t>四</w:t>
      </w:r>
      <w:r>
        <w:rPr>
          <w:spacing w:val="-61"/>
        </w:rPr>
        <w:t xml:space="preserve"> </w:t>
      </w:r>
      <w:r>
        <w:rPr>
          <w:spacing w:val="6"/>
        </w:rPr>
        <w:t>）与医院建立协商机制，可根据医院需求，制定个性</w:t>
      </w:r>
      <w:r>
        <w:t xml:space="preserve"> </w:t>
      </w:r>
      <w:r>
        <w:rPr>
          <w:spacing w:val="13"/>
        </w:rPr>
        <w:t>化检查服务方案。如本年度医院接到上级医保检查要求，为医</w:t>
      </w:r>
      <w:r>
        <w:rPr>
          <w:spacing w:val="11"/>
        </w:rPr>
        <w:t xml:space="preserve"> </w:t>
      </w:r>
      <w:r>
        <w:rPr>
          <w:spacing w:val="13"/>
        </w:rPr>
        <w:t>院提供后续服务，对医院涉及医保基金使用风险、合规问题、</w:t>
      </w:r>
      <w:r>
        <w:rPr>
          <w:spacing w:val="14"/>
        </w:rPr>
        <w:t xml:space="preserve"> </w:t>
      </w:r>
      <w:r>
        <w:rPr>
          <w:spacing w:val="8"/>
        </w:rPr>
        <w:t>疑点问题整改提供必要的支持。</w:t>
      </w:r>
    </w:p>
    <w:p w14:paraId="362B9598">
      <w:pPr>
        <w:spacing w:before="184" w:line="226" w:lineRule="auto"/>
        <w:ind w:left="648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6"/>
          <w:sz w:val="31"/>
          <w:szCs w:val="31"/>
        </w:rPr>
        <w:t>三、服务方式</w:t>
      </w:r>
    </w:p>
    <w:p w14:paraId="3D3374A5">
      <w:pPr>
        <w:pStyle w:val="2"/>
        <w:spacing w:before="181" w:line="220" w:lineRule="auto"/>
        <w:ind w:left="655"/>
        <w:rPr>
          <w:spacing w:val="8"/>
        </w:rPr>
      </w:pPr>
      <w:r>
        <w:rPr>
          <w:spacing w:val="8"/>
        </w:rPr>
        <w:t>大数据分析、现场检查、科室走访培训、结果反馈等。</w:t>
      </w:r>
    </w:p>
    <w:p w14:paraId="7F9274E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580" w:lineRule="exact"/>
        <w:ind w:left="0" w:leftChars="0" w:firstLine="643" w:firstLineChars="200"/>
        <w:jc w:val="both"/>
        <w:textAlignment w:val="auto"/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四、服务周期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：自双方签字盖章之日起生效，有效期限为12个月；在合同有效期届满前一个月，双方根据项目情况可另行书面签约、调整合同内容。</w:t>
      </w:r>
    </w:p>
    <w:p w14:paraId="77FC73C7">
      <w:pPr>
        <w:spacing w:before="191" w:line="227" w:lineRule="auto"/>
        <w:ind w:left="661"/>
        <w:rPr>
          <w:rFonts w:ascii="黑体" w:hAnsi="黑体" w:eastAsia="黑体" w:cs="黑体"/>
          <w:sz w:val="31"/>
          <w:szCs w:val="31"/>
        </w:rPr>
      </w:pPr>
      <w:r>
        <w:rPr>
          <w:rFonts w:hint="eastAsia" w:ascii="黑体" w:hAnsi="黑体" w:eastAsia="黑体" w:cs="黑体"/>
          <w:spacing w:val="4"/>
          <w:sz w:val="31"/>
          <w:szCs w:val="31"/>
          <w:lang w:val="en-US" w:eastAsia="zh-CN"/>
        </w:rPr>
        <w:t>五</w:t>
      </w:r>
      <w:r>
        <w:rPr>
          <w:rFonts w:ascii="黑体" w:hAnsi="黑体" w:eastAsia="黑体" w:cs="黑体"/>
          <w:spacing w:val="4"/>
          <w:sz w:val="31"/>
          <w:szCs w:val="31"/>
        </w:rPr>
        <w:t>、工作要求</w:t>
      </w:r>
    </w:p>
    <w:p w14:paraId="2905F423">
      <w:pPr>
        <w:pStyle w:val="2"/>
        <w:spacing w:before="178" w:line="277" w:lineRule="auto"/>
        <w:ind w:left="37" w:right="102" w:firstLine="596"/>
      </w:pPr>
      <w:r>
        <w:rPr>
          <w:spacing w:val="8"/>
        </w:rPr>
        <w:t>（</w:t>
      </w:r>
      <w:r>
        <w:rPr>
          <w:spacing w:val="-62"/>
        </w:rPr>
        <w:t xml:space="preserve"> </w:t>
      </w:r>
      <w:r>
        <w:rPr>
          <w:spacing w:val="8"/>
        </w:rPr>
        <w:t>一）检查组应确保医院数据的保密性，</w:t>
      </w:r>
      <w:r>
        <w:rPr>
          <w:spacing w:val="-92"/>
        </w:rPr>
        <w:t xml:space="preserve"> </w:t>
      </w:r>
      <w:r>
        <w:rPr>
          <w:spacing w:val="8"/>
        </w:rPr>
        <w:t>明确检查所需时</w:t>
      </w:r>
      <w:r>
        <w:t xml:space="preserve"> </w:t>
      </w:r>
      <w:r>
        <w:rPr>
          <w:spacing w:val="7"/>
        </w:rPr>
        <w:t>间、方式、程序、重点、方向及检查规则及政策依据等。</w:t>
      </w:r>
    </w:p>
    <w:p w14:paraId="06141FA1">
      <w:pPr>
        <w:pStyle w:val="2"/>
        <w:spacing w:before="194" w:line="295" w:lineRule="auto"/>
        <w:ind w:left="7" w:right="100" w:firstLine="626"/>
      </w:pPr>
      <w:r>
        <w:rPr>
          <w:spacing w:val="11"/>
        </w:rPr>
        <w:t>（</w:t>
      </w:r>
      <w:r>
        <w:rPr>
          <w:spacing w:val="-74"/>
        </w:rPr>
        <w:t xml:space="preserve"> </w:t>
      </w:r>
      <w:r>
        <w:rPr>
          <w:spacing w:val="11"/>
        </w:rPr>
        <w:t>二）检查人员在检查时，针对医院或科室提出的疑点数</w:t>
      </w:r>
      <w:r>
        <w:t xml:space="preserve"> </w:t>
      </w:r>
      <w:r>
        <w:rPr>
          <w:spacing w:val="13"/>
        </w:rPr>
        <w:t>据和有关问题作出解释说明，并与医院就检查发现的问题进行</w:t>
      </w:r>
      <w:r>
        <w:rPr>
          <w:spacing w:val="14"/>
        </w:rPr>
        <w:t xml:space="preserve"> </w:t>
      </w:r>
      <w:r>
        <w:rPr>
          <w:spacing w:val="11"/>
        </w:rPr>
        <w:t>充分沟通，</w:t>
      </w:r>
      <w:r>
        <w:rPr>
          <w:spacing w:val="-81"/>
        </w:rPr>
        <w:t xml:space="preserve"> </w:t>
      </w:r>
      <w:r>
        <w:rPr>
          <w:spacing w:val="11"/>
        </w:rPr>
        <w:t>以相关法律法规以及国家、地方医疗</w:t>
      </w:r>
      <w:r>
        <w:rPr>
          <w:spacing w:val="10"/>
        </w:rPr>
        <w:t>保障政策作为</w:t>
      </w:r>
    </w:p>
    <w:p w14:paraId="42B05848">
      <w:pPr>
        <w:spacing w:line="295" w:lineRule="auto"/>
        <w:sectPr>
          <w:pgSz w:w="11906" w:h="16839"/>
          <w:pgMar w:top="1431" w:right="1476" w:bottom="0" w:left="1585" w:header="0" w:footer="0" w:gutter="0"/>
          <w:cols w:space="720" w:num="1"/>
        </w:sectPr>
      </w:pPr>
    </w:p>
    <w:p w14:paraId="4D24EC46">
      <w:pPr>
        <w:pStyle w:val="2"/>
        <w:spacing w:before="186" w:line="222" w:lineRule="auto"/>
        <w:ind w:left="3"/>
      </w:pPr>
      <w:r>
        <w:rPr>
          <w:spacing w:val="7"/>
        </w:rPr>
        <w:t>认定违法违规问题的依据。</w:t>
      </w:r>
    </w:p>
    <w:p w14:paraId="16712943">
      <w:pPr>
        <w:pStyle w:val="2"/>
        <w:spacing w:before="185" w:line="306" w:lineRule="auto"/>
        <w:ind w:left="7" w:firstLine="622"/>
      </w:pPr>
      <w:r>
        <w:rPr>
          <w:spacing w:val="11"/>
        </w:rPr>
        <w:t>（</w:t>
      </w:r>
      <w:r>
        <w:rPr>
          <w:spacing w:val="-70"/>
        </w:rPr>
        <w:t xml:space="preserve"> </w:t>
      </w:r>
      <w:r>
        <w:rPr>
          <w:spacing w:val="11"/>
        </w:rPr>
        <w:t>三）检出问题应与上级医保部门下发的自查自</w:t>
      </w:r>
      <w:r>
        <w:rPr>
          <w:spacing w:val="10"/>
        </w:rPr>
        <w:t>纠问题清</w:t>
      </w:r>
      <w:r>
        <w:t xml:space="preserve"> </w:t>
      </w:r>
      <w:r>
        <w:rPr>
          <w:spacing w:val="5"/>
        </w:rPr>
        <w:t>单检查重点和方向一致，但不仅限于问题清单列出的违规问题。</w:t>
      </w:r>
      <w:r>
        <w:t xml:space="preserve"> </w:t>
      </w:r>
      <w:r>
        <w:rPr>
          <w:spacing w:val="13"/>
        </w:rPr>
        <w:t>此次自查项目大数据筛查与上级医保部门本年度检查验证符合</w:t>
      </w:r>
      <w:r>
        <w:rPr>
          <w:spacing w:val="10"/>
        </w:rPr>
        <w:t xml:space="preserve"> </w:t>
      </w:r>
      <w:r>
        <w:rPr>
          <w:spacing w:val="3"/>
        </w:rPr>
        <w:t>率应达</w:t>
      </w:r>
      <w:r>
        <w:rPr>
          <w:spacing w:val="-59"/>
        </w:rPr>
        <w:t xml:space="preserve"> </w:t>
      </w:r>
      <w:r>
        <w:rPr>
          <w:rFonts w:ascii="Times New Roman" w:hAnsi="Times New Roman" w:eastAsia="Times New Roman" w:cs="Times New Roman"/>
          <w:spacing w:val="3"/>
        </w:rPr>
        <w:t>70%</w:t>
      </w:r>
      <w:r>
        <w:rPr>
          <w:spacing w:val="3"/>
        </w:rPr>
        <w:t>以上。</w:t>
      </w:r>
    </w:p>
    <w:p w14:paraId="6815D744">
      <w:pPr>
        <w:pStyle w:val="2"/>
        <w:spacing w:before="188" w:line="311" w:lineRule="auto"/>
        <w:ind w:right="89" w:firstLine="630"/>
      </w:pPr>
      <w:r>
        <w:rPr>
          <w:spacing w:val="7"/>
        </w:rPr>
        <w:t>（</w:t>
      </w:r>
      <w:r>
        <w:rPr>
          <w:spacing w:val="-48"/>
        </w:rPr>
        <w:t xml:space="preserve"> </w:t>
      </w:r>
      <w:r>
        <w:rPr>
          <w:spacing w:val="7"/>
        </w:rPr>
        <w:t>四）检查初期建立申诉机制，</w:t>
      </w:r>
      <w:r>
        <w:rPr>
          <w:spacing w:val="-81"/>
        </w:rPr>
        <w:t xml:space="preserve"> </w:t>
      </w:r>
      <w:r>
        <w:rPr>
          <w:spacing w:val="7"/>
        </w:rPr>
        <w:t>由检查组向医院反馈疑点</w:t>
      </w:r>
      <w:r>
        <w:t xml:space="preserve"> </w:t>
      </w:r>
      <w:r>
        <w:rPr>
          <w:spacing w:val="11"/>
        </w:rPr>
        <w:t>数据，</w:t>
      </w:r>
      <w:r>
        <w:rPr>
          <w:spacing w:val="-83"/>
        </w:rPr>
        <w:t xml:space="preserve"> </w:t>
      </w:r>
      <w:r>
        <w:rPr>
          <w:spacing w:val="11"/>
        </w:rPr>
        <w:t>医院根据疑点数据进行陈述和申辩，补充相关材料。检</w:t>
      </w:r>
      <w:r>
        <w:t xml:space="preserve"> </w:t>
      </w:r>
      <w:r>
        <w:rPr>
          <w:spacing w:val="13"/>
        </w:rPr>
        <w:t>查组应当如实记录、认真审核、充分研判、集体决策，妥善进</w:t>
      </w:r>
      <w:r>
        <w:rPr>
          <w:spacing w:val="18"/>
        </w:rPr>
        <w:t xml:space="preserve"> </w:t>
      </w:r>
      <w:r>
        <w:rPr>
          <w:spacing w:val="13"/>
        </w:rPr>
        <w:t>行争议问题处理。检查终期，检查组针对此次检查出具书面问</w:t>
      </w:r>
      <w:r>
        <w:rPr>
          <w:spacing w:val="18"/>
        </w:rPr>
        <w:t xml:space="preserve"> </w:t>
      </w:r>
      <w:r>
        <w:rPr>
          <w:spacing w:val="8"/>
        </w:rPr>
        <w:t>题反馈报告，反馈问题数据及意见建议等。</w:t>
      </w:r>
    </w:p>
    <w:sectPr>
      <w:pgSz w:w="11906" w:h="16839"/>
      <w:pgMar w:top="1431" w:right="1487" w:bottom="0" w:left="1589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6798036A"/>
    <w:rsid w:val="743D650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header"/>
    <w:next w:val="2"/>
    <w:qFormat/>
    <w:uiPriority w:val="0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1300</Words>
  <Characters>1322</Characters>
  <TotalTime>1</TotalTime>
  <ScaleCrop>false</ScaleCrop>
  <LinksUpToDate>false</LinksUpToDate>
  <CharactersWithSpaces>1388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2024-07-31T18:05:00Z</dcterms:created>
  <dc:creator>378756039</dc:creator>
  <cp:lastModifiedBy>周娟</cp:lastModifiedBy>
  <dcterms:modified xsi:type="dcterms:W3CDTF">2025-04-02T15:18:53Z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2025-04-02T22:54:38Z</vt:filetime>
  </property>
  <property fmtid="{D5CDD505-2E9C-101B-9397-08002B2CF9AE}" pid="4" name="KSOTemplateDocerSaveRecord">
    <vt:lpwstr>eyJoZGlkIjoiNGY0ODg4YWMxOWZjZTdhYTcwMDg3YTEzN2U0MGY5ZmUiLCJ1c2VySWQiOiI0MjQxMjY5OTYifQ==</vt:lpwstr>
  </property>
  <property fmtid="{D5CDD505-2E9C-101B-9397-08002B2CF9AE}" pid="5" name="KSOProductBuildVer">
    <vt:lpwstr>2052-12.1.0.20305</vt:lpwstr>
  </property>
  <property fmtid="{D5CDD505-2E9C-101B-9397-08002B2CF9AE}" pid="6" name="ICV">
    <vt:lpwstr>3FE35A1643A04B9FB158316D4DD23894_13</vt:lpwstr>
  </property>
</Properties>
</file>