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9" w:lineRule="auto"/>
        <w:rPr>
          <w:rFonts w:ascii="Arial"/>
          <w:sz w:val="21"/>
        </w:rPr>
      </w:pPr>
    </w:p>
    <w:p>
      <w:pPr>
        <w:ind w:firstLine="1687" w:firstLineChars="6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鄯善县人民医院手术器械一批需求文件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项目名称：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鄯善县人民医院手术器械一批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采购数量：1批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400" w:hanging="1400" w:hangingChars="5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项目用途：用于开展妇科腹腔镜手术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项目参数：</w:t>
      </w:r>
    </w:p>
    <w:tbl>
      <w:tblPr>
        <w:tblStyle w:val="6"/>
        <w:tblpPr w:leftFromText="180" w:rightFromText="180" w:vertAnchor="text" w:horzAnchor="page" w:tblpX="1182" w:tblpY="627"/>
        <w:tblOverlap w:val="never"/>
        <w:tblW w:w="93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160"/>
        <w:gridCol w:w="1386"/>
        <w:gridCol w:w="1019"/>
        <w:gridCol w:w="686"/>
        <w:gridCol w:w="647"/>
        <w:gridCol w:w="976"/>
        <w:gridCol w:w="976"/>
        <w:gridCol w:w="17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报价单价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报价金额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腹腔内窥镜镜头 30°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Φ10*330mm 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HD高清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穿刺器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101.075A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翻盖穿刺器Φ10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带保护斜口 平口 Φ10.5*95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穿刺器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101.076A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翻盖穿刺器Φ5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带保护斜口 平口 Φ5.5*95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气腹针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101.011A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Φ2.2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Φ2.2*120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穿刺针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101.027F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 Φ5*330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转换器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101.145E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套管式 150 Φ10.5-Φ5.5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双极电凝钳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301.049A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Φ5*330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直/双动Φ5*330 三拆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双极高频电缆线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301.039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SJDL-3000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配金属柄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单极剪刀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101.033M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DJ-JD05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弯头双动Φ5*330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单极分离钳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101.037B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DJ-FL05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三拆 弯头 钳头长14mmΦ5*330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单极抓钳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101.116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DJ-ZQ05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输尿管抓钳Φ5*330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取物钳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101.012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大柄 Φ10*330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抓钳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101.013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大型抓紧钳Φ10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大柄（胆囊大抓钳）Φ10*330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吸引器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101.079B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推杆式/阀体小型Φ5*330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单极电凝钩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101.017A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DL-DNG05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Φ5*330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杯式举宫器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301.027A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A型特种举宫器（不含杯）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 不带杯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杯式举宫器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301.027A（S50）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举宫杯（小 黑）Φ38*50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杯式举宫器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301.027A(M50)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举宫杯（中 黑）Φ41*50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杯式举宫器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301.027A(L50)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举宫杯（大 黑 L50）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合计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35</w:t>
            </w:r>
            <w:bookmarkStart w:id="0" w:name="_GoBack"/>
            <w:bookmarkEnd w:id="0"/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商务条款：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1、设备必须是全新未拆封的。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2、设备必须为原装产品。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3、到货期：签订合同之日起7天内。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4、安装地点：由销售方免费将货送至医院安装现场。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5、安装完成时间：到货1个工作日内全部调试完成。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6、安装标准：有厂方工程师或有安装经验的工程师负责安装；符合国家有关安全技术规范和技术标准。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7、验收标准：应满足或优于与采购参数技术数据及标书技术文件，符合国家有关技术规范和技术标准。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8、维修响应时间2小时，24小时内到达用户现场进行维修，3个工作日内未修复者无偿提供备用设备。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9、设备安装后提供厂方操作和培训。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10、质保：原厂保修至少二年。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7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11、付款方式：货物验收合格后支付90%的货款，剩余10%二年内无息按季均付。</w:t>
      </w:r>
    </w:p>
    <w:p>
      <w:pPr>
        <w:pStyle w:val="2"/>
        <w:rPr>
          <w:rFonts w:hint="eastAsia" w:ascii="宋体" w:hAnsi="宋体" w:eastAsia="宋体" w:cs="宋体"/>
          <w:b w:val="0"/>
          <w:bCs w:val="0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napToGrid/>
          <w:kern w:val="2"/>
          <w:sz w:val="28"/>
          <w:szCs w:val="28"/>
          <w:lang w:val="en-US" w:eastAsia="zh-CN" w:bidi="ar-SA"/>
        </w:rPr>
        <w:t>12、所有费用(货物、运输保险费、安装调试费、培训费、设备第三方检测费、网络接口费、标配工具费、质保期服务、各项税费及合同实施过程中不可预见费用等)均含在报价单中.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70" w:lineRule="exact"/>
        <w:textAlignment w:val="auto"/>
        <w:rPr>
          <w:rFonts w:hint="default" w:ascii="宋体" w:hAnsi="宋体" w:eastAsia="宋体" w:cs="宋体"/>
          <w:b w:val="0"/>
          <w:bCs w:val="0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napToGrid/>
          <w:kern w:val="2"/>
          <w:sz w:val="28"/>
          <w:szCs w:val="28"/>
          <w:lang w:val="en-US" w:eastAsia="zh-CN" w:bidi="ar-SA"/>
        </w:rPr>
        <w:t>13、为保障设备质量及合法性，中标后2日内提供原厂授权。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Style w:val="9"/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政采云</w:t>
      </w:r>
      <w:r>
        <w:rPr>
          <w:rStyle w:val="9"/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响应附件要求：</w:t>
      </w: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Style w:val="9"/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供应商需上传营业执照、</w:t>
      </w:r>
      <w:r>
        <w:rPr>
          <w:rFonts w:hint="eastAsia" w:ascii="宋体" w:hAnsi="宋体" w:eastAsia="宋体" w:cs="宋体"/>
          <w:b w:val="0"/>
          <w:bCs w:val="0"/>
          <w:snapToGrid/>
          <w:kern w:val="2"/>
          <w:sz w:val="28"/>
          <w:szCs w:val="28"/>
          <w:lang w:val="en-US" w:eastAsia="zh-CN" w:bidi="ar-SA"/>
        </w:rPr>
        <w:t>《第二类医疗器械经营备案凭证》或</w:t>
      </w:r>
      <w:r>
        <w:rPr>
          <w:rStyle w:val="9"/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医疗器械经营许可证、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法定代表人身份证或者法定代表人授权委托书及被授权人身份证明。</w:t>
      </w:r>
      <w:r>
        <w:rPr>
          <w:rStyle w:val="9"/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投标人所投产品说明书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及</w:t>
      </w:r>
      <w:r>
        <w:rPr>
          <w:rStyle w:val="9"/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医疗器械注册证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。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default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sectPr>
      <w:pgSz w:w="11900" w:h="16840"/>
      <w:pgMar w:top="1120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TI1NDA0YTU5MGIwNDAwMWY3ZjBkYzQ2MDI4NTJiNjAifQ=="/>
  </w:docVars>
  <w:rsids>
    <w:rsidRoot w:val="00000000"/>
    <w:rsid w:val="017936BE"/>
    <w:rsid w:val="04465D4F"/>
    <w:rsid w:val="080A32C2"/>
    <w:rsid w:val="14F5226F"/>
    <w:rsid w:val="15262241"/>
    <w:rsid w:val="19414DFD"/>
    <w:rsid w:val="211A7362"/>
    <w:rsid w:val="216D7AD8"/>
    <w:rsid w:val="21AB12A8"/>
    <w:rsid w:val="25C94365"/>
    <w:rsid w:val="26A36964"/>
    <w:rsid w:val="27076EF2"/>
    <w:rsid w:val="2F177EEF"/>
    <w:rsid w:val="30C96FC7"/>
    <w:rsid w:val="31243CC1"/>
    <w:rsid w:val="39D92970"/>
    <w:rsid w:val="3CAD20D0"/>
    <w:rsid w:val="460E3567"/>
    <w:rsid w:val="46F9712C"/>
    <w:rsid w:val="47017923"/>
    <w:rsid w:val="47D604EF"/>
    <w:rsid w:val="483E6094"/>
    <w:rsid w:val="4CBC1864"/>
    <w:rsid w:val="4D1407CA"/>
    <w:rsid w:val="51897D37"/>
    <w:rsid w:val="51C14034"/>
    <w:rsid w:val="521F0CE5"/>
    <w:rsid w:val="53395DD6"/>
    <w:rsid w:val="551D7657"/>
    <w:rsid w:val="582C5F09"/>
    <w:rsid w:val="58BD134A"/>
    <w:rsid w:val="65644F35"/>
    <w:rsid w:val="66B259B4"/>
    <w:rsid w:val="681F3395"/>
    <w:rsid w:val="68AD6BF3"/>
    <w:rsid w:val="6B07083C"/>
    <w:rsid w:val="6DBD0F29"/>
    <w:rsid w:val="6F2E52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qFormat/>
    <w:uiPriority w:val="99"/>
    <w:pPr>
      <w:snapToGrid w:val="0"/>
      <w:jc w:val="left"/>
    </w:pPr>
    <w:rPr>
      <w:sz w:val="18"/>
    </w:r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paragraph" w:styleId="5">
    <w:name w:val="Title"/>
    <w:basedOn w:val="1"/>
    <w:autoRedefine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TML Sample"/>
    <w:basedOn w:val="8"/>
    <w:autoRedefine/>
    <w:qFormat/>
    <w:uiPriority w:val="0"/>
    <w:rPr>
      <w:rFonts w:ascii="Courier New" w:hAnsi="Courier New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3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2023-11-14T12:57:00Z</dcterms:created>
  <dc:creator>Kingsoft-PDF</dc:creator>
  <cp:lastModifiedBy>周娟</cp:lastModifiedBy>
  <cp:lastPrinted>2023-11-16T17:04:00Z</cp:lastPrinted>
  <dcterms:modified xsi:type="dcterms:W3CDTF">2024-04-23T19:17:24Z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2023-11-14T12:57:09Z</vt:filetime>
  </property>
  <property fmtid="{D5CDD505-2E9C-101B-9397-08002B2CF9AE}" pid="4" name="UsrData">
    <vt:lpwstr>6552fe21f8c111001fba2540wl</vt:lpwstr>
  </property>
  <property fmtid="{D5CDD505-2E9C-101B-9397-08002B2CF9AE}" pid="5" name="KSOProductBuildVer">
    <vt:lpwstr>2052-12.1.0.16729</vt:lpwstr>
  </property>
  <property fmtid="{D5CDD505-2E9C-101B-9397-08002B2CF9AE}" pid="6" name="ICV">
    <vt:lpwstr>2635D64F71164CFFA06ED582714E45D6_13</vt:lpwstr>
  </property>
</Properties>
</file>