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pacing w:val="60"/>
          <w:sz w:val="22"/>
          <w:szCs w:val="22"/>
          <w:highlight w:val="none"/>
        </w:rPr>
      </w:pPr>
    </w:p>
    <w:p>
      <w:pPr>
        <w:tabs>
          <w:tab w:val="left" w:pos="4809"/>
        </w:tabs>
        <w:jc w:val="left"/>
        <w:rPr>
          <w:rFonts w:hint="eastAsia" w:ascii="宋体" w:hAnsi="宋体" w:eastAsia="宋体" w:cs="宋体"/>
          <w:b/>
          <w:color w:val="auto"/>
          <w:spacing w:val="60"/>
          <w:sz w:val="84"/>
          <w:szCs w:val="84"/>
          <w:highlight w:val="none"/>
          <w:lang w:eastAsia="zh-CN"/>
        </w:rPr>
      </w:pPr>
      <w:r>
        <w:rPr>
          <w:rFonts w:hint="eastAsia" w:ascii="宋体" w:hAnsi="宋体" w:eastAsia="宋体" w:cs="宋体"/>
          <w:b/>
          <w:color w:val="auto"/>
          <w:spacing w:val="60"/>
          <w:sz w:val="84"/>
          <w:szCs w:val="84"/>
          <w:highlight w:val="none"/>
          <w:lang w:eastAsia="zh-CN"/>
        </w:rPr>
        <w:tab/>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宋体" w:hAnsi="宋体" w:eastAsia="宋体" w:cs="宋体"/>
          <w:b/>
          <w:color w:val="auto"/>
          <w:sz w:val="72"/>
        </w:rPr>
      </w:pPr>
      <w:r>
        <w:rPr>
          <w:rFonts w:hint="eastAsia" w:ascii="宋体" w:hAnsi="宋体" w:eastAsia="宋体" w:cs="宋体"/>
          <w:b/>
          <w:color w:val="auto"/>
          <w:sz w:val="72"/>
          <w:szCs w:val="24"/>
        </w:rPr>
        <w:t>政府采购项目</w:t>
      </w:r>
      <w:r>
        <w:rPr>
          <w:rFonts w:hint="eastAsia" w:ascii="宋体" w:hAnsi="宋体" w:eastAsia="宋体" w:cs="宋体"/>
          <w:b/>
          <w:color w:val="auto"/>
          <w:sz w:val="72"/>
          <w:szCs w:val="24"/>
          <w:lang w:val="en-US" w:eastAsia="zh-CN"/>
        </w:rPr>
        <w:t>竞争性谈判</w:t>
      </w:r>
      <w:r>
        <w:rPr>
          <w:rFonts w:hint="eastAsia" w:ascii="宋体" w:hAnsi="宋体" w:eastAsia="宋体" w:cs="宋体"/>
          <w:b/>
          <w:color w:val="auto"/>
          <w:sz w:val="72"/>
          <w:szCs w:val="24"/>
        </w:rPr>
        <w:t>文件</w:t>
      </w: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rPr>
      </w:pPr>
    </w:p>
    <w:p>
      <w:pPr>
        <w:pageBreakBefore w:val="0"/>
        <w:numPr>
          <w:ilvl w:val="0"/>
          <w:numId w:val="0"/>
        </w:numPr>
        <w:kinsoku/>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rPr>
        <w:t>采购编号：</w:t>
      </w:r>
      <w:r>
        <w:rPr>
          <w:rFonts w:hint="eastAsia" w:ascii="宋体" w:hAnsi="宋体" w:cs="宋体"/>
          <w:color w:val="auto"/>
          <w:sz w:val="28"/>
          <w:szCs w:val="28"/>
          <w:highlight w:val="none"/>
          <w:lang w:val="en-US" w:eastAsia="zh-CN"/>
        </w:rPr>
        <w:t>TS</w:t>
      </w:r>
      <w:r>
        <w:rPr>
          <w:rFonts w:hint="eastAsia" w:ascii="宋体" w:hAnsi="宋体" w:eastAsia="宋体" w:cs="宋体"/>
          <w:b w:val="0"/>
          <w:bCs w:val="0"/>
          <w:color w:val="auto"/>
          <w:sz w:val="28"/>
          <w:szCs w:val="28"/>
          <w:highlight w:val="none"/>
        </w:rPr>
        <w:t>JT202</w:t>
      </w:r>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-00</w:t>
      </w:r>
      <w:r>
        <w:rPr>
          <w:rFonts w:hint="eastAsia" w:ascii="宋体" w:hAnsi="宋体" w:cs="宋体"/>
          <w:b w:val="0"/>
          <w:bCs w:val="0"/>
          <w:color w:val="auto"/>
          <w:sz w:val="28"/>
          <w:szCs w:val="28"/>
          <w:highlight w:val="none"/>
          <w:lang w:val="en-US" w:eastAsia="zh-CN"/>
        </w:rPr>
        <w:t>2</w:t>
      </w:r>
    </w:p>
    <w:p>
      <w:pPr>
        <w:pStyle w:val="33"/>
        <w:jc w:val="both"/>
        <w:rPr>
          <w:rFonts w:hint="eastAsia" w:ascii="宋体" w:hAnsi="宋体" w:eastAsia="宋体" w:cs="宋体"/>
          <w:color w:val="auto"/>
          <w:lang w:eastAsia="zh-CN"/>
        </w:rPr>
      </w:pPr>
    </w:p>
    <w:p>
      <w:pPr>
        <w:pStyle w:val="33"/>
        <w:jc w:val="both"/>
        <w:rPr>
          <w:rFonts w:hint="eastAsia" w:ascii="宋体" w:hAnsi="宋体" w:eastAsia="宋体" w:cs="宋体"/>
          <w:color w:val="auto"/>
          <w:lang w:eastAsia="zh-CN"/>
        </w:rPr>
      </w:pPr>
    </w:p>
    <w:p>
      <w:pPr>
        <w:pStyle w:val="113"/>
        <w:rPr>
          <w:rFonts w:hint="eastAsia" w:ascii="宋体" w:hAnsi="宋体" w:eastAsia="宋体" w:cs="宋体"/>
          <w:bCs/>
          <w:color w:val="auto"/>
          <w:sz w:val="28"/>
          <w:szCs w:val="2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left="400" w:leftChars="200" w:firstLine="0" w:firstLineChars="0"/>
        <w:jc w:val="both"/>
        <w:textAlignment w:val="auto"/>
        <w:rPr>
          <w:rFonts w:hint="default" w:eastAsia="宋体"/>
          <w:lang w:val="en-US" w:eastAsia="zh-CN"/>
        </w:rPr>
      </w:pPr>
      <w:r>
        <w:rPr>
          <w:rFonts w:hint="eastAsia" w:ascii="宋体" w:hAnsi="宋体" w:eastAsia="宋体" w:cs="宋体"/>
          <w:bCs/>
          <w:color w:val="auto"/>
          <w:sz w:val="28"/>
          <w:szCs w:val="28"/>
          <w:lang w:val="en-US" w:eastAsia="zh-CN"/>
        </w:rPr>
        <w:t>项目</w:t>
      </w:r>
      <w:r>
        <w:rPr>
          <w:rFonts w:hint="eastAsia" w:ascii="宋体" w:hAnsi="宋体" w:eastAsia="宋体" w:cs="宋体"/>
          <w:bCs/>
          <w:color w:val="auto"/>
          <w:sz w:val="28"/>
          <w:szCs w:val="28"/>
          <w:lang w:val="zh-CN"/>
        </w:rPr>
        <w:t>名称：</w:t>
      </w:r>
      <w:r>
        <w:rPr>
          <w:rFonts w:hint="eastAsia" w:ascii="仿宋" w:hAnsi="仿宋" w:eastAsia="仿宋" w:cs="仿宋"/>
          <w:bCs/>
          <w:color w:val="auto"/>
          <w:sz w:val="28"/>
          <w:szCs w:val="28"/>
          <w:highlight w:val="none"/>
          <w:lang w:val="en-US" w:eastAsia="zh-CN"/>
        </w:rPr>
        <w:t>吐鲁番市高昌区第十幼儿园普惠性托育服务项目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400" w:leftChars="200" w:firstLine="0" w:firstLineChars="0"/>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zh-CN"/>
        </w:rPr>
        <w:t>采</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zh-CN"/>
        </w:rPr>
        <w:t>购</w:t>
      </w:r>
      <w:r>
        <w:rPr>
          <w:rFonts w:hint="eastAsia" w:ascii="宋体" w:hAnsi="宋体" w:eastAsia="宋体" w:cs="宋体"/>
          <w:bCs/>
          <w:color w:val="auto"/>
          <w:sz w:val="28"/>
          <w:szCs w:val="28"/>
          <w:lang w:val="en-US" w:eastAsia="zh-CN"/>
        </w:rPr>
        <w:t xml:space="preserve"> </w:t>
      </w:r>
      <w:r>
        <w:rPr>
          <w:rFonts w:hint="eastAsia" w:ascii="宋体" w:hAnsi="宋体" w:eastAsia="宋体" w:cs="宋体"/>
          <w:bCs/>
          <w:color w:val="auto"/>
          <w:sz w:val="28"/>
          <w:szCs w:val="28"/>
          <w:lang w:val="zh-CN"/>
        </w:rPr>
        <w:t>人（盖章）：</w:t>
      </w:r>
      <w:r>
        <w:rPr>
          <w:rFonts w:hint="eastAsia" w:ascii="仿宋" w:hAnsi="仿宋" w:eastAsia="仿宋" w:cs="仿宋"/>
          <w:bCs/>
          <w:color w:val="auto"/>
          <w:sz w:val="28"/>
          <w:szCs w:val="28"/>
          <w:highlight w:val="none"/>
          <w:lang w:val="en-US" w:eastAsia="zh-CN"/>
        </w:rPr>
        <w:t>吐鲁番市高昌区卫生健康委员会</w:t>
      </w:r>
    </w:p>
    <w:p>
      <w:pPr>
        <w:keepNext w:val="0"/>
        <w:keepLines w:val="0"/>
        <w:pageBreakBefore w:val="0"/>
        <w:widowControl w:val="0"/>
        <w:kinsoku/>
        <w:wordWrap/>
        <w:overflowPunct/>
        <w:topLinePunct w:val="0"/>
        <w:autoSpaceDE w:val="0"/>
        <w:autoSpaceDN w:val="0"/>
        <w:bidi w:val="0"/>
        <w:adjustRightInd w:val="0"/>
        <w:snapToGrid/>
        <w:spacing w:line="560" w:lineRule="exact"/>
        <w:ind w:left="400" w:leftChars="200" w:firstLine="0" w:firstLineChars="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lang w:val="zh-CN" w:eastAsia="zh-CN"/>
        </w:rPr>
        <w:t>联 系 人</w:t>
      </w:r>
      <w:r>
        <w:rPr>
          <w:rFonts w:hint="eastAsia" w:ascii="宋体" w:hAnsi="宋体" w:eastAsia="宋体" w:cs="宋体"/>
          <w:bCs/>
          <w:color w:val="auto"/>
          <w:sz w:val="28"/>
          <w:szCs w:val="28"/>
          <w:highlight w:val="none"/>
          <w:lang w:val="zh-CN" w:eastAsia="zh-CN"/>
        </w:rPr>
        <w:t>：</w:t>
      </w:r>
      <w:r>
        <w:rPr>
          <w:rFonts w:hint="eastAsia" w:ascii="仿宋" w:hAnsi="仿宋" w:eastAsia="仿宋" w:cs="仿宋"/>
          <w:bCs/>
          <w:color w:val="auto"/>
          <w:sz w:val="28"/>
          <w:szCs w:val="28"/>
          <w:highlight w:val="none"/>
          <w:lang w:val="en-US" w:eastAsia="zh-CN"/>
        </w:rPr>
        <w:t>艾克热木·吾买尔</w:t>
      </w:r>
    </w:p>
    <w:p>
      <w:pPr>
        <w:keepNext w:val="0"/>
        <w:keepLines w:val="0"/>
        <w:pageBreakBefore w:val="0"/>
        <w:widowControl w:val="0"/>
        <w:kinsoku/>
        <w:wordWrap/>
        <w:overflowPunct/>
        <w:topLinePunct w:val="0"/>
        <w:autoSpaceDE w:val="0"/>
        <w:autoSpaceDN w:val="0"/>
        <w:bidi w:val="0"/>
        <w:adjustRightInd w:val="0"/>
        <w:snapToGrid/>
        <w:spacing w:line="560" w:lineRule="exact"/>
        <w:ind w:left="400" w:leftChars="200" w:firstLine="0" w:firstLineChars="0"/>
        <w:textAlignment w:val="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zh-CN" w:eastAsia="zh-CN"/>
        </w:rPr>
        <w:t>电    话：</w:t>
      </w:r>
      <w:r>
        <w:rPr>
          <w:rFonts w:hint="eastAsia" w:ascii="仿宋" w:hAnsi="仿宋" w:eastAsia="仿宋" w:cs="仿宋"/>
          <w:bCs/>
          <w:color w:val="auto"/>
          <w:sz w:val="28"/>
          <w:szCs w:val="28"/>
          <w:highlight w:val="none"/>
          <w:lang w:val="en-US" w:eastAsia="zh-CN"/>
        </w:rPr>
        <w:t>13699914921</w:t>
      </w:r>
    </w:p>
    <w:p>
      <w:pPr>
        <w:keepNext w:val="0"/>
        <w:keepLines w:val="0"/>
        <w:pageBreakBefore w:val="0"/>
        <w:widowControl w:val="0"/>
        <w:kinsoku/>
        <w:wordWrap/>
        <w:overflowPunct/>
        <w:topLinePunct w:val="0"/>
        <w:autoSpaceDE w:val="0"/>
        <w:autoSpaceDN w:val="0"/>
        <w:bidi w:val="0"/>
        <w:adjustRightInd w:val="0"/>
        <w:snapToGrid/>
        <w:spacing w:line="560" w:lineRule="exact"/>
        <w:ind w:left="400" w:leftChars="200" w:firstLine="0" w:firstLineChars="0"/>
        <w:textAlignment w:val="auto"/>
        <w:rPr>
          <w:rFonts w:hint="eastAsia" w:ascii="仿宋" w:hAnsi="仿宋" w:eastAsia="仿宋" w:cs="仿宋"/>
          <w:bCs/>
          <w:color w:val="auto"/>
          <w:sz w:val="28"/>
          <w:szCs w:val="28"/>
          <w:highlight w:val="none"/>
          <w:lang w:val="en-US" w:eastAsia="zh-CN"/>
        </w:rPr>
      </w:pPr>
      <w:r>
        <w:rPr>
          <w:rFonts w:hint="eastAsia" w:ascii="宋体" w:hAnsi="宋体" w:eastAsia="宋体" w:cs="宋体"/>
          <w:bCs/>
          <w:color w:val="auto"/>
          <w:sz w:val="28"/>
          <w:szCs w:val="28"/>
          <w:highlight w:val="none"/>
          <w:lang w:val="zh-CN" w:eastAsia="zh-CN"/>
        </w:rPr>
        <w:t>详细地址：</w:t>
      </w:r>
      <w:r>
        <w:rPr>
          <w:rFonts w:hint="eastAsia" w:ascii="仿宋" w:hAnsi="仿宋" w:eastAsia="仿宋" w:cs="仿宋"/>
          <w:bCs/>
          <w:color w:val="auto"/>
          <w:sz w:val="28"/>
          <w:szCs w:val="28"/>
          <w:highlight w:val="none"/>
          <w:lang w:val="en-US" w:eastAsia="zh-CN"/>
        </w:rPr>
        <w:t>吐鲁番市高昌区文化中路（组织部大院）</w:t>
      </w:r>
    </w:p>
    <w:p>
      <w:pPr>
        <w:autoSpaceDE w:val="0"/>
        <w:autoSpaceDN w:val="0"/>
        <w:bidi w:val="0"/>
        <w:adjustRightInd w:val="0"/>
        <w:spacing w:line="560" w:lineRule="exact"/>
        <w:ind w:left="400" w:leftChars="200" w:firstLine="0" w:firstLineChars="0"/>
        <w:rPr>
          <w:rFonts w:hint="eastAsia"/>
          <w:color w:val="auto"/>
          <w:highlight w:val="none"/>
          <w:lang w:val="en-US" w:eastAsia="zh-CN"/>
        </w:rPr>
      </w:pPr>
      <w:r>
        <w:rPr>
          <w:rFonts w:hint="eastAsia" w:ascii="宋体" w:hAnsi="宋体" w:eastAsia="宋体" w:cs="宋体"/>
          <w:bCs/>
          <w:color w:val="auto"/>
          <w:sz w:val="28"/>
          <w:szCs w:val="28"/>
          <w:lang w:val="en-US" w:eastAsia="zh-CN"/>
        </w:rPr>
        <w:t>采购</w:t>
      </w:r>
      <w:r>
        <w:rPr>
          <w:rFonts w:hint="eastAsia" w:ascii="宋体" w:hAnsi="宋体" w:eastAsia="宋体" w:cs="宋体"/>
          <w:bCs/>
          <w:color w:val="auto"/>
          <w:sz w:val="28"/>
          <w:szCs w:val="28"/>
          <w:lang w:val="zh-CN"/>
        </w:rPr>
        <w:t>代理机构</w:t>
      </w:r>
      <w:r>
        <w:rPr>
          <w:rFonts w:hint="eastAsia" w:ascii="宋体" w:hAnsi="宋体" w:eastAsia="宋体" w:cs="宋体"/>
          <w:color w:val="auto"/>
          <w:sz w:val="28"/>
          <w:szCs w:val="28"/>
          <w:lang w:val="zh-CN"/>
        </w:rPr>
        <w:t>（盖章</w:t>
      </w:r>
      <w:r>
        <w:rPr>
          <w:rFonts w:hint="eastAsia" w:ascii="宋体" w:hAnsi="宋体" w:eastAsia="宋体" w:cs="宋体"/>
          <w:bCs/>
          <w:color w:val="auto"/>
          <w:sz w:val="28"/>
          <w:szCs w:val="28"/>
          <w:lang w:val="zh-CN" w:eastAsia="zh-CN"/>
        </w:rPr>
        <w:t>）：</w:t>
      </w:r>
      <w:r>
        <w:rPr>
          <w:rFonts w:hint="eastAsia" w:ascii="仿宋" w:hAnsi="仿宋" w:eastAsia="仿宋" w:cs="仿宋"/>
          <w:bCs/>
          <w:color w:val="auto"/>
          <w:sz w:val="28"/>
          <w:szCs w:val="28"/>
          <w:highlight w:val="none"/>
          <w:lang w:val="zh-CN" w:eastAsia="zh-CN"/>
        </w:rPr>
        <w:t>吐鲁番市行政服务中心（市公共资源交易中心）</w:t>
      </w:r>
    </w:p>
    <w:p>
      <w:pPr>
        <w:bidi w:val="0"/>
        <w:rPr>
          <w:rFonts w:hint="eastAsia"/>
          <w:color w:val="auto"/>
          <w:highlight w:val="none"/>
          <w:lang w:val="en-US" w:eastAsia="zh-CN"/>
        </w:rPr>
      </w:pPr>
    </w:p>
    <w:p>
      <w:pPr>
        <w:spacing w:line="480" w:lineRule="exact"/>
        <w:ind w:firstLine="0" w:firstLineChars="0"/>
        <w:rPr>
          <w:rFonts w:hint="eastAsia" w:ascii="宋体" w:hAnsi="宋体" w:eastAsia="宋体" w:cs="宋体"/>
          <w:color w:val="auto"/>
          <w:sz w:val="30"/>
          <w:szCs w:val="30"/>
          <w:highlight w:val="none"/>
          <w:lang w:val="en-US" w:eastAsia="zh-CN"/>
        </w:rPr>
      </w:pPr>
    </w:p>
    <w:p>
      <w:pPr>
        <w:spacing w:line="480" w:lineRule="exact"/>
        <w:ind w:firstLine="1200" w:firstLineChars="4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吐鲁番市行政服务中心（市公共资源交易中心）</w:t>
      </w:r>
    </w:p>
    <w:p>
      <w:pPr>
        <w:spacing w:line="480" w:lineRule="exact"/>
        <w:jc w:val="center"/>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2025年6月</w:t>
      </w:r>
    </w:p>
    <w:p>
      <w:pPr>
        <w:tabs>
          <w:tab w:val="left" w:pos="2341"/>
        </w:tabs>
        <w:bidi w:val="0"/>
        <w:jc w:val="left"/>
        <w:rPr>
          <w:rFonts w:hint="eastAsia"/>
          <w:color w:val="auto"/>
          <w:highlight w:val="none"/>
          <w:lang w:val="en-US" w:eastAsia="zh-CN"/>
        </w:rPr>
        <w:sectPr>
          <w:headerReference r:id="rId3" w:type="first"/>
          <w:footerReference r:id="rId5" w:type="first"/>
          <w:footerReference r:id="rId4" w:type="default"/>
          <w:pgSz w:w="11906" w:h="16838"/>
          <w:pgMar w:top="1440" w:right="1797" w:bottom="1440" w:left="1797" w:header="851" w:footer="992" w:gutter="0"/>
          <w:pgNumType w:fmt="numberInDash" w:chapStyle="1"/>
          <w:cols w:space="425" w:num="1"/>
          <w:titlePg/>
          <w:docGrid w:type="lines" w:linePitch="312" w:charSpace="0"/>
        </w:sectPr>
      </w:pPr>
    </w:p>
    <w:p>
      <w:pPr>
        <w:pStyle w:val="7"/>
        <w:jc w:val="center"/>
        <w:rPr>
          <w:rFonts w:hint="eastAsia" w:ascii="宋体" w:hAnsi="宋体" w:eastAsia="宋体" w:cs="宋体"/>
          <w:b/>
          <w:bCs/>
          <w:color w:val="auto"/>
          <w:kern w:val="0"/>
          <w:sz w:val="32"/>
          <w:szCs w:val="32"/>
          <w:highlight w:val="none"/>
          <w:lang w:val="zh-CN" w:eastAsia="zh-CN" w:bidi="ar-SA"/>
        </w:rPr>
      </w:pPr>
      <w:bookmarkStart w:id="0" w:name="_Toc24816"/>
      <w:r>
        <w:rPr>
          <w:rFonts w:hint="eastAsia" w:ascii="宋体" w:hAnsi="宋体" w:eastAsia="宋体" w:cs="宋体"/>
          <w:b/>
          <w:bCs/>
          <w:color w:val="auto"/>
          <w:kern w:val="0"/>
          <w:sz w:val="32"/>
          <w:szCs w:val="32"/>
          <w:highlight w:val="none"/>
          <w:lang w:val="zh-CN" w:eastAsia="zh-CN" w:bidi="ar-SA"/>
        </w:rPr>
        <w:t>目    录</w:t>
      </w:r>
      <w:bookmarkEnd w:id="0"/>
    </w:p>
    <w:p>
      <w:pPr>
        <w:pStyle w:val="21"/>
        <w:rPr>
          <w:rFonts w:hint="eastAsia"/>
          <w:color w:val="auto"/>
          <w:highlight w:val="none"/>
        </w:rPr>
      </w:pP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_Toc31580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highlight w:val="none"/>
          <w:lang w:val="en-US" w:eastAsia="zh-CN" w:bidi="ar-SA"/>
        </w:rPr>
        <w:t>第一部分  谈判邀请</w:t>
      </w:r>
      <w:r>
        <w:rPr>
          <w:sz w:val="30"/>
          <w:szCs w:val="30"/>
        </w:rPr>
        <w:tab/>
      </w:r>
      <w:r>
        <w:rPr>
          <w:sz w:val="30"/>
          <w:szCs w:val="30"/>
        </w:rPr>
        <w:fldChar w:fldCharType="begin"/>
      </w:r>
      <w:r>
        <w:rPr>
          <w:sz w:val="30"/>
          <w:szCs w:val="30"/>
        </w:rPr>
        <w:instrText xml:space="preserve"> PAGEREF _Toc31580 \h </w:instrText>
      </w:r>
      <w:r>
        <w:rPr>
          <w:sz w:val="30"/>
          <w:szCs w:val="30"/>
        </w:rPr>
        <w:fldChar w:fldCharType="separate"/>
      </w:r>
      <w:r>
        <w:rPr>
          <w:sz w:val="30"/>
          <w:szCs w:val="30"/>
        </w:rPr>
        <w:t>- 3 -</w:t>
      </w:r>
      <w:r>
        <w:rPr>
          <w:sz w:val="30"/>
          <w:szCs w:val="30"/>
        </w:rPr>
        <w:fldChar w:fldCharType="end"/>
      </w:r>
      <w:r>
        <w:rPr>
          <w:rFonts w:hint="eastAsia" w:ascii="宋体" w:hAnsi="宋体" w:eastAsia="宋体" w:cs="宋体"/>
          <w:color w:val="auto"/>
          <w:sz w:val="30"/>
          <w:szCs w:val="30"/>
          <w:highlight w:val="none"/>
        </w:rPr>
        <w:fldChar w:fldCharType="end"/>
      </w: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_Toc5188 </w:instrText>
      </w:r>
      <w:r>
        <w:rPr>
          <w:rFonts w:hint="eastAsia" w:ascii="宋体" w:hAnsi="宋体" w:eastAsia="宋体" w:cs="宋体"/>
          <w:sz w:val="30"/>
          <w:szCs w:val="30"/>
          <w:highlight w:val="none"/>
        </w:rPr>
        <w:fldChar w:fldCharType="separate"/>
      </w:r>
      <w:r>
        <w:rPr>
          <w:rFonts w:hint="eastAsia" w:ascii="宋体" w:hAnsi="宋体" w:eastAsia="宋体" w:cs="宋体"/>
          <w:sz w:val="30"/>
          <w:szCs w:val="30"/>
          <w:highlight w:val="none"/>
        </w:rPr>
        <w:t>第二部分  谈判供应商须知前附表</w:t>
      </w:r>
      <w:r>
        <w:rPr>
          <w:sz w:val="30"/>
          <w:szCs w:val="30"/>
        </w:rPr>
        <w:tab/>
      </w:r>
      <w:r>
        <w:rPr>
          <w:sz w:val="30"/>
          <w:szCs w:val="30"/>
        </w:rPr>
        <w:fldChar w:fldCharType="begin"/>
      </w:r>
      <w:r>
        <w:rPr>
          <w:sz w:val="30"/>
          <w:szCs w:val="30"/>
        </w:rPr>
        <w:instrText xml:space="preserve"> PAGEREF _Toc5188 \h </w:instrText>
      </w:r>
      <w:r>
        <w:rPr>
          <w:sz w:val="30"/>
          <w:szCs w:val="30"/>
        </w:rPr>
        <w:fldChar w:fldCharType="separate"/>
      </w:r>
      <w:r>
        <w:rPr>
          <w:sz w:val="30"/>
          <w:szCs w:val="30"/>
        </w:rPr>
        <w:t xml:space="preserve">- </w:t>
      </w:r>
      <w:r>
        <w:rPr>
          <w:rFonts w:hint="eastAsia" w:eastAsia="宋体"/>
          <w:sz w:val="30"/>
          <w:szCs w:val="30"/>
          <w:lang w:val="en-US" w:eastAsia="zh-CN"/>
        </w:rPr>
        <w:t>8</w:t>
      </w:r>
      <w:r>
        <w:rPr>
          <w:sz w:val="30"/>
          <w:szCs w:val="30"/>
        </w:rPr>
        <w:t xml:space="preserve"> -</w:t>
      </w:r>
      <w:r>
        <w:rPr>
          <w:sz w:val="30"/>
          <w:szCs w:val="30"/>
        </w:rPr>
        <w:fldChar w:fldCharType="end"/>
      </w:r>
      <w:r>
        <w:rPr>
          <w:rFonts w:hint="eastAsia" w:ascii="宋体" w:hAnsi="宋体" w:eastAsia="宋体" w:cs="宋体"/>
          <w:color w:val="auto"/>
          <w:sz w:val="30"/>
          <w:szCs w:val="30"/>
          <w:highlight w:val="none"/>
        </w:rPr>
        <w:fldChar w:fldCharType="end"/>
      </w: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_Toc13302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highlight w:val="none"/>
          <w:lang w:val="en-US" w:eastAsia="zh-CN" w:bidi="ar-SA"/>
        </w:rPr>
        <w:t>第三部分  谈判供应商须知</w:t>
      </w:r>
      <w:r>
        <w:rPr>
          <w:sz w:val="30"/>
          <w:szCs w:val="30"/>
        </w:rPr>
        <w:tab/>
      </w:r>
      <w:r>
        <w:rPr>
          <w:sz w:val="30"/>
          <w:szCs w:val="30"/>
        </w:rPr>
        <w:fldChar w:fldCharType="begin"/>
      </w:r>
      <w:r>
        <w:rPr>
          <w:sz w:val="30"/>
          <w:szCs w:val="30"/>
        </w:rPr>
        <w:instrText xml:space="preserve"> PAGEREF _Toc13302 \h </w:instrText>
      </w:r>
      <w:r>
        <w:rPr>
          <w:sz w:val="30"/>
          <w:szCs w:val="30"/>
        </w:rPr>
        <w:fldChar w:fldCharType="separate"/>
      </w:r>
      <w:r>
        <w:rPr>
          <w:sz w:val="30"/>
          <w:szCs w:val="30"/>
        </w:rPr>
        <w:t>- 1</w:t>
      </w:r>
      <w:r>
        <w:rPr>
          <w:rFonts w:hint="eastAsia" w:eastAsia="宋体"/>
          <w:sz w:val="30"/>
          <w:szCs w:val="30"/>
          <w:lang w:val="en-US" w:eastAsia="zh-CN"/>
        </w:rPr>
        <w:t>0</w:t>
      </w:r>
      <w:r>
        <w:rPr>
          <w:sz w:val="30"/>
          <w:szCs w:val="30"/>
        </w:rPr>
        <w:t xml:space="preserve"> -</w:t>
      </w:r>
      <w:r>
        <w:rPr>
          <w:sz w:val="30"/>
          <w:szCs w:val="30"/>
        </w:rPr>
        <w:fldChar w:fldCharType="end"/>
      </w:r>
      <w:r>
        <w:rPr>
          <w:rFonts w:hint="eastAsia" w:ascii="宋体" w:hAnsi="宋体" w:eastAsia="宋体" w:cs="宋体"/>
          <w:color w:val="auto"/>
          <w:sz w:val="30"/>
          <w:szCs w:val="30"/>
          <w:highlight w:val="none"/>
        </w:rPr>
        <w:fldChar w:fldCharType="end"/>
      </w: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_Toc32462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highlight w:val="none"/>
          <w:lang w:val="en-US" w:eastAsia="zh-CN"/>
        </w:rPr>
        <w:t>第四部分  采购项目需求</w:t>
      </w:r>
      <w:r>
        <w:rPr>
          <w:sz w:val="30"/>
          <w:szCs w:val="30"/>
        </w:rPr>
        <w:tab/>
      </w:r>
      <w:r>
        <w:rPr>
          <w:sz w:val="30"/>
          <w:szCs w:val="30"/>
        </w:rPr>
        <w:fldChar w:fldCharType="begin"/>
      </w:r>
      <w:r>
        <w:rPr>
          <w:sz w:val="30"/>
          <w:szCs w:val="30"/>
        </w:rPr>
        <w:instrText xml:space="preserve"> PAGEREF _Toc32462 \h </w:instrText>
      </w:r>
      <w:r>
        <w:rPr>
          <w:sz w:val="30"/>
          <w:szCs w:val="30"/>
        </w:rPr>
        <w:fldChar w:fldCharType="separate"/>
      </w:r>
      <w:r>
        <w:rPr>
          <w:sz w:val="30"/>
          <w:szCs w:val="30"/>
        </w:rPr>
        <w:t>- 2</w:t>
      </w:r>
      <w:r>
        <w:rPr>
          <w:rFonts w:hint="eastAsia" w:eastAsia="宋体"/>
          <w:sz w:val="30"/>
          <w:szCs w:val="30"/>
          <w:lang w:val="en-US" w:eastAsia="zh-CN"/>
        </w:rPr>
        <w:t>5</w:t>
      </w:r>
      <w:r>
        <w:rPr>
          <w:sz w:val="30"/>
          <w:szCs w:val="30"/>
        </w:rPr>
        <w:t xml:space="preserve"> -</w:t>
      </w:r>
      <w:r>
        <w:rPr>
          <w:sz w:val="30"/>
          <w:szCs w:val="30"/>
        </w:rPr>
        <w:fldChar w:fldCharType="end"/>
      </w:r>
      <w:r>
        <w:rPr>
          <w:rFonts w:hint="eastAsia" w:ascii="宋体" w:hAnsi="宋体" w:eastAsia="宋体" w:cs="宋体"/>
          <w:color w:val="auto"/>
          <w:sz w:val="30"/>
          <w:szCs w:val="30"/>
          <w:highlight w:val="none"/>
        </w:rPr>
        <w:fldChar w:fldCharType="end"/>
      </w: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_Toc16858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highlight w:val="none"/>
          <w:lang w:val="en-US" w:eastAsia="zh-CN" w:bidi="ar-SA"/>
        </w:rPr>
        <w:t>第五部分  评定和成交标准</w:t>
      </w:r>
      <w:r>
        <w:rPr>
          <w:sz w:val="30"/>
          <w:szCs w:val="30"/>
        </w:rPr>
        <w:tab/>
      </w:r>
      <w:r>
        <w:rPr>
          <w:sz w:val="30"/>
          <w:szCs w:val="30"/>
        </w:rPr>
        <w:fldChar w:fldCharType="begin"/>
      </w:r>
      <w:r>
        <w:rPr>
          <w:sz w:val="30"/>
          <w:szCs w:val="30"/>
        </w:rPr>
        <w:instrText xml:space="preserve"> PAGEREF _Toc16858 \h </w:instrText>
      </w:r>
      <w:r>
        <w:rPr>
          <w:sz w:val="30"/>
          <w:szCs w:val="30"/>
        </w:rPr>
        <w:fldChar w:fldCharType="separate"/>
      </w:r>
      <w:r>
        <w:rPr>
          <w:sz w:val="30"/>
          <w:szCs w:val="30"/>
        </w:rPr>
        <w:t>- 3</w:t>
      </w:r>
      <w:r>
        <w:rPr>
          <w:rFonts w:hint="eastAsia" w:eastAsia="宋体"/>
          <w:sz w:val="30"/>
          <w:szCs w:val="30"/>
          <w:lang w:val="en-US" w:eastAsia="zh-CN"/>
        </w:rPr>
        <w:t>0</w:t>
      </w:r>
      <w:r>
        <w:rPr>
          <w:sz w:val="30"/>
          <w:szCs w:val="30"/>
        </w:rPr>
        <w:t xml:space="preserve"> -</w:t>
      </w:r>
      <w:r>
        <w:rPr>
          <w:sz w:val="30"/>
          <w:szCs w:val="30"/>
        </w:rPr>
        <w:fldChar w:fldCharType="end"/>
      </w:r>
      <w:r>
        <w:rPr>
          <w:rFonts w:hint="eastAsia" w:ascii="宋体" w:hAnsi="宋体" w:eastAsia="宋体" w:cs="宋体"/>
          <w:color w:val="auto"/>
          <w:sz w:val="30"/>
          <w:szCs w:val="30"/>
          <w:highlight w:val="none"/>
        </w:rPr>
        <w:fldChar w:fldCharType="end"/>
      </w:r>
    </w:p>
    <w:p>
      <w:pPr>
        <w:pStyle w:val="30"/>
        <w:tabs>
          <w:tab w:val="right" w:leader="dot" w:pos="8848"/>
        </w:tabs>
        <w:spacing w:line="360" w:lineRule="auto"/>
        <w:rPr>
          <w:sz w:val="30"/>
          <w:szCs w:val="30"/>
        </w:rPr>
      </w:pPr>
      <w:r>
        <w:rPr>
          <w:rFonts w:hint="eastAsia" w:ascii="宋体" w:hAnsi="宋体" w:eastAsia="宋体" w:cs="宋体"/>
          <w:color w:val="auto"/>
          <w:sz w:val="30"/>
          <w:szCs w:val="30"/>
          <w:highlight w:val="none"/>
        </w:rPr>
        <w:fldChar w:fldCharType="begin"/>
      </w:r>
      <w:r>
        <w:rPr>
          <w:rFonts w:hint="eastAsia" w:ascii="宋体" w:hAnsi="宋体" w:eastAsia="宋体" w:cs="宋体"/>
          <w:sz w:val="30"/>
          <w:szCs w:val="30"/>
          <w:highlight w:val="none"/>
        </w:rPr>
        <w:instrText xml:space="preserve"> HYPERLINK \l _Toc8882 </w:instrText>
      </w:r>
      <w:r>
        <w:rPr>
          <w:rFonts w:hint="eastAsia" w:ascii="宋体" w:hAnsi="宋体" w:eastAsia="宋体" w:cs="宋体"/>
          <w:sz w:val="30"/>
          <w:szCs w:val="30"/>
          <w:highlight w:val="none"/>
        </w:rPr>
        <w:fldChar w:fldCharType="separate"/>
      </w:r>
      <w:r>
        <w:rPr>
          <w:rFonts w:hint="eastAsia" w:ascii="宋体" w:hAnsi="宋体" w:eastAsia="宋体" w:cs="宋体"/>
          <w:bCs/>
          <w:kern w:val="0"/>
          <w:sz w:val="30"/>
          <w:szCs w:val="30"/>
          <w:highlight w:val="none"/>
          <w:lang w:val="en-US" w:eastAsia="zh-CN" w:bidi="ar-SA"/>
        </w:rPr>
        <w:t>第六部分</w:t>
      </w:r>
      <w:r>
        <w:rPr>
          <w:rFonts w:hint="eastAsia" w:ascii="宋体" w:hAnsi="宋体" w:eastAsia="宋体" w:cs="宋体"/>
          <w:spacing w:val="20"/>
          <w:sz w:val="30"/>
          <w:szCs w:val="30"/>
          <w:highlight w:val="none"/>
        </w:rPr>
        <w:t xml:space="preserve"> </w:t>
      </w:r>
      <w:r>
        <w:rPr>
          <w:rFonts w:hint="eastAsia" w:ascii="宋体" w:hAnsi="宋体" w:eastAsia="宋体" w:cs="宋体"/>
          <w:spacing w:val="20"/>
          <w:sz w:val="30"/>
          <w:szCs w:val="30"/>
          <w:highlight w:val="none"/>
          <w:lang w:val="en-US" w:eastAsia="zh-CN"/>
        </w:rPr>
        <w:t xml:space="preserve"> </w:t>
      </w:r>
      <w:r>
        <w:rPr>
          <w:rFonts w:hint="eastAsia" w:ascii="宋体" w:hAnsi="宋体" w:eastAsia="宋体" w:cs="宋体"/>
          <w:spacing w:val="20"/>
          <w:sz w:val="30"/>
          <w:szCs w:val="30"/>
          <w:highlight w:val="none"/>
        </w:rPr>
        <w:t>合同</w:t>
      </w:r>
      <w:r>
        <w:rPr>
          <w:rFonts w:hint="eastAsia" w:ascii="宋体" w:hAnsi="宋体" w:eastAsia="宋体" w:cs="宋体"/>
          <w:spacing w:val="20"/>
          <w:sz w:val="30"/>
          <w:szCs w:val="30"/>
          <w:highlight w:val="none"/>
          <w:lang w:val="en-US" w:eastAsia="zh-CN"/>
        </w:rPr>
        <w:t>格式</w:t>
      </w:r>
      <w:r>
        <w:rPr>
          <w:sz w:val="30"/>
          <w:szCs w:val="30"/>
        </w:rPr>
        <w:tab/>
      </w:r>
      <w:r>
        <w:rPr>
          <w:sz w:val="30"/>
          <w:szCs w:val="30"/>
        </w:rPr>
        <w:fldChar w:fldCharType="begin"/>
      </w:r>
      <w:r>
        <w:rPr>
          <w:sz w:val="30"/>
          <w:szCs w:val="30"/>
        </w:rPr>
        <w:instrText xml:space="preserve"> PAGEREF _Toc8882 \h </w:instrText>
      </w:r>
      <w:r>
        <w:rPr>
          <w:sz w:val="30"/>
          <w:szCs w:val="30"/>
        </w:rPr>
        <w:fldChar w:fldCharType="separate"/>
      </w:r>
      <w:r>
        <w:rPr>
          <w:sz w:val="30"/>
          <w:szCs w:val="30"/>
        </w:rPr>
        <w:t>- 3</w:t>
      </w:r>
      <w:r>
        <w:rPr>
          <w:rFonts w:hint="eastAsia" w:eastAsia="宋体"/>
          <w:sz w:val="30"/>
          <w:szCs w:val="30"/>
          <w:lang w:val="en-US" w:eastAsia="zh-CN"/>
        </w:rPr>
        <w:t>3</w:t>
      </w:r>
      <w:r>
        <w:rPr>
          <w:sz w:val="30"/>
          <w:szCs w:val="30"/>
        </w:rPr>
        <w:t xml:space="preserve"> -</w:t>
      </w:r>
      <w:r>
        <w:rPr>
          <w:sz w:val="30"/>
          <w:szCs w:val="30"/>
        </w:rPr>
        <w:fldChar w:fldCharType="end"/>
      </w:r>
      <w:r>
        <w:rPr>
          <w:rFonts w:hint="eastAsia" w:ascii="宋体" w:hAnsi="宋体" w:eastAsia="宋体" w:cs="宋体"/>
          <w:color w:val="auto"/>
          <w:sz w:val="30"/>
          <w:szCs w:val="30"/>
          <w:highlight w:val="none"/>
        </w:rPr>
        <w:fldChar w:fldCharType="end"/>
      </w:r>
    </w:p>
    <w:p>
      <w:pPr>
        <w:ind w:firstLine="0" w:firstLineChars="0"/>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fldChar w:fldCharType="end"/>
      </w:r>
    </w:p>
    <w:p>
      <w:pPr>
        <w:pStyle w:val="30"/>
        <w:spacing w:line="360" w:lineRule="auto"/>
        <w:rPr>
          <w:rFonts w:hint="eastAsia" w:ascii="宋体" w:hAnsi="宋体" w:eastAsia="宋体" w:cs="宋体"/>
          <w:color w:val="auto"/>
          <w:sz w:val="22"/>
          <w:szCs w:val="22"/>
          <w:highlight w:val="none"/>
        </w:rPr>
      </w:pPr>
    </w:p>
    <w:p>
      <w:pPr>
        <w:widowControl/>
        <w:jc w:val="left"/>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7"/>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pPr>
        <w:pStyle w:val="7"/>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val="0"/>
        <w:spacing w:before="0" w:after="0" w:line="360" w:lineRule="auto"/>
        <w:jc w:val="center"/>
        <w:textAlignment w:val="auto"/>
        <w:rPr>
          <w:rFonts w:hint="eastAsia" w:ascii="方正小标宋_GBK" w:hAnsi="方正小标宋_GBK" w:eastAsia="方正小标宋_GBK" w:cs="方正小标宋_GBK"/>
          <w:b w:val="0"/>
          <w:bCs w:val="0"/>
          <w:color w:val="auto"/>
          <w:kern w:val="2"/>
          <w:sz w:val="36"/>
          <w:szCs w:val="36"/>
          <w:shd w:val="clear" w:color="auto" w:fill="FFFFFF"/>
          <w:lang w:val="en-US" w:eastAsia="zh-CN"/>
        </w:rPr>
      </w:pPr>
      <w:bookmarkStart w:id="1" w:name="_Toc493575818"/>
      <w:bookmarkStart w:id="2" w:name="_Toc31580"/>
      <w:bookmarkStart w:id="3" w:name="_Toc509237650"/>
      <w:bookmarkStart w:id="4" w:name="_Toc424378683"/>
      <w:bookmarkStart w:id="5" w:name="_Toc352761927"/>
      <w:bookmarkStart w:id="6" w:name="_Toc424378682"/>
      <w:bookmarkStart w:id="7" w:name="_Toc494025077"/>
      <w:bookmarkStart w:id="8" w:name="_Toc511135101"/>
      <w:bookmarkStart w:id="9" w:name="_Toc352761928"/>
      <w:bookmarkStart w:id="10" w:name="_Toc494025076"/>
      <w:bookmarkStart w:id="11" w:name="_Toc493575817"/>
      <w:r>
        <w:rPr>
          <w:rFonts w:hint="eastAsia" w:ascii="方正小标宋_GBK" w:hAnsi="方正小标宋_GBK" w:eastAsia="方正小标宋_GBK" w:cs="方正小标宋_GBK"/>
          <w:b w:val="0"/>
          <w:bCs w:val="0"/>
          <w:color w:val="auto"/>
          <w:kern w:val="2"/>
          <w:sz w:val="36"/>
          <w:szCs w:val="36"/>
          <w:shd w:val="clear" w:color="auto" w:fill="FFFFFF"/>
          <w:lang w:val="en-US" w:eastAsia="zh-CN"/>
        </w:rPr>
        <w:t>第一部分 谈判邀请</w:t>
      </w:r>
    </w:p>
    <w:p>
      <w:pPr>
        <w:spacing w:line="440" w:lineRule="exact"/>
        <w:ind w:firstLine="720" w:firstLineChars="200"/>
        <w:jc w:val="center"/>
        <w:rPr>
          <w:rFonts w:hint="eastAsia" w:ascii="黑体" w:hAnsi="黑体" w:eastAsia="黑体" w:cs="黑体"/>
          <w:b w:val="0"/>
          <w:bCs w:val="0"/>
          <w:color w:val="000000"/>
          <w:sz w:val="36"/>
          <w:szCs w:val="36"/>
          <w:highlight w:val="none"/>
          <w:u w:val="none"/>
          <w:lang w:val="en-US" w:eastAsia="zh-CN"/>
        </w:rPr>
      </w:pPr>
      <w:r>
        <w:rPr>
          <w:rFonts w:hint="eastAsia" w:ascii="黑体" w:hAnsi="黑体" w:eastAsia="黑体" w:cs="黑体"/>
          <w:b w:val="0"/>
          <w:bCs w:val="0"/>
          <w:color w:val="000000"/>
          <w:sz w:val="36"/>
          <w:szCs w:val="36"/>
          <w:highlight w:val="none"/>
          <w:u w:val="none"/>
          <w:lang w:val="en-US" w:eastAsia="zh-CN"/>
        </w:rPr>
        <w:t>吐鲁番市高昌区第十幼儿园普惠性托育服务项目</w:t>
      </w:r>
    </w:p>
    <w:p>
      <w:pPr>
        <w:spacing w:line="440" w:lineRule="exact"/>
        <w:ind w:firstLine="720" w:firstLineChars="200"/>
        <w:jc w:val="center"/>
        <w:rPr>
          <w:rFonts w:hint="eastAsia" w:ascii="黑体" w:hAnsi="黑体" w:eastAsia="黑体" w:cs="黑体"/>
          <w:b w:val="0"/>
          <w:bCs w:val="0"/>
          <w:kern w:val="44"/>
          <w:sz w:val="36"/>
          <w:szCs w:val="36"/>
          <w:lang w:val="en-US" w:eastAsia="zh-CN"/>
        </w:rPr>
      </w:pPr>
      <w:r>
        <w:rPr>
          <w:rFonts w:hint="eastAsia" w:ascii="黑体" w:hAnsi="黑体" w:eastAsia="黑体" w:cs="黑体"/>
          <w:b w:val="0"/>
          <w:bCs w:val="0"/>
          <w:kern w:val="44"/>
          <w:sz w:val="36"/>
          <w:szCs w:val="36"/>
        </w:rPr>
        <w:t>竞争性谈判</w:t>
      </w:r>
      <w:r>
        <w:rPr>
          <w:rFonts w:hint="eastAsia" w:ascii="黑体" w:hAnsi="黑体" w:eastAsia="黑体" w:cs="黑体"/>
          <w:b w:val="0"/>
          <w:bCs w:val="0"/>
          <w:kern w:val="44"/>
          <w:sz w:val="36"/>
          <w:szCs w:val="36"/>
          <w:lang w:val="en-US" w:eastAsia="zh-CN"/>
        </w:rPr>
        <w:t>公告</w:t>
      </w:r>
    </w:p>
    <w:p>
      <w:pPr>
        <w:pStyle w:val="2"/>
        <w:rPr>
          <w:rFonts w:hint="eastAsia"/>
          <w:lang w:val="en-US" w:eastAsia="zh-CN"/>
        </w:rPr>
      </w:pPr>
    </w:p>
    <w:p>
      <w:pPr>
        <w:widowControl/>
        <w:pBdr>
          <w:top w:val="single" w:color="auto" w:sz="4" w:space="0"/>
          <w:left w:val="single" w:color="auto" w:sz="4" w:space="0"/>
          <w:bottom w:val="single" w:color="auto" w:sz="4" w:space="0"/>
          <w:right w:val="single" w:color="auto" w:sz="4" w:space="0"/>
        </w:pBdr>
        <w:spacing w:line="400" w:lineRule="exact"/>
        <w:ind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项目概况</w:t>
      </w:r>
    </w:p>
    <w:p>
      <w:pPr>
        <w:widowControl/>
        <w:pBdr>
          <w:top w:val="single" w:color="auto" w:sz="4" w:space="0"/>
          <w:left w:val="single" w:color="auto" w:sz="4" w:space="0"/>
          <w:bottom w:val="single" w:color="auto" w:sz="4" w:space="0"/>
          <w:right w:val="single" w:color="auto" w:sz="4" w:space="0"/>
        </w:pBdr>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bCs/>
          <w:color w:val="auto"/>
          <w:sz w:val="28"/>
          <w:szCs w:val="28"/>
          <w:highlight w:val="none"/>
          <w:lang w:val="en-US" w:eastAsia="zh-CN"/>
        </w:rPr>
        <w:t>吐鲁番市高昌区第十幼儿园普惠性托育服务项目</w:t>
      </w:r>
      <w:r>
        <w:rPr>
          <w:rFonts w:hint="eastAsia" w:ascii="仿宋" w:hAnsi="仿宋" w:eastAsia="仿宋" w:cs="仿宋"/>
          <w:b w:val="0"/>
          <w:bCs w:val="0"/>
          <w:color w:val="auto"/>
          <w:kern w:val="0"/>
          <w:sz w:val="28"/>
          <w:szCs w:val="28"/>
          <w:highlight w:val="none"/>
          <w:lang w:bidi="ar"/>
        </w:rPr>
        <w:t>的潜在</w:t>
      </w:r>
      <w:r>
        <w:rPr>
          <w:rFonts w:hint="eastAsia" w:ascii="仿宋" w:hAnsi="仿宋" w:eastAsia="仿宋" w:cs="仿宋"/>
          <w:b w:val="0"/>
          <w:bCs w:val="0"/>
          <w:color w:val="auto"/>
          <w:kern w:val="0"/>
          <w:sz w:val="28"/>
          <w:szCs w:val="28"/>
          <w:highlight w:val="none"/>
          <w:lang w:eastAsia="zh-CN" w:bidi="ar"/>
        </w:rPr>
        <w:t>供应商</w:t>
      </w:r>
      <w:r>
        <w:rPr>
          <w:rFonts w:hint="eastAsia" w:ascii="仿宋" w:hAnsi="仿宋" w:eastAsia="仿宋" w:cs="仿宋"/>
          <w:b w:val="0"/>
          <w:bCs w:val="0"/>
          <w:color w:val="auto"/>
          <w:kern w:val="0"/>
          <w:sz w:val="28"/>
          <w:szCs w:val="28"/>
          <w:highlight w:val="none"/>
          <w:lang w:bidi="ar"/>
        </w:rPr>
        <w:t>应在政采云平台线上获取获取</w:t>
      </w:r>
      <w:r>
        <w:rPr>
          <w:rFonts w:hint="eastAsia" w:ascii="仿宋" w:hAnsi="仿宋" w:eastAsia="仿宋" w:cs="仿宋"/>
          <w:b w:val="0"/>
          <w:bCs w:val="0"/>
          <w:color w:val="auto"/>
          <w:kern w:val="0"/>
          <w:sz w:val="28"/>
          <w:szCs w:val="28"/>
          <w:highlight w:val="none"/>
          <w:lang w:eastAsia="zh-CN" w:bidi="ar"/>
        </w:rPr>
        <w:t>采购文件</w:t>
      </w:r>
      <w:r>
        <w:rPr>
          <w:rFonts w:hint="eastAsia" w:ascii="仿宋" w:hAnsi="仿宋" w:eastAsia="仿宋" w:cs="仿宋"/>
          <w:b w:val="0"/>
          <w:bCs w:val="0"/>
          <w:color w:val="auto"/>
          <w:kern w:val="0"/>
          <w:sz w:val="28"/>
          <w:szCs w:val="28"/>
          <w:highlight w:val="none"/>
          <w:lang w:bidi="ar"/>
        </w:rPr>
        <w:t>，并于</w:t>
      </w:r>
      <w:r>
        <w:rPr>
          <w:rFonts w:hint="eastAsia" w:ascii="仿宋" w:hAnsi="仿宋" w:eastAsia="仿宋" w:cs="仿宋"/>
          <w:b w:val="0"/>
          <w:bCs w:val="0"/>
          <w:color w:val="auto"/>
          <w:kern w:val="0"/>
          <w:sz w:val="28"/>
          <w:szCs w:val="28"/>
          <w:highlight w:val="none"/>
          <w:lang w:val="en-US" w:eastAsia="zh-CN" w:bidi="ar"/>
        </w:rPr>
        <w:t>2025年7</w:t>
      </w:r>
      <w:r>
        <w:rPr>
          <w:rFonts w:hint="eastAsia" w:ascii="仿宋" w:hAnsi="仿宋" w:eastAsia="仿宋" w:cs="仿宋"/>
          <w:b w:val="0"/>
          <w:bCs w:val="0"/>
          <w:color w:val="auto"/>
          <w:kern w:val="0"/>
          <w:sz w:val="28"/>
          <w:szCs w:val="28"/>
          <w:highlight w:val="none"/>
          <w:lang w:bidi="ar"/>
        </w:rPr>
        <w:t>月</w:t>
      </w:r>
      <w:r>
        <w:rPr>
          <w:rFonts w:hint="eastAsia" w:ascii="仿宋" w:hAnsi="仿宋" w:eastAsia="仿宋" w:cs="仿宋"/>
          <w:b w:val="0"/>
          <w:bCs w:val="0"/>
          <w:color w:val="auto"/>
          <w:kern w:val="0"/>
          <w:sz w:val="28"/>
          <w:szCs w:val="28"/>
          <w:highlight w:val="none"/>
          <w:lang w:val="en-US" w:eastAsia="zh-CN" w:bidi="ar"/>
        </w:rPr>
        <w:t>3</w:t>
      </w:r>
      <w:r>
        <w:rPr>
          <w:rFonts w:hint="eastAsia" w:ascii="仿宋" w:hAnsi="仿宋" w:eastAsia="仿宋" w:cs="仿宋"/>
          <w:b w:val="0"/>
          <w:bCs w:val="0"/>
          <w:color w:val="auto"/>
          <w:kern w:val="0"/>
          <w:sz w:val="28"/>
          <w:szCs w:val="28"/>
          <w:highlight w:val="none"/>
          <w:lang w:bidi="ar"/>
        </w:rPr>
        <w:t>日</w:t>
      </w:r>
      <w:r>
        <w:rPr>
          <w:rFonts w:hint="eastAsia" w:ascii="仿宋" w:hAnsi="仿宋" w:eastAsia="仿宋" w:cs="仿宋"/>
          <w:b w:val="0"/>
          <w:bCs w:val="0"/>
          <w:color w:val="auto"/>
          <w:kern w:val="0"/>
          <w:sz w:val="28"/>
          <w:szCs w:val="28"/>
          <w:highlight w:val="none"/>
          <w:lang w:val="en-US" w:eastAsia="zh-CN" w:bidi="ar"/>
        </w:rPr>
        <w:t>10</w:t>
      </w:r>
      <w:r>
        <w:rPr>
          <w:rFonts w:hint="eastAsia" w:ascii="仿宋" w:hAnsi="仿宋" w:eastAsia="仿宋" w:cs="仿宋"/>
          <w:b w:val="0"/>
          <w:bCs w:val="0"/>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30</w:t>
      </w:r>
      <w:r>
        <w:rPr>
          <w:rFonts w:hint="eastAsia" w:ascii="仿宋" w:hAnsi="仿宋" w:eastAsia="仿宋" w:cs="仿宋"/>
          <w:b w:val="0"/>
          <w:bCs w:val="0"/>
          <w:color w:val="auto"/>
          <w:kern w:val="0"/>
          <w:sz w:val="28"/>
          <w:szCs w:val="28"/>
          <w:highlight w:val="none"/>
          <w:lang w:bidi="ar"/>
        </w:rPr>
        <w:t>（北京时间）前递交</w:t>
      </w:r>
      <w:r>
        <w:rPr>
          <w:rFonts w:hint="eastAsia" w:ascii="仿宋" w:hAnsi="仿宋" w:eastAsia="仿宋" w:cs="仿宋"/>
          <w:b w:val="0"/>
          <w:bCs w:val="0"/>
          <w:color w:val="auto"/>
          <w:kern w:val="0"/>
          <w:sz w:val="28"/>
          <w:szCs w:val="28"/>
          <w:highlight w:val="none"/>
          <w:lang w:val="en-US" w:eastAsia="zh-CN" w:bidi="ar"/>
        </w:rPr>
        <w:t>响应</w:t>
      </w:r>
      <w:r>
        <w:rPr>
          <w:rFonts w:hint="eastAsia" w:ascii="仿宋" w:hAnsi="仿宋" w:eastAsia="仿宋" w:cs="仿宋"/>
          <w:b w:val="0"/>
          <w:bCs w:val="0"/>
          <w:color w:val="auto"/>
          <w:kern w:val="0"/>
          <w:sz w:val="28"/>
          <w:szCs w:val="28"/>
          <w:highlight w:val="none"/>
          <w:lang w:bidi="ar"/>
        </w:rPr>
        <w:t>文件。</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Cs/>
          <w:kern w:val="2"/>
          <w:sz w:val="28"/>
          <w:szCs w:val="28"/>
        </w:rPr>
      </w:pPr>
      <w:r>
        <w:rPr>
          <w:rFonts w:hint="eastAsia" w:ascii="黑体" w:hAnsi="黑体" w:eastAsia="黑体" w:cs="黑体"/>
          <w:bCs/>
          <w:kern w:val="2"/>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rPr>
        <w:t>项目编号：</w:t>
      </w:r>
      <w:bookmarkStart w:id="12" w:name="OLE_LINK2"/>
      <w:r>
        <w:rPr>
          <w:rFonts w:hint="eastAsia" w:ascii="仿宋" w:hAnsi="仿宋" w:eastAsia="仿宋" w:cs="仿宋"/>
          <w:kern w:val="0"/>
          <w:sz w:val="28"/>
          <w:szCs w:val="28"/>
          <w:highlight w:val="none"/>
          <w:lang w:val="en-US" w:eastAsia="zh-CN" w:bidi="ar-SA"/>
        </w:rPr>
        <w:t>TSJT2025-0</w:t>
      </w:r>
      <w:bookmarkEnd w:id="12"/>
      <w:r>
        <w:rPr>
          <w:rFonts w:hint="eastAsia" w:ascii="仿宋" w:hAnsi="仿宋" w:eastAsia="仿宋" w:cs="仿宋"/>
          <w:kern w:val="0"/>
          <w:sz w:val="28"/>
          <w:szCs w:val="28"/>
          <w:highlight w:val="none"/>
          <w:lang w:val="en-US" w:eastAsia="zh-CN" w:bidi="ar-SA"/>
        </w:rPr>
        <w:t>02</w:t>
      </w:r>
    </w:p>
    <w:p>
      <w:pPr>
        <w:spacing w:line="440" w:lineRule="exact"/>
        <w:ind w:firstLine="562" w:firstLineChars="200"/>
        <w:rPr>
          <w:rFonts w:hint="default" w:ascii="仿宋" w:hAnsi="仿宋" w:eastAsia="仿宋" w:cs="仿宋"/>
          <w:kern w:val="0"/>
          <w:sz w:val="28"/>
          <w:szCs w:val="28"/>
          <w:highlight w:val="none"/>
          <w:lang w:val="en-US" w:eastAsia="zh-CN"/>
        </w:rPr>
      </w:pPr>
      <w:r>
        <w:rPr>
          <w:rFonts w:hint="eastAsia" w:ascii="仿宋" w:hAnsi="仿宋" w:eastAsia="仿宋" w:cs="仿宋"/>
          <w:b/>
          <w:bCs/>
          <w:kern w:val="0"/>
          <w:sz w:val="28"/>
          <w:szCs w:val="28"/>
        </w:rPr>
        <w:t>项目名称：</w:t>
      </w:r>
      <w:r>
        <w:rPr>
          <w:rFonts w:hint="eastAsia" w:ascii="仿宋" w:hAnsi="仿宋" w:eastAsia="仿宋" w:cs="仿宋"/>
          <w:bCs/>
          <w:color w:val="auto"/>
          <w:sz w:val="28"/>
          <w:szCs w:val="28"/>
          <w:highlight w:val="none"/>
          <w:lang w:val="en-US" w:eastAsia="zh-CN"/>
        </w:rPr>
        <w:t>吐鲁番市高昌区第十幼儿园普惠性托育服务项目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采购方式：</w:t>
      </w:r>
      <w:r>
        <w:rPr>
          <w:rFonts w:hint="eastAsia" w:ascii="仿宋" w:hAnsi="仿宋" w:eastAsia="仿宋" w:cs="仿宋"/>
          <w:kern w:val="0"/>
          <w:sz w:val="28"/>
          <w:szCs w:val="28"/>
        </w:rPr>
        <w:t>竞争性谈判</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b/>
          <w:bCs/>
          <w:kern w:val="0"/>
          <w:sz w:val="28"/>
          <w:szCs w:val="28"/>
        </w:rPr>
        <w:t>预算金额：</w:t>
      </w:r>
      <w:r>
        <w:rPr>
          <w:rFonts w:hint="eastAsia" w:ascii="仿宋" w:hAnsi="仿宋" w:eastAsia="仿宋" w:cs="仿宋"/>
          <w:kern w:val="0"/>
          <w:sz w:val="28"/>
          <w:szCs w:val="28"/>
          <w:lang w:val="en-US" w:eastAsia="zh-CN"/>
        </w:rPr>
        <w:t>835197.15</w:t>
      </w:r>
      <w:r>
        <w:rPr>
          <w:rFonts w:hint="eastAsia" w:ascii="仿宋" w:hAnsi="仿宋" w:eastAsia="仿宋" w:cs="仿宋"/>
          <w:kern w:val="0"/>
          <w:sz w:val="28"/>
          <w:szCs w:val="28"/>
        </w:rPr>
        <w:t>元</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rPr>
        <w:t>最高限价：</w:t>
      </w:r>
      <w:r>
        <w:rPr>
          <w:rFonts w:hint="eastAsia" w:ascii="仿宋" w:hAnsi="仿宋" w:eastAsia="仿宋" w:cs="仿宋"/>
          <w:kern w:val="0"/>
          <w:sz w:val="28"/>
          <w:szCs w:val="28"/>
          <w:lang w:val="en-US" w:eastAsia="zh-CN"/>
        </w:rPr>
        <w:t>835197.15元</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Cs/>
          <w:color w:val="auto"/>
          <w:sz w:val="28"/>
          <w:szCs w:val="28"/>
          <w:highlight w:val="yellow"/>
          <w:lang w:val="en-US" w:eastAsia="zh-CN"/>
        </w:rPr>
      </w:pPr>
      <w:r>
        <w:rPr>
          <w:rFonts w:hint="eastAsia" w:ascii="仿宋" w:hAnsi="仿宋" w:eastAsia="仿宋" w:cs="仿宋"/>
          <w:b/>
          <w:bCs/>
          <w:kern w:val="0"/>
          <w:sz w:val="28"/>
          <w:szCs w:val="28"/>
          <w:highlight w:val="none"/>
          <w:lang w:val="en-US" w:eastAsia="zh-CN"/>
        </w:rPr>
        <w:t>采购需求：</w:t>
      </w:r>
      <w:r>
        <w:rPr>
          <w:rFonts w:hint="eastAsia" w:ascii="仿宋" w:hAnsi="仿宋" w:eastAsia="仿宋" w:cs="仿宋"/>
          <w:b w:val="0"/>
          <w:bCs/>
          <w:color w:val="auto"/>
          <w:kern w:val="0"/>
          <w:sz w:val="28"/>
          <w:szCs w:val="28"/>
          <w:highlight w:val="none"/>
          <w:lang w:val="en-US" w:eastAsia="zh-CN" w:bidi="ar-SA"/>
        </w:rPr>
        <w:t>总改造面积1354平方米，其中：改建面积为1309㎡，新建面积为45㎡。主要建设婴幼儿活动用房、保健室、水电暖改造、安装监控系统及购置一体教学机4台、幼儿桌椅20套、叠叠床100张、消毒柜4台、净水机4台、保温桶4台、适龄儿童玩具4套。</w:t>
      </w:r>
    </w:p>
    <w:p>
      <w:pPr>
        <w:spacing w:line="440" w:lineRule="exact"/>
        <w:ind w:firstLine="560" w:firstLineChars="200"/>
        <w:rPr>
          <w:rFonts w:hint="default"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rPr>
        <w:t>标项编号：</w:t>
      </w:r>
      <w:r>
        <w:rPr>
          <w:rFonts w:hint="eastAsia" w:ascii="仿宋" w:hAnsi="仿宋" w:eastAsia="仿宋" w:cs="仿宋"/>
          <w:kern w:val="0"/>
          <w:sz w:val="28"/>
          <w:szCs w:val="28"/>
          <w:highlight w:val="none"/>
          <w:lang w:val="en-US" w:eastAsia="zh-CN" w:bidi="ar-SA"/>
        </w:rPr>
        <w:t>TSJT2025-002</w:t>
      </w:r>
    </w:p>
    <w:p>
      <w:pPr>
        <w:spacing w:line="440" w:lineRule="exact"/>
        <w:ind w:firstLine="560" w:firstLineChars="200"/>
        <w:rPr>
          <w:rFonts w:hint="default"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预算金额：</w:t>
      </w:r>
      <w:r>
        <w:rPr>
          <w:rFonts w:hint="eastAsia" w:ascii="仿宋" w:hAnsi="仿宋" w:eastAsia="仿宋" w:cs="仿宋"/>
          <w:kern w:val="0"/>
          <w:sz w:val="28"/>
          <w:szCs w:val="28"/>
          <w:lang w:val="en-US" w:eastAsia="zh-CN"/>
        </w:rPr>
        <w:t>835197.15元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数量:</w:t>
      </w:r>
      <w:r>
        <w:rPr>
          <w:rFonts w:hint="eastAsia" w:ascii="仿宋" w:hAnsi="仿宋" w:eastAsia="仿宋" w:cs="仿宋"/>
          <w:kern w:val="0"/>
          <w:sz w:val="28"/>
          <w:szCs w:val="28"/>
          <w:highlight w:val="none"/>
          <w:lang w:val="en-US" w:eastAsia="zh-CN"/>
        </w:rPr>
        <w:t>一项</w:t>
      </w:r>
    </w:p>
    <w:p>
      <w:pPr>
        <w:keepNext w:val="0"/>
        <w:keepLines w:val="0"/>
        <w:pageBreakBefore w:val="0"/>
        <w:widowControl w:val="0"/>
        <w:kinsoku/>
        <w:wordWrap/>
        <w:overflowPunct/>
        <w:topLinePunct w:val="0"/>
        <w:autoSpaceDE/>
        <w:autoSpaceDN/>
        <w:bidi w:val="0"/>
        <w:adjustRightInd/>
        <w:snapToGrid/>
        <w:spacing w:before="123" w:line="400" w:lineRule="exact"/>
        <w:ind w:left="28" w:firstLine="560" w:firstLineChars="200"/>
        <w:textAlignment w:val="auto"/>
        <w:outlineLvl w:val="1"/>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简要规格描述或项目基本概况介绍、用途：</w:t>
      </w:r>
      <w:r>
        <w:rPr>
          <w:rFonts w:hint="eastAsia" w:ascii="仿宋" w:hAnsi="仿宋" w:eastAsia="仿宋" w:cs="仿宋"/>
          <w:b w:val="0"/>
          <w:bCs/>
          <w:color w:val="auto"/>
          <w:kern w:val="0"/>
          <w:sz w:val="28"/>
          <w:szCs w:val="28"/>
          <w:highlight w:val="none"/>
          <w:lang w:val="en-US" w:eastAsia="zh-CN" w:bidi="ar-SA"/>
        </w:rPr>
        <w:t>总改造面积1354平方米，其中：改建面积为1309㎡，新建面积为45㎡。主要建设婴幼儿活动用房、保健室、水电暖改造、安装监控系统及购置一体教学机4台、幼儿桌椅20套、叠叠床100张、消毒柜4台、净水机4台、保温桶4台、适龄儿童玩具4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kern w:val="0"/>
          <w:sz w:val="28"/>
          <w:szCs w:val="28"/>
          <w:highlight w:val="none"/>
        </w:rPr>
        <w:t>合同履行期限：</w:t>
      </w:r>
      <w:r>
        <w:rPr>
          <w:rFonts w:hint="eastAsia" w:ascii="仿宋" w:hAnsi="仿宋" w:eastAsia="仿宋" w:cs="仿宋"/>
          <w:b w:val="0"/>
          <w:bCs w:val="0"/>
          <w:color w:val="auto"/>
          <w:kern w:val="0"/>
          <w:sz w:val="28"/>
          <w:szCs w:val="28"/>
          <w:highlight w:val="none"/>
          <w:lang w:val="en-US" w:eastAsia="zh-CN"/>
        </w:rPr>
        <w:t>45天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宋体" w:cs="仿宋"/>
          <w:kern w:val="0"/>
          <w:sz w:val="28"/>
          <w:szCs w:val="28"/>
          <w:highlight w:val="none"/>
          <w:lang w:val="en-US" w:eastAsia="zh-CN"/>
        </w:rPr>
      </w:pPr>
      <w:r>
        <w:rPr>
          <w:rFonts w:hint="eastAsia" w:ascii="仿宋" w:hAnsi="仿宋" w:eastAsia="仿宋" w:cs="仿宋"/>
          <w:kern w:val="0"/>
          <w:sz w:val="28"/>
          <w:szCs w:val="28"/>
          <w:highlight w:val="none"/>
        </w:rPr>
        <w:t>本项目</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是/否）</w:t>
      </w:r>
      <w:r>
        <w:rPr>
          <w:rFonts w:hint="eastAsia" w:ascii="仿宋" w:hAnsi="仿宋" w:eastAsia="仿宋" w:cs="仿宋"/>
          <w:kern w:val="0"/>
          <w:sz w:val="28"/>
          <w:szCs w:val="28"/>
          <w:highlight w:val="none"/>
        </w:rPr>
        <w:t>接受联合体投标</w:t>
      </w:r>
      <w:r>
        <w:rPr>
          <w:rFonts w:hint="eastAsia" w:ascii="仿宋" w:hAnsi="仿宋" w:eastAsia="仿宋" w:cs="仿宋"/>
          <w:kern w:val="0"/>
          <w:sz w:val="28"/>
          <w:szCs w:val="28"/>
          <w:highlight w:val="none"/>
          <w:lang w:val="en-US" w:eastAsia="zh-CN"/>
        </w:rPr>
        <w:t>:</w:t>
      </w:r>
      <w:r>
        <w:rPr>
          <w:rFonts w:hint="eastAsia" w:ascii="仿宋" w:hAnsi="仿宋" w:eastAsia="仿宋" w:cs="仿宋"/>
          <w:bCs/>
          <w:color w:val="auto"/>
          <w:sz w:val="28"/>
          <w:szCs w:val="28"/>
          <w:highlight w:val="none"/>
          <w:lang w:val="en-US" w:eastAsia="zh-CN"/>
        </w:rPr>
        <w:t>否</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Cs/>
          <w:kern w:val="2"/>
          <w:sz w:val="28"/>
          <w:szCs w:val="28"/>
        </w:rPr>
      </w:pPr>
      <w:r>
        <w:rPr>
          <w:rFonts w:hint="eastAsia" w:ascii="黑体" w:hAnsi="黑体" w:eastAsia="黑体" w:cs="黑体"/>
          <w:bCs/>
          <w:kern w:val="2"/>
          <w:sz w:val="28"/>
          <w:szCs w:val="28"/>
        </w:rPr>
        <w:t>二、申请人的资格要求</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0"/>
          <w:sz w:val="28"/>
          <w:szCs w:val="28"/>
          <w:highlight w:val="none"/>
        </w:rPr>
      </w:pPr>
      <w:bookmarkStart w:id="13" w:name="_Toc35393792"/>
      <w:bookmarkStart w:id="14" w:name="_Toc35393623"/>
      <w:bookmarkStart w:id="15" w:name="_Toc28359004"/>
      <w:bookmarkStart w:id="16" w:name="_Toc28359081"/>
      <w:r>
        <w:rPr>
          <w:rFonts w:hint="eastAsia" w:ascii="仿宋" w:hAnsi="仿宋" w:eastAsia="仿宋" w:cs="仿宋"/>
          <w:kern w:val="0"/>
          <w:sz w:val="28"/>
          <w:szCs w:val="28"/>
          <w:highlight w:val="none"/>
        </w:rPr>
        <w:t>1.满足《中华人民共和国政府采购法》第二十二条规定；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2.落实政府采购政策需满足的资格要求</w:t>
      </w:r>
      <w:bookmarkEnd w:id="13"/>
      <w:bookmarkEnd w:id="14"/>
      <w:bookmarkEnd w:id="15"/>
      <w:bookmarkEnd w:id="16"/>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供应商为</w:t>
      </w:r>
      <w:r>
        <w:rPr>
          <w:rFonts w:hint="eastAsia" w:ascii="仿宋" w:hAnsi="仿宋" w:eastAsia="仿宋" w:cs="仿宋"/>
          <w:bCs/>
          <w:color w:val="auto"/>
          <w:sz w:val="28"/>
          <w:szCs w:val="28"/>
          <w:highlight w:val="none"/>
          <w:lang w:val="en-US" w:eastAsia="zh-CN"/>
        </w:rPr>
        <w:t>小微</w:t>
      </w:r>
      <w:r>
        <w:rPr>
          <w:rFonts w:hint="eastAsia" w:ascii="仿宋" w:hAnsi="仿宋" w:eastAsia="仿宋" w:cs="仿宋"/>
          <w:kern w:val="0"/>
          <w:sz w:val="28"/>
          <w:szCs w:val="28"/>
          <w:highlight w:val="none"/>
          <w:lang w:val="en-US" w:eastAsia="zh-CN"/>
        </w:rPr>
        <w:t>企业。</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b/>
          <w:bCs/>
          <w:color w:val="auto"/>
          <w:kern w:val="0"/>
          <w:sz w:val="28"/>
          <w:szCs w:val="28"/>
          <w:highlight w:val="none"/>
          <w:lang w:bidi="ar"/>
        </w:rPr>
        <w:t>本项目的特定资格要求：</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val="en-US" w:eastAsia="zh-CN" w:bidi="ar"/>
        </w:rPr>
        <w:t>1</w:t>
      </w:r>
      <w:r>
        <w:rPr>
          <w:rFonts w:hint="eastAsia" w:ascii="仿宋" w:hAnsi="仿宋" w:eastAsia="仿宋" w:cs="仿宋"/>
          <w:color w:val="auto"/>
          <w:kern w:val="0"/>
          <w:sz w:val="28"/>
          <w:szCs w:val="28"/>
          <w:highlight w:val="none"/>
          <w:lang w:eastAsia="zh-CN" w:bidi="ar"/>
        </w:rPr>
        <w:t>）</w:t>
      </w:r>
      <w:r>
        <w:rPr>
          <w:rFonts w:hint="eastAsia" w:ascii="仿宋" w:hAnsi="仿宋" w:eastAsia="仿宋" w:cs="仿宋"/>
          <w:color w:val="auto"/>
          <w:kern w:val="0"/>
          <w:sz w:val="28"/>
          <w:szCs w:val="28"/>
          <w:highlight w:val="none"/>
          <w:lang w:bidi="ar"/>
        </w:rPr>
        <w:t>供应商须具有由住房和城乡建设部门颁发并在有效期内的建筑装修装饰工程专业承包</w:t>
      </w:r>
      <w:r>
        <w:rPr>
          <w:rFonts w:hint="eastAsia" w:ascii="仿宋" w:hAnsi="仿宋" w:eastAsia="仿宋" w:cs="仿宋"/>
          <w:color w:val="auto"/>
          <w:kern w:val="0"/>
          <w:sz w:val="28"/>
          <w:szCs w:val="28"/>
          <w:highlight w:val="none"/>
          <w:lang w:val="en-US" w:eastAsia="zh-CN" w:bidi="ar"/>
        </w:rPr>
        <w:t>二级及以上</w:t>
      </w:r>
      <w:r>
        <w:rPr>
          <w:rFonts w:hint="eastAsia" w:ascii="仿宋" w:hAnsi="仿宋" w:eastAsia="仿宋" w:cs="仿宋"/>
          <w:color w:val="auto"/>
          <w:kern w:val="0"/>
          <w:sz w:val="28"/>
          <w:szCs w:val="28"/>
          <w:highlight w:val="none"/>
          <w:lang w:bidi="ar"/>
        </w:rPr>
        <w:t xml:space="preserve">资质；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（2） </w:t>
      </w:r>
      <w:r>
        <w:rPr>
          <w:rFonts w:hint="eastAsia" w:ascii="仿宋" w:hAnsi="仿宋" w:eastAsia="仿宋" w:cs="仿宋"/>
          <w:color w:val="auto"/>
          <w:kern w:val="0"/>
          <w:sz w:val="28"/>
          <w:szCs w:val="28"/>
          <w:highlight w:val="none"/>
          <w:lang w:bidi="ar"/>
        </w:rPr>
        <w:t xml:space="preserve">供应商须具有由住房和城乡建设部门颁发并在有效期内的《安全生产许可证》。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项目负责人资质类别及等级：</w:t>
      </w:r>
      <w:r>
        <w:rPr>
          <w:rFonts w:hint="eastAsia" w:ascii="仿宋" w:hAnsi="仿宋" w:eastAsia="仿宋" w:cs="仿宋"/>
          <w:color w:val="auto"/>
          <w:kern w:val="0"/>
          <w:sz w:val="28"/>
          <w:szCs w:val="28"/>
          <w:highlight w:val="none"/>
          <w:lang w:eastAsia="zh-CN" w:bidi="ar"/>
        </w:rPr>
        <w:t>供应商</w:t>
      </w:r>
      <w:r>
        <w:rPr>
          <w:rFonts w:hint="eastAsia" w:ascii="仿宋" w:hAnsi="仿宋" w:eastAsia="仿宋" w:cs="仿宋"/>
          <w:color w:val="auto"/>
          <w:kern w:val="0"/>
          <w:sz w:val="28"/>
          <w:szCs w:val="28"/>
          <w:highlight w:val="none"/>
          <w:lang w:bidi="ar"/>
        </w:rPr>
        <w:t>拟派项目经理须具备</w:t>
      </w:r>
      <w:r>
        <w:rPr>
          <w:rFonts w:hint="eastAsia" w:ascii="仿宋" w:hAnsi="仿宋" w:eastAsia="仿宋" w:cs="仿宋"/>
          <w:color w:val="auto"/>
          <w:kern w:val="0"/>
          <w:sz w:val="28"/>
          <w:szCs w:val="28"/>
          <w:highlight w:val="none"/>
          <w:lang w:val="en-US" w:eastAsia="zh-CN" w:bidi="ar"/>
        </w:rPr>
        <w:t>建筑工程</w:t>
      </w:r>
      <w:r>
        <w:rPr>
          <w:rFonts w:hint="eastAsia" w:ascii="仿宋" w:hAnsi="仿宋" w:eastAsia="仿宋" w:cs="仿宋"/>
          <w:color w:val="auto"/>
          <w:kern w:val="0"/>
          <w:sz w:val="28"/>
          <w:szCs w:val="28"/>
          <w:highlight w:val="none"/>
          <w:lang w:bidi="ar"/>
        </w:rPr>
        <w:t>二级及以上注册建造师执业资格，具备有效的安全生产考核合格证书（B类），且未担任其他在建设工程项目的项目经理</w:t>
      </w:r>
      <w:r>
        <w:rPr>
          <w:rFonts w:hint="eastAsia" w:ascii="仿宋" w:hAnsi="仿宋" w:eastAsia="仿宋" w:cs="仿宋"/>
          <w:color w:val="auto"/>
          <w:kern w:val="0"/>
          <w:sz w:val="28"/>
          <w:szCs w:val="28"/>
          <w:highlight w:val="none"/>
          <w:lang w:val="en-US" w:eastAsia="zh-CN" w:bidi="ar"/>
        </w:rPr>
        <w:t>的书面声明</w:t>
      </w:r>
      <w:r>
        <w:rPr>
          <w:rFonts w:hint="eastAsia" w:ascii="仿宋" w:hAnsi="仿宋" w:eastAsia="仿宋" w:cs="仿宋"/>
          <w:color w:val="auto"/>
          <w:kern w:val="0"/>
          <w:sz w:val="28"/>
          <w:szCs w:val="28"/>
          <w:highlight w:val="none"/>
          <w:lang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color w:val="auto"/>
          <w:kern w:val="0"/>
          <w:sz w:val="28"/>
          <w:szCs w:val="28"/>
          <w:highlight w:val="none"/>
          <w:lang w:eastAsia="zh-CN" w:bidi="ar"/>
        </w:rPr>
      </w:pPr>
      <w:r>
        <w:rPr>
          <w:rFonts w:hint="eastAsia" w:ascii="黑体" w:hAnsi="黑体" w:eastAsia="黑体" w:cs="黑体"/>
          <w:b w:val="0"/>
          <w:bCs/>
          <w:color w:val="auto"/>
          <w:kern w:val="0"/>
          <w:sz w:val="28"/>
          <w:szCs w:val="28"/>
          <w:highlight w:val="none"/>
          <w:lang w:bidi="ar"/>
        </w:rPr>
        <w:t>三、获取</w:t>
      </w:r>
      <w:r>
        <w:rPr>
          <w:rFonts w:hint="eastAsia" w:ascii="黑体" w:hAnsi="黑体" w:eastAsia="黑体" w:cs="黑体"/>
          <w:b w:val="0"/>
          <w:bCs/>
          <w:color w:val="auto"/>
          <w:kern w:val="0"/>
          <w:sz w:val="28"/>
          <w:szCs w:val="28"/>
          <w:highlight w:val="none"/>
          <w:lang w:eastAsia="zh-CN" w:bidi="ar"/>
        </w:rPr>
        <w:t>采购文件</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时间：</w:t>
      </w:r>
      <w:r>
        <w:rPr>
          <w:rFonts w:hint="eastAsia" w:ascii="仿宋" w:hAnsi="仿宋" w:eastAsia="仿宋" w:cs="仿宋"/>
          <w:color w:val="auto"/>
          <w:kern w:val="0"/>
          <w:sz w:val="28"/>
          <w:szCs w:val="28"/>
          <w:highlight w:val="none"/>
          <w:lang w:val="en-US" w:eastAsia="zh-CN" w:bidi="ar"/>
        </w:rPr>
        <w:t>2025</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月</w:t>
      </w:r>
      <w:r>
        <w:rPr>
          <w:rFonts w:hint="eastAsia" w:ascii="仿宋" w:hAnsi="仿宋" w:eastAsia="仿宋" w:cs="仿宋"/>
          <w:color w:val="auto"/>
          <w:kern w:val="0"/>
          <w:sz w:val="28"/>
          <w:szCs w:val="28"/>
          <w:highlight w:val="none"/>
          <w:lang w:val="en-US" w:eastAsia="zh-CN" w:bidi="ar"/>
        </w:rPr>
        <w:t>26</w:t>
      </w:r>
      <w:r>
        <w:rPr>
          <w:rFonts w:hint="eastAsia" w:ascii="仿宋" w:hAnsi="仿宋" w:eastAsia="仿宋" w:cs="仿宋"/>
          <w:color w:val="auto"/>
          <w:kern w:val="0"/>
          <w:sz w:val="28"/>
          <w:szCs w:val="28"/>
          <w:highlight w:val="none"/>
          <w:lang w:bidi="ar"/>
        </w:rPr>
        <w:t>日</w:t>
      </w:r>
      <w:r>
        <w:rPr>
          <w:rFonts w:hint="eastAsia" w:ascii="仿宋" w:hAnsi="仿宋" w:eastAsia="仿宋" w:cs="仿宋"/>
          <w:color w:val="auto"/>
          <w:kern w:val="0"/>
          <w:sz w:val="28"/>
          <w:szCs w:val="28"/>
          <w:highlight w:val="none"/>
          <w:lang w:val="en-US" w:eastAsia="zh-CN" w:bidi="ar"/>
        </w:rPr>
        <w:t>2025</w:t>
      </w:r>
      <w:r>
        <w:rPr>
          <w:rFonts w:hint="eastAsia" w:ascii="仿宋" w:hAnsi="仿宋" w:eastAsia="仿宋" w:cs="仿宋"/>
          <w:color w:val="auto"/>
          <w:kern w:val="0"/>
          <w:sz w:val="28"/>
          <w:szCs w:val="28"/>
          <w:highlight w:val="none"/>
          <w:lang w:bidi="ar"/>
        </w:rPr>
        <w:t>年</w:t>
      </w:r>
      <w:r>
        <w:rPr>
          <w:rFonts w:hint="eastAsia" w:ascii="仿宋" w:hAnsi="仿宋" w:eastAsia="仿宋" w:cs="仿宋"/>
          <w:color w:val="auto"/>
          <w:kern w:val="0"/>
          <w:sz w:val="28"/>
          <w:szCs w:val="28"/>
          <w:highlight w:val="none"/>
          <w:lang w:val="en-US" w:eastAsia="zh-CN" w:bidi="ar"/>
        </w:rPr>
        <w:t>7</w:t>
      </w:r>
      <w:r>
        <w:rPr>
          <w:rFonts w:hint="eastAsia" w:ascii="仿宋" w:hAnsi="仿宋" w:eastAsia="仿宋" w:cs="仿宋"/>
          <w:color w:val="auto"/>
          <w:kern w:val="0"/>
          <w:sz w:val="28"/>
          <w:szCs w:val="28"/>
          <w:highlight w:val="none"/>
          <w:lang w:bidi="ar"/>
        </w:rPr>
        <w:t>月</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日，每天上午</w:t>
      </w:r>
      <w:r>
        <w:rPr>
          <w:rFonts w:hint="eastAsia" w:ascii="仿宋" w:hAnsi="仿宋" w:eastAsia="仿宋" w:cs="仿宋"/>
          <w:color w:val="auto"/>
          <w:kern w:val="0"/>
          <w:sz w:val="28"/>
          <w:szCs w:val="28"/>
          <w:highlight w:val="none"/>
          <w:lang w:val="en-US" w:eastAsia="zh-CN" w:bidi="ar"/>
        </w:rPr>
        <w:t>00</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00</w:t>
      </w:r>
      <w:r>
        <w:rPr>
          <w:rFonts w:hint="eastAsia" w:ascii="仿宋" w:hAnsi="仿宋" w:eastAsia="仿宋" w:cs="仿宋"/>
          <w:color w:val="auto"/>
          <w:kern w:val="0"/>
          <w:sz w:val="28"/>
          <w:szCs w:val="28"/>
          <w:highlight w:val="none"/>
          <w:lang w:bidi="ar"/>
        </w:rPr>
        <w:t>至</w:t>
      </w:r>
      <w:r>
        <w:rPr>
          <w:rFonts w:hint="eastAsia" w:ascii="仿宋" w:hAnsi="仿宋" w:eastAsia="仿宋" w:cs="仿宋"/>
          <w:color w:val="auto"/>
          <w:kern w:val="0"/>
          <w:sz w:val="28"/>
          <w:szCs w:val="28"/>
          <w:highlight w:val="none"/>
          <w:lang w:val="en-US" w:eastAsia="zh-CN" w:bidi="ar"/>
        </w:rPr>
        <w:t>14</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0</w:t>
      </w:r>
      <w:r>
        <w:rPr>
          <w:rFonts w:hint="eastAsia" w:ascii="仿宋" w:hAnsi="仿宋" w:eastAsia="仿宋" w:cs="仿宋"/>
          <w:color w:val="auto"/>
          <w:kern w:val="0"/>
          <w:sz w:val="28"/>
          <w:szCs w:val="28"/>
          <w:highlight w:val="none"/>
          <w:lang w:bidi="ar"/>
        </w:rPr>
        <w:t>0，下午</w:t>
      </w:r>
      <w:r>
        <w:rPr>
          <w:rFonts w:hint="eastAsia" w:ascii="仿宋" w:hAnsi="仿宋" w:eastAsia="仿宋" w:cs="仿宋"/>
          <w:color w:val="auto"/>
          <w:kern w:val="0"/>
          <w:sz w:val="28"/>
          <w:szCs w:val="28"/>
          <w:highlight w:val="none"/>
          <w:lang w:val="en-US" w:eastAsia="zh-CN" w:bidi="ar"/>
        </w:rPr>
        <w:t>14</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0</w:t>
      </w:r>
      <w:r>
        <w:rPr>
          <w:rFonts w:hint="eastAsia" w:ascii="仿宋" w:hAnsi="仿宋" w:eastAsia="仿宋" w:cs="仿宋"/>
          <w:color w:val="auto"/>
          <w:kern w:val="0"/>
          <w:sz w:val="28"/>
          <w:szCs w:val="28"/>
          <w:highlight w:val="none"/>
          <w:lang w:bidi="ar"/>
        </w:rPr>
        <w:t>0至</w:t>
      </w:r>
      <w:r>
        <w:rPr>
          <w:rFonts w:hint="eastAsia" w:ascii="仿宋" w:hAnsi="仿宋" w:eastAsia="仿宋" w:cs="仿宋"/>
          <w:color w:val="auto"/>
          <w:kern w:val="0"/>
          <w:sz w:val="28"/>
          <w:szCs w:val="28"/>
          <w:highlight w:val="none"/>
          <w:lang w:val="en-US" w:eastAsia="zh-CN" w:bidi="ar"/>
        </w:rPr>
        <w:t>23</w:t>
      </w:r>
      <w:r>
        <w:rPr>
          <w:rFonts w:hint="eastAsia" w:ascii="仿宋" w:hAnsi="仿宋" w:eastAsia="仿宋" w:cs="仿宋"/>
          <w:color w:val="auto"/>
          <w:kern w:val="0"/>
          <w:sz w:val="28"/>
          <w:szCs w:val="28"/>
          <w:highlight w:val="none"/>
          <w:lang w:bidi="ar"/>
        </w:rPr>
        <w:t>:</w:t>
      </w:r>
      <w:r>
        <w:rPr>
          <w:rFonts w:hint="eastAsia" w:ascii="仿宋" w:hAnsi="仿宋" w:eastAsia="仿宋" w:cs="仿宋"/>
          <w:color w:val="auto"/>
          <w:kern w:val="0"/>
          <w:sz w:val="28"/>
          <w:szCs w:val="28"/>
          <w:highlight w:val="none"/>
          <w:lang w:val="en-US" w:eastAsia="zh-CN" w:bidi="ar"/>
        </w:rPr>
        <w:t>59</w:t>
      </w:r>
      <w:r>
        <w:rPr>
          <w:rFonts w:hint="eastAsia" w:ascii="仿宋" w:hAnsi="仿宋" w:eastAsia="仿宋" w:cs="仿宋"/>
          <w:color w:val="auto"/>
          <w:kern w:val="0"/>
          <w:sz w:val="28"/>
          <w:szCs w:val="28"/>
          <w:highlight w:val="none"/>
          <w:lang w:bidi="ar"/>
        </w:rPr>
        <w:t>（北京时间，法定节假日除外）</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bidi="ar"/>
        </w:rPr>
        <w:t>地点：</w:t>
      </w:r>
      <w:r>
        <w:rPr>
          <w:rFonts w:hint="eastAsia" w:ascii="仿宋" w:hAnsi="仿宋" w:eastAsia="仿宋" w:cs="仿宋"/>
          <w:color w:val="auto"/>
          <w:kern w:val="0"/>
          <w:sz w:val="28"/>
          <w:szCs w:val="28"/>
          <w:highlight w:val="none"/>
          <w:lang w:bidi="ar"/>
        </w:rPr>
        <w:t>政采云平台线上获取</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b/>
          <w:bCs/>
          <w:color w:val="auto"/>
          <w:kern w:val="0"/>
          <w:sz w:val="28"/>
          <w:szCs w:val="28"/>
          <w:highlight w:val="none"/>
        </w:rPr>
        <w:t>方式：</w:t>
      </w:r>
      <w:r>
        <w:rPr>
          <w:rFonts w:hint="eastAsia" w:ascii="仿宋" w:hAnsi="仿宋" w:eastAsia="仿宋" w:cs="仿宋"/>
          <w:color w:val="auto"/>
          <w:kern w:val="0"/>
          <w:sz w:val="28"/>
          <w:szCs w:val="28"/>
          <w:highlight w:val="none"/>
        </w:rPr>
        <w:t>供应商登录政采云平台https://www.zcygov.cn/在线申请获取采购文件（进入“项目采购”应用，在获取采购文件菜单中选择项目，申请获取采购文件）</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bidi="ar"/>
        </w:rPr>
        <w:t>售价（元）：0</w:t>
      </w:r>
      <w:r>
        <w:rPr>
          <w:rFonts w:hint="eastAsia" w:ascii="仿宋" w:hAnsi="仿宋" w:eastAsia="仿宋" w:cs="仿宋"/>
          <w:color w:val="auto"/>
          <w:kern w:val="0"/>
          <w:sz w:val="28"/>
          <w:szCs w:val="28"/>
          <w:highlight w:val="none"/>
          <w:lang w:val="en-US" w:eastAsia="zh-CN" w:bidi="ar"/>
        </w:rPr>
        <w:t>元</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color w:val="auto"/>
          <w:kern w:val="0"/>
          <w:sz w:val="28"/>
          <w:szCs w:val="28"/>
          <w:highlight w:val="none"/>
          <w:lang w:bidi="ar"/>
        </w:rPr>
        <w:t>四、提交</w:t>
      </w:r>
      <w:r>
        <w:rPr>
          <w:rFonts w:hint="eastAsia" w:ascii="仿宋" w:hAnsi="仿宋" w:eastAsia="仿宋" w:cs="仿宋"/>
          <w:b/>
          <w:color w:val="auto"/>
          <w:kern w:val="0"/>
          <w:sz w:val="28"/>
          <w:szCs w:val="28"/>
          <w:highlight w:val="none"/>
          <w:lang w:val="en-US" w:eastAsia="zh-CN" w:bidi="ar"/>
        </w:rPr>
        <w:t>响应</w:t>
      </w:r>
      <w:r>
        <w:rPr>
          <w:rFonts w:hint="eastAsia" w:ascii="仿宋" w:hAnsi="仿宋" w:eastAsia="仿宋" w:cs="仿宋"/>
          <w:b/>
          <w:color w:val="auto"/>
          <w:kern w:val="0"/>
          <w:sz w:val="28"/>
          <w:szCs w:val="28"/>
          <w:highlight w:val="none"/>
          <w:lang w:bidi="ar"/>
        </w:rPr>
        <w:t>文件截止时间、开标时间和地点</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val="0"/>
          <w:bCs w:val="0"/>
          <w:color w:val="auto"/>
          <w:kern w:val="0"/>
          <w:sz w:val="28"/>
          <w:szCs w:val="28"/>
          <w:highlight w:val="none"/>
          <w:lang w:bidi="ar"/>
        </w:rPr>
        <w:t>提交</w:t>
      </w:r>
      <w:r>
        <w:rPr>
          <w:rFonts w:hint="eastAsia" w:ascii="仿宋" w:hAnsi="仿宋" w:eastAsia="仿宋" w:cs="仿宋"/>
          <w:b w:val="0"/>
          <w:bCs w:val="0"/>
          <w:color w:val="auto"/>
          <w:kern w:val="0"/>
          <w:sz w:val="28"/>
          <w:szCs w:val="28"/>
          <w:highlight w:val="none"/>
          <w:lang w:val="en-US" w:eastAsia="zh-CN" w:bidi="ar"/>
        </w:rPr>
        <w:t>响应</w:t>
      </w:r>
      <w:r>
        <w:rPr>
          <w:rFonts w:hint="eastAsia" w:ascii="仿宋" w:hAnsi="仿宋" w:eastAsia="仿宋" w:cs="仿宋"/>
          <w:b w:val="0"/>
          <w:bCs w:val="0"/>
          <w:color w:val="auto"/>
          <w:kern w:val="0"/>
          <w:sz w:val="28"/>
          <w:szCs w:val="28"/>
          <w:highlight w:val="none"/>
          <w:lang w:bidi="ar"/>
        </w:rPr>
        <w:t>文件截止时间：</w:t>
      </w:r>
      <w:r>
        <w:rPr>
          <w:rFonts w:hint="eastAsia" w:ascii="仿宋" w:hAnsi="仿宋" w:eastAsia="仿宋" w:cs="仿宋"/>
          <w:b w:val="0"/>
          <w:bCs w:val="0"/>
          <w:color w:val="auto"/>
          <w:kern w:val="0"/>
          <w:sz w:val="28"/>
          <w:szCs w:val="28"/>
          <w:highlight w:val="none"/>
          <w:lang w:val="en-US" w:eastAsia="zh-CN" w:bidi="ar"/>
        </w:rPr>
        <w:t>2025年</w:t>
      </w:r>
      <w:r>
        <w:rPr>
          <w:rFonts w:hint="eastAsia" w:ascii="仿宋" w:hAnsi="仿宋" w:eastAsia="仿宋" w:cs="仿宋"/>
          <w:color w:val="auto"/>
          <w:kern w:val="0"/>
          <w:sz w:val="28"/>
          <w:szCs w:val="28"/>
          <w:highlight w:val="none"/>
          <w:lang w:val="en-US" w:eastAsia="zh-CN" w:bidi="ar"/>
        </w:rPr>
        <w:t>7</w:t>
      </w:r>
      <w:r>
        <w:rPr>
          <w:rFonts w:hint="eastAsia" w:ascii="仿宋" w:hAnsi="仿宋" w:eastAsia="仿宋" w:cs="仿宋"/>
          <w:b w:val="0"/>
          <w:bCs w:val="0"/>
          <w:color w:val="auto"/>
          <w:kern w:val="0"/>
          <w:sz w:val="28"/>
          <w:szCs w:val="28"/>
          <w:highlight w:val="none"/>
          <w:lang w:bidi="ar"/>
        </w:rPr>
        <w:t>月</w:t>
      </w:r>
      <w:r>
        <w:rPr>
          <w:rFonts w:hint="eastAsia" w:ascii="仿宋" w:hAnsi="仿宋" w:eastAsia="仿宋" w:cs="仿宋"/>
          <w:b w:val="0"/>
          <w:bCs w:val="0"/>
          <w:color w:val="auto"/>
          <w:kern w:val="0"/>
          <w:sz w:val="28"/>
          <w:szCs w:val="28"/>
          <w:highlight w:val="none"/>
          <w:lang w:val="en-US" w:eastAsia="zh-CN" w:bidi="ar"/>
        </w:rPr>
        <w:t>3</w:t>
      </w:r>
      <w:r>
        <w:rPr>
          <w:rFonts w:hint="eastAsia" w:ascii="仿宋" w:hAnsi="仿宋" w:eastAsia="仿宋" w:cs="仿宋"/>
          <w:b w:val="0"/>
          <w:bCs w:val="0"/>
          <w:color w:val="auto"/>
          <w:kern w:val="0"/>
          <w:sz w:val="28"/>
          <w:szCs w:val="28"/>
          <w:highlight w:val="none"/>
          <w:lang w:bidi="ar"/>
        </w:rPr>
        <w:t>日</w:t>
      </w:r>
      <w:r>
        <w:rPr>
          <w:rFonts w:hint="eastAsia" w:ascii="仿宋" w:hAnsi="仿宋" w:eastAsia="仿宋" w:cs="仿宋"/>
          <w:b w:val="0"/>
          <w:bCs w:val="0"/>
          <w:color w:val="auto"/>
          <w:kern w:val="0"/>
          <w:sz w:val="28"/>
          <w:szCs w:val="28"/>
          <w:highlight w:val="none"/>
          <w:lang w:val="en-US" w:eastAsia="zh-CN" w:bidi="ar"/>
        </w:rPr>
        <w:t>10</w:t>
      </w:r>
      <w:r>
        <w:rPr>
          <w:rFonts w:hint="eastAsia" w:ascii="仿宋" w:hAnsi="仿宋" w:eastAsia="仿宋" w:cs="仿宋"/>
          <w:b w:val="0"/>
          <w:bCs w:val="0"/>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30</w:t>
      </w:r>
      <w:r>
        <w:rPr>
          <w:rFonts w:hint="eastAsia" w:ascii="仿宋" w:hAnsi="仿宋" w:eastAsia="仿宋" w:cs="仿宋"/>
          <w:color w:val="auto"/>
          <w:kern w:val="0"/>
          <w:sz w:val="28"/>
          <w:szCs w:val="28"/>
          <w:highlight w:val="none"/>
          <w:lang w:bidi="ar"/>
        </w:rPr>
        <w:t>（北京时间）</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val="0"/>
          <w:bCs w:val="0"/>
          <w:color w:val="auto"/>
          <w:kern w:val="0"/>
          <w:sz w:val="28"/>
          <w:szCs w:val="28"/>
          <w:highlight w:val="none"/>
          <w:lang w:val="en-US" w:eastAsia="zh-CN" w:bidi="ar"/>
        </w:rPr>
        <w:t>谈判</w:t>
      </w:r>
      <w:r>
        <w:rPr>
          <w:rFonts w:hint="eastAsia" w:ascii="仿宋" w:hAnsi="仿宋" w:eastAsia="仿宋" w:cs="仿宋"/>
          <w:b w:val="0"/>
          <w:bCs w:val="0"/>
          <w:color w:val="auto"/>
          <w:kern w:val="0"/>
          <w:sz w:val="28"/>
          <w:szCs w:val="28"/>
          <w:highlight w:val="none"/>
          <w:lang w:bidi="ar"/>
        </w:rPr>
        <w:t>地点：</w:t>
      </w:r>
      <w:r>
        <w:rPr>
          <w:rFonts w:hint="eastAsia" w:ascii="仿宋" w:hAnsi="仿宋" w:eastAsia="仿宋" w:cs="仿宋"/>
          <w:color w:val="auto"/>
          <w:kern w:val="0"/>
          <w:sz w:val="28"/>
          <w:szCs w:val="28"/>
          <w:highlight w:val="none"/>
          <w:lang w:bidi="ar"/>
        </w:rPr>
        <w:t>政采云平台（https://www.zcygov.cn/）</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val="en-US" w:eastAsia="zh-CN" w:bidi="ar"/>
        </w:rPr>
        <w:t>五、</w:t>
      </w:r>
      <w:r>
        <w:rPr>
          <w:rFonts w:hint="eastAsia" w:ascii="仿宋" w:hAnsi="仿宋" w:eastAsia="仿宋" w:cs="仿宋"/>
          <w:b/>
          <w:bCs/>
          <w:color w:val="auto"/>
          <w:kern w:val="0"/>
          <w:sz w:val="28"/>
          <w:szCs w:val="28"/>
          <w:highlight w:val="none"/>
          <w:lang w:bidi="ar"/>
        </w:rPr>
        <w:t>开标时间：</w:t>
      </w:r>
      <w:r>
        <w:rPr>
          <w:rFonts w:hint="eastAsia" w:ascii="仿宋" w:hAnsi="仿宋" w:eastAsia="仿宋" w:cs="仿宋"/>
          <w:b/>
          <w:bCs/>
          <w:color w:val="auto"/>
          <w:kern w:val="0"/>
          <w:sz w:val="28"/>
          <w:szCs w:val="28"/>
          <w:highlight w:val="none"/>
          <w:lang w:val="en-US" w:eastAsia="zh-CN" w:bidi="ar"/>
        </w:rPr>
        <w:t>2025年7</w:t>
      </w:r>
      <w:r>
        <w:rPr>
          <w:rFonts w:hint="eastAsia" w:ascii="仿宋" w:hAnsi="仿宋" w:eastAsia="仿宋" w:cs="仿宋"/>
          <w:b w:val="0"/>
          <w:bCs w:val="0"/>
          <w:color w:val="auto"/>
          <w:kern w:val="0"/>
          <w:sz w:val="28"/>
          <w:szCs w:val="28"/>
          <w:highlight w:val="none"/>
          <w:lang w:bidi="ar"/>
        </w:rPr>
        <w:t>月</w:t>
      </w:r>
      <w:r>
        <w:rPr>
          <w:rFonts w:hint="eastAsia" w:ascii="仿宋" w:hAnsi="仿宋" w:eastAsia="仿宋" w:cs="仿宋"/>
          <w:b/>
          <w:bCs/>
          <w:color w:val="auto"/>
          <w:kern w:val="0"/>
          <w:sz w:val="28"/>
          <w:szCs w:val="28"/>
          <w:highlight w:val="none"/>
          <w:lang w:val="en-US" w:eastAsia="zh-CN" w:bidi="ar"/>
        </w:rPr>
        <w:t>3</w:t>
      </w:r>
      <w:r>
        <w:rPr>
          <w:rFonts w:hint="eastAsia" w:ascii="仿宋" w:hAnsi="仿宋" w:eastAsia="仿宋" w:cs="仿宋"/>
          <w:b w:val="0"/>
          <w:bCs w:val="0"/>
          <w:color w:val="auto"/>
          <w:kern w:val="0"/>
          <w:sz w:val="28"/>
          <w:szCs w:val="28"/>
          <w:highlight w:val="none"/>
          <w:lang w:bidi="ar"/>
        </w:rPr>
        <w:t>日</w:t>
      </w:r>
      <w:bookmarkStart w:id="619" w:name="_GoBack"/>
      <w:bookmarkEnd w:id="619"/>
      <w:r>
        <w:rPr>
          <w:rFonts w:hint="eastAsia" w:ascii="仿宋" w:hAnsi="仿宋" w:eastAsia="仿宋" w:cs="仿宋"/>
          <w:b w:val="0"/>
          <w:bCs w:val="0"/>
          <w:color w:val="auto"/>
          <w:kern w:val="0"/>
          <w:sz w:val="28"/>
          <w:szCs w:val="28"/>
          <w:highlight w:val="none"/>
          <w:lang w:val="en-US" w:eastAsia="zh-CN" w:bidi="ar"/>
        </w:rPr>
        <w:t>10</w:t>
      </w:r>
      <w:r>
        <w:rPr>
          <w:rFonts w:hint="eastAsia" w:ascii="仿宋" w:hAnsi="仿宋" w:eastAsia="仿宋" w:cs="仿宋"/>
          <w:b w:val="0"/>
          <w:bCs w:val="0"/>
          <w:color w:val="auto"/>
          <w:kern w:val="0"/>
          <w:sz w:val="28"/>
          <w:szCs w:val="28"/>
          <w:highlight w:val="none"/>
          <w:lang w:bidi="ar"/>
        </w:rPr>
        <w:t>:</w:t>
      </w:r>
      <w:r>
        <w:rPr>
          <w:rFonts w:hint="eastAsia" w:ascii="仿宋" w:hAnsi="仿宋" w:eastAsia="仿宋" w:cs="仿宋"/>
          <w:b w:val="0"/>
          <w:bCs w:val="0"/>
          <w:color w:val="auto"/>
          <w:kern w:val="0"/>
          <w:sz w:val="28"/>
          <w:szCs w:val="28"/>
          <w:highlight w:val="none"/>
          <w:lang w:val="en-US" w:eastAsia="zh-CN" w:bidi="ar"/>
        </w:rPr>
        <w:t>30</w:t>
      </w:r>
      <w:r>
        <w:rPr>
          <w:rFonts w:hint="eastAsia" w:ascii="仿宋" w:hAnsi="仿宋" w:eastAsia="仿宋" w:cs="仿宋"/>
          <w:color w:val="auto"/>
          <w:kern w:val="0"/>
          <w:sz w:val="28"/>
          <w:szCs w:val="28"/>
          <w:highlight w:val="none"/>
          <w:lang w:bidi="ar"/>
        </w:rPr>
        <w:t>（北京时间）</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开标地点：</w:t>
      </w:r>
      <w:r>
        <w:rPr>
          <w:rFonts w:hint="eastAsia" w:ascii="仿宋" w:hAnsi="仿宋" w:eastAsia="仿宋" w:cs="仿宋"/>
          <w:color w:val="auto"/>
          <w:kern w:val="0"/>
          <w:sz w:val="28"/>
          <w:szCs w:val="28"/>
          <w:highlight w:val="none"/>
          <w:lang w:bidi="ar"/>
        </w:rPr>
        <w:t>政采云平台（https://www.zcygov.cn/）</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color w:val="auto"/>
          <w:kern w:val="0"/>
          <w:sz w:val="28"/>
          <w:szCs w:val="28"/>
          <w:highlight w:val="none"/>
          <w:lang w:val="en-US" w:eastAsia="zh-CN" w:bidi="ar"/>
        </w:rPr>
        <w:t>六</w:t>
      </w:r>
      <w:r>
        <w:rPr>
          <w:rFonts w:hint="eastAsia" w:ascii="仿宋" w:hAnsi="仿宋" w:eastAsia="仿宋" w:cs="仿宋"/>
          <w:b/>
          <w:color w:val="auto"/>
          <w:kern w:val="0"/>
          <w:sz w:val="28"/>
          <w:szCs w:val="28"/>
          <w:highlight w:val="none"/>
          <w:lang w:bidi="ar"/>
        </w:rPr>
        <w:t>、公告期限</w:t>
      </w:r>
      <w:r>
        <w:rPr>
          <w:rFonts w:hint="eastAsia" w:ascii="仿宋" w:hAnsi="仿宋" w:eastAsia="仿宋" w:cs="仿宋"/>
          <w:b/>
          <w:color w:val="auto"/>
          <w:kern w:val="0"/>
          <w:sz w:val="28"/>
          <w:szCs w:val="28"/>
          <w:highlight w:val="none"/>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自本公告发布之日起</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bidi="ar"/>
        </w:rPr>
        <w:t>个工作日。</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color w:val="auto"/>
          <w:kern w:val="0"/>
          <w:sz w:val="28"/>
          <w:szCs w:val="28"/>
          <w:highlight w:val="none"/>
          <w:lang w:val="en-US" w:eastAsia="zh-CN" w:bidi="ar"/>
        </w:rPr>
        <w:t>七</w:t>
      </w:r>
      <w:r>
        <w:rPr>
          <w:rFonts w:hint="eastAsia" w:ascii="仿宋" w:hAnsi="仿宋" w:eastAsia="仿宋" w:cs="仿宋"/>
          <w:b/>
          <w:color w:val="auto"/>
          <w:kern w:val="0"/>
          <w:sz w:val="28"/>
          <w:szCs w:val="28"/>
          <w:highlight w:val="none"/>
          <w:lang w:bidi="ar"/>
        </w:rPr>
        <w:t>、其他补充事宜</w:t>
      </w:r>
    </w:p>
    <w:p>
      <w:pPr>
        <w:widowControl/>
        <w:spacing w:line="520" w:lineRule="exact"/>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1.本项目实行网上投标，采用电子投标文件;</w:t>
      </w:r>
    </w:p>
    <w:p>
      <w:pPr>
        <w:widowControl/>
        <w:spacing w:line="520" w:lineRule="exact"/>
        <w:ind w:firstLine="560" w:firstLineChars="200"/>
        <w:jc w:val="left"/>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通过新疆政府采购网-办理指南—供应商—CA证书办理操作指南-进入CA办理界面，按需选择办理任意一家CA厂商的数字证书</w:t>
      </w:r>
      <w:r>
        <w:rPr>
          <w:rFonts w:hint="eastAsia" w:ascii="仿宋" w:hAnsi="仿宋" w:eastAsia="仿宋" w:cs="仿宋"/>
          <w:color w:val="auto"/>
          <w:kern w:val="0"/>
          <w:sz w:val="28"/>
          <w:szCs w:val="28"/>
          <w:highlight w:val="none"/>
          <w:lang w:eastAsia="zh-CN" w:bidi="ar"/>
        </w:rPr>
        <w:t>；</w:t>
      </w:r>
    </w:p>
    <w:p>
      <w:pPr>
        <w:widowControl/>
        <w:spacing w:line="520" w:lineRule="exact"/>
        <w:ind w:firstLine="560" w:firstLineChars="200"/>
        <w:jc w:val="both"/>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3.供应商在完成政采云电子交易客户端下载、安装后，可通过账号密码或CA登录客户端进行投标文件的制作。在使用政采云投标客户端时，建议使用WIN7以上操作系统。客户端请至新</w:t>
      </w:r>
      <w:r>
        <w:rPr>
          <w:rFonts w:hint="eastAsia" w:ascii="仿宋" w:hAnsi="仿宋" w:eastAsia="仿宋" w:cs="仿宋"/>
          <w:color w:val="auto"/>
          <w:kern w:val="0"/>
          <w:sz w:val="28"/>
          <w:szCs w:val="28"/>
          <w:highlight w:val="none"/>
          <w:lang w:val="en-US" w:eastAsia="zh-CN" w:bidi="ar"/>
        </w:rPr>
        <w:t>疆</w:t>
      </w:r>
      <w:r>
        <w:rPr>
          <w:rFonts w:hint="eastAsia" w:ascii="仿宋" w:hAnsi="仿宋" w:eastAsia="仿宋" w:cs="仿宋"/>
          <w:color w:val="auto"/>
          <w:kern w:val="0"/>
          <w:sz w:val="28"/>
          <w:szCs w:val="28"/>
          <w:highlight w:val="none"/>
          <w:lang w:bidi="ar"/>
        </w:rPr>
        <w:t>政府采购网(http://www.ccgp-xinjiang.gov.cn/)下载专区查看，如遇问题可拨打政采云客户服务热线95763进行咨询。如因供应商自身原因导致在规定时间内无法正常解密的(如:浏览器故障、未安装相关驱动、网络故障、加密CA与解密CA不一致等)，</w:t>
      </w:r>
      <w:r>
        <w:rPr>
          <w:rFonts w:hint="eastAsia" w:ascii="仿宋" w:hAnsi="仿宋" w:eastAsia="仿宋" w:cs="仿宋"/>
          <w:color w:val="auto"/>
          <w:kern w:val="0"/>
          <w:sz w:val="28"/>
          <w:szCs w:val="28"/>
          <w:highlight w:val="none"/>
          <w:lang w:val="en-US" w:eastAsia="zh-CN" w:bidi="ar"/>
        </w:rPr>
        <w:t>采购</w:t>
      </w:r>
      <w:r>
        <w:rPr>
          <w:rFonts w:hint="eastAsia" w:ascii="仿宋" w:hAnsi="仿宋" w:eastAsia="仿宋" w:cs="仿宋"/>
          <w:color w:val="auto"/>
          <w:kern w:val="0"/>
          <w:sz w:val="28"/>
          <w:szCs w:val="28"/>
          <w:highlight w:val="none"/>
          <w:lang w:bidi="ar"/>
        </w:rPr>
        <w:t>代理机构不予异常处理，视为供应商自动弃标</w:t>
      </w:r>
      <w:r>
        <w:rPr>
          <w:rFonts w:hint="eastAsia" w:ascii="仿宋" w:hAnsi="仿宋" w:eastAsia="仿宋" w:cs="仿宋"/>
          <w:color w:val="auto"/>
          <w:kern w:val="0"/>
          <w:sz w:val="28"/>
          <w:szCs w:val="28"/>
          <w:highlight w:val="none"/>
          <w:lang w:eastAsia="zh-CN" w:bidi="ar"/>
        </w:rPr>
        <w:t>；</w:t>
      </w:r>
    </w:p>
    <w:p>
      <w:pPr>
        <w:widowControl/>
        <w:spacing w:line="520" w:lineRule="exact"/>
        <w:ind w:firstLine="560" w:firstLineChars="200"/>
        <w:jc w:val="both"/>
        <w:rPr>
          <w:rFonts w:hint="eastAsia" w:ascii="仿宋" w:hAnsi="仿宋" w:eastAsia="仿宋" w:cs="仿宋"/>
          <w:color w:val="auto"/>
          <w:kern w:val="0"/>
          <w:sz w:val="28"/>
          <w:szCs w:val="28"/>
          <w:highlight w:val="none"/>
          <w:lang w:val="en-US" w:bidi="ar"/>
        </w:rPr>
      </w:pPr>
      <w:r>
        <w:rPr>
          <w:rFonts w:hint="eastAsia" w:ascii="仿宋" w:hAnsi="仿宋" w:eastAsia="仿宋" w:cs="仿宋"/>
          <w:color w:val="auto"/>
          <w:kern w:val="0"/>
          <w:sz w:val="28"/>
          <w:szCs w:val="28"/>
          <w:highlight w:val="none"/>
          <w:lang w:bidi="ar"/>
        </w:rPr>
        <w:t>4.供应商应当在投标截止时间前,将生成的“电子加密投标文件”上传递交至“政府采购云平台”,投标截止时间以后上传递交的投标文件将被“政府采购云平台”拒收;</w:t>
      </w:r>
    </w:p>
    <w:p>
      <w:pPr>
        <w:widowControl/>
        <w:spacing w:line="520" w:lineRule="exact"/>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pPr>
        <w:widowControl/>
        <w:spacing w:line="520" w:lineRule="exact"/>
        <w:ind w:firstLine="560" w:firstLineChars="200"/>
        <w:jc w:val="left"/>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6.供应商登录政采云平台，在开标时间后30分钟内用“项目采购-开标评标”功能进行解密投标文件。若供应商在规定时间内未按时解密的，视为无效投标。解密与加密投标文件须使用同一个CA。</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特别提示：</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1、采购限额标准以上，200万元以下的货物和服务采购项目、400万元以下的工程采购项目，适宜由中小企业提供的，采购人应当专门面向中小企业采购</w:t>
      </w:r>
      <w:r>
        <w:rPr>
          <w:rFonts w:hint="eastAsia" w:ascii="仿宋" w:hAnsi="仿宋" w:eastAsia="仿宋" w:cs="仿宋"/>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bidi="ar"/>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color w:val="auto"/>
          <w:kern w:val="0"/>
          <w:sz w:val="28"/>
          <w:szCs w:val="28"/>
          <w:highlight w:val="none"/>
          <w:lang w:eastAsia="zh-CN" w:bidi="ar"/>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4、接受大中型企业与小微企业组成联合体或者允许大中型企业向一家或者多家小微企业分包的采购项目，对于联合</w:t>
      </w:r>
      <w:r>
        <w:rPr>
          <w:rFonts w:hint="eastAsia" w:ascii="仿宋" w:hAnsi="仿宋" w:eastAsia="仿宋" w:cs="仿宋"/>
          <w:color w:val="auto"/>
          <w:kern w:val="0"/>
          <w:sz w:val="28"/>
          <w:szCs w:val="28"/>
          <w:highlight w:val="none"/>
          <w:lang w:val="en-US" w:eastAsia="zh-CN" w:bidi="ar"/>
        </w:rPr>
        <w:t>体</w:t>
      </w:r>
      <w:r>
        <w:rPr>
          <w:rFonts w:hint="eastAsia" w:ascii="仿宋" w:hAnsi="仿宋" w:eastAsia="仿宋" w:cs="仿宋"/>
          <w:color w:val="auto"/>
          <w:kern w:val="0"/>
          <w:sz w:val="28"/>
          <w:szCs w:val="28"/>
          <w:highlight w:val="none"/>
          <w:lang w:bidi="ar"/>
        </w:rPr>
        <w:t>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color w:val="auto"/>
          <w:kern w:val="0"/>
          <w:sz w:val="28"/>
          <w:szCs w:val="28"/>
          <w:highlight w:val="none"/>
          <w:lang w:val="en-US" w:eastAsia="zh-CN" w:bidi="ar"/>
        </w:rPr>
        <w:t>八</w:t>
      </w:r>
      <w:r>
        <w:rPr>
          <w:rFonts w:hint="eastAsia" w:ascii="仿宋" w:hAnsi="仿宋" w:eastAsia="仿宋" w:cs="仿宋"/>
          <w:b/>
          <w:color w:val="auto"/>
          <w:kern w:val="0"/>
          <w:sz w:val="28"/>
          <w:szCs w:val="28"/>
          <w:highlight w:val="none"/>
          <w:lang w:bidi="ar"/>
        </w:rPr>
        <w:t>、对本次采购提出询问，请按以下方式联系</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1.采购人信息</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default" w:ascii="仿宋" w:hAnsi="仿宋" w:eastAsia="仿宋" w:cs="仿宋"/>
          <w:color w:val="auto"/>
          <w:w w:val="102"/>
          <w:kern w:val="0"/>
          <w:sz w:val="28"/>
          <w:szCs w:val="28"/>
          <w:highlight w:val="none"/>
          <w:u w:val="single"/>
          <w:lang w:val="en-US" w:eastAsia="zh-CN"/>
        </w:rPr>
      </w:pPr>
      <w:r>
        <w:rPr>
          <w:rFonts w:hint="eastAsia" w:ascii="仿宋" w:hAnsi="仿宋" w:eastAsia="仿宋" w:cs="仿宋"/>
          <w:b/>
          <w:bCs/>
          <w:color w:val="auto"/>
          <w:kern w:val="0"/>
          <w:sz w:val="28"/>
          <w:szCs w:val="28"/>
          <w:highlight w:val="none"/>
          <w:lang w:bidi="ar"/>
        </w:rPr>
        <w:t>名 称</w:t>
      </w:r>
      <w:r>
        <w:rPr>
          <w:rFonts w:hint="eastAsia" w:ascii="仿宋" w:hAnsi="仿宋" w:eastAsia="仿宋" w:cs="仿宋"/>
          <w:b/>
          <w:bCs/>
          <w:color w:val="auto"/>
          <w:kern w:val="0"/>
          <w:sz w:val="28"/>
          <w:szCs w:val="28"/>
          <w:highlight w:val="none"/>
          <w:lang w:eastAsia="zh-CN" w:bidi="ar"/>
        </w:rPr>
        <w:t>：</w:t>
      </w:r>
      <w:r>
        <w:rPr>
          <w:rFonts w:hint="eastAsia" w:ascii="仿宋" w:hAnsi="仿宋" w:eastAsia="仿宋" w:cs="仿宋"/>
          <w:b w:val="0"/>
          <w:bCs w:val="0"/>
          <w:color w:val="auto"/>
          <w:kern w:val="0"/>
          <w:sz w:val="28"/>
          <w:szCs w:val="28"/>
          <w:highlight w:val="none"/>
          <w:lang w:val="en-US" w:eastAsia="zh-CN" w:bidi="ar"/>
        </w:rPr>
        <w:t>吐鲁番市高昌区卫生健康委员会</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
          <w:bCs/>
          <w:color w:val="auto"/>
          <w:kern w:val="0"/>
          <w:sz w:val="28"/>
          <w:szCs w:val="28"/>
          <w:highlight w:val="none"/>
          <w:lang w:bidi="ar"/>
        </w:rPr>
        <w:t>地 址：</w:t>
      </w:r>
      <w:r>
        <w:rPr>
          <w:rFonts w:hint="eastAsia" w:ascii="仿宋" w:hAnsi="仿宋" w:eastAsia="仿宋" w:cs="仿宋"/>
          <w:b w:val="0"/>
          <w:bCs w:val="0"/>
          <w:color w:val="auto"/>
          <w:kern w:val="0"/>
          <w:sz w:val="28"/>
          <w:szCs w:val="28"/>
          <w:highlight w:val="none"/>
          <w:lang w:val="en-US" w:eastAsia="zh-CN" w:bidi="ar"/>
        </w:rPr>
        <w:t>吐鲁番市高昌区文化中路（组织部大院）</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default" w:ascii="仿宋" w:hAnsi="仿宋" w:eastAsia="仿宋" w:cs="仿宋"/>
          <w:bCs/>
          <w:color w:val="auto"/>
          <w:sz w:val="28"/>
          <w:szCs w:val="28"/>
          <w:highlight w:val="yellow"/>
          <w:lang w:val="en-US" w:eastAsia="zh-CN"/>
        </w:rPr>
      </w:pPr>
      <w:r>
        <w:rPr>
          <w:rFonts w:hint="eastAsia" w:ascii="仿宋" w:hAnsi="仿宋" w:eastAsia="仿宋" w:cs="仿宋"/>
          <w:b/>
          <w:bCs/>
          <w:color w:val="auto"/>
          <w:kern w:val="0"/>
          <w:sz w:val="28"/>
          <w:szCs w:val="28"/>
          <w:highlight w:val="none"/>
          <w:lang w:bidi="ar"/>
        </w:rPr>
        <w:t>联系方式：</w:t>
      </w:r>
      <w:r>
        <w:rPr>
          <w:rFonts w:hint="eastAsia" w:ascii="仿宋" w:hAnsi="仿宋" w:eastAsia="仿宋" w:cs="仿宋"/>
          <w:bCs/>
          <w:color w:val="auto"/>
          <w:sz w:val="28"/>
          <w:szCs w:val="28"/>
          <w:highlight w:val="none"/>
          <w:lang w:val="en-US" w:eastAsia="zh-CN"/>
        </w:rPr>
        <w:t>13699914921</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2.采购代理机构信息</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名 称：</w:t>
      </w:r>
      <w:r>
        <w:rPr>
          <w:rFonts w:hint="eastAsia" w:ascii="仿宋" w:hAnsi="仿宋" w:eastAsia="仿宋" w:cs="仿宋"/>
          <w:b w:val="0"/>
          <w:bCs w:val="0"/>
          <w:color w:val="auto"/>
          <w:kern w:val="0"/>
          <w:sz w:val="28"/>
          <w:szCs w:val="28"/>
          <w:highlight w:val="none"/>
          <w:lang w:val="en-US" w:eastAsia="zh-CN"/>
        </w:rPr>
        <w:t>吐鲁番市行政服务中心（市公共资源交易中心）</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地 址：</w:t>
      </w:r>
      <w:r>
        <w:rPr>
          <w:rFonts w:hint="eastAsia" w:ascii="仿宋" w:hAnsi="仿宋" w:eastAsia="仿宋" w:cs="仿宋"/>
          <w:color w:val="auto"/>
          <w:kern w:val="0"/>
          <w:sz w:val="28"/>
          <w:szCs w:val="28"/>
          <w:highlight w:val="none"/>
          <w:lang w:bidi="ar"/>
        </w:rPr>
        <w:t>吐鲁番市丝绸大道4100号</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b/>
          <w:bCs/>
          <w:color w:val="auto"/>
          <w:kern w:val="0"/>
          <w:sz w:val="28"/>
          <w:szCs w:val="28"/>
          <w:highlight w:val="none"/>
          <w:lang w:bidi="ar"/>
        </w:rPr>
        <w:t>联系方式：</w:t>
      </w:r>
      <w:r>
        <w:rPr>
          <w:rFonts w:hint="eastAsia" w:ascii="仿宋" w:hAnsi="仿宋" w:eastAsia="仿宋" w:cs="仿宋"/>
          <w:b w:val="0"/>
          <w:bCs w:val="0"/>
          <w:color w:val="auto"/>
          <w:kern w:val="0"/>
          <w:sz w:val="28"/>
          <w:szCs w:val="28"/>
          <w:highlight w:val="none"/>
          <w:lang w:val="en-US" w:eastAsia="zh-CN"/>
        </w:rPr>
        <w:t>0995-8520797</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3.项目联系方式</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bidi="ar"/>
        </w:rPr>
        <w:t>项目联系人：</w:t>
      </w:r>
      <w:r>
        <w:rPr>
          <w:rFonts w:hint="eastAsia" w:ascii="仿宋" w:hAnsi="仿宋" w:eastAsia="仿宋" w:cs="仿宋"/>
          <w:b w:val="0"/>
          <w:bCs w:val="0"/>
          <w:color w:val="auto"/>
          <w:kern w:val="0"/>
          <w:sz w:val="28"/>
          <w:szCs w:val="28"/>
          <w:highlight w:val="none"/>
          <w:lang w:val="en-US" w:eastAsia="zh-CN" w:bidi="ar"/>
        </w:rPr>
        <w:t>施丁语</w:t>
      </w:r>
    </w:p>
    <w:p>
      <w:pPr>
        <w:keepNext w:val="0"/>
        <w:keepLines w:val="0"/>
        <w:pageBreakBefore w:val="0"/>
        <w:widowControl w:val="0"/>
        <w:kinsoku/>
        <w:wordWrap/>
        <w:overflowPunct/>
        <w:topLinePunct w:val="0"/>
        <w:autoSpaceDE w:val="0"/>
        <w:autoSpaceDN w:val="0"/>
        <w:bidi w:val="0"/>
        <w:adjustRightInd/>
        <w:snapToGrid/>
        <w:spacing w:line="440" w:lineRule="exact"/>
        <w:ind w:firstLine="562" w:firstLineChars="200"/>
        <w:textAlignment w:val="auto"/>
        <w:rPr>
          <w:rFonts w:hint="eastAsia" w:ascii="宋体" w:hAnsi="宋体" w:eastAsia="宋体" w:cs="宋体"/>
          <w:color w:val="auto"/>
          <w:sz w:val="22"/>
          <w:szCs w:val="22"/>
          <w:highlight w:val="none"/>
        </w:rPr>
      </w:pPr>
      <w:r>
        <w:rPr>
          <w:rFonts w:hint="eastAsia" w:ascii="仿宋" w:hAnsi="仿宋" w:eastAsia="仿宋" w:cs="仿宋"/>
          <w:b/>
          <w:bCs/>
          <w:color w:val="auto"/>
          <w:kern w:val="0"/>
          <w:sz w:val="28"/>
          <w:szCs w:val="28"/>
          <w:highlight w:val="none"/>
          <w:lang w:bidi="ar"/>
        </w:rPr>
        <w:t>电 话：</w:t>
      </w:r>
      <w:r>
        <w:rPr>
          <w:rFonts w:hint="eastAsia" w:ascii="仿宋" w:hAnsi="仿宋" w:eastAsia="仿宋" w:cs="仿宋"/>
          <w:color w:val="auto"/>
          <w:kern w:val="0"/>
          <w:sz w:val="28"/>
          <w:szCs w:val="28"/>
          <w:highlight w:val="none"/>
          <w:lang w:bidi="ar"/>
        </w:rPr>
        <w:t>0995-8520797</w:t>
      </w:r>
      <w:bookmarkEnd w:id="1"/>
      <w:bookmarkEnd w:id="2"/>
      <w:bookmarkEnd w:id="3"/>
      <w:bookmarkEnd w:id="4"/>
      <w:bookmarkEnd w:id="5"/>
      <w:bookmarkEnd w:id="6"/>
      <w:bookmarkEnd w:id="7"/>
      <w:bookmarkEnd w:id="8"/>
      <w:bookmarkEnd w:id="9"/>
      <w:bookmarkEnd w:id="10"/>
      <w:bookmarkEnd w:id="11"/>
      <w:bookmarkStart w:id="17" w:name="_Toc44690597"/>
    </w:p>
    <w:p>
      <w:pPr>
        <w:spacing w:line="440" w:lineRule="exact"/>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52"/>
        <w:widowControl w:val="0"/>
        <w:numPr>
          <w:ilvl w:val="0"/>
          <w:numId w:val="0"/>
        </w:numPr>
        <w:jc w:val="center"/>
        <w:rPr>
          <w:rFonts w:hint="eastAsia" w:ascii="宋体" w:hAnsi="宋体" w:eastAsia="宋体" w:cs="宋体"/>
          <w:color w:val="auto"/>
          <w:sz w:val="22"/>
          <w:szCs w:val="22"/>
          <w:highlight w:val="none"/>
        </w:rPr>
      </w:pPr>
    </w:p>
    <w:p>
      <w:pPr>
        <w:pStyle w:val="7"/>
        <w:spacing w:line="240" w:lineRule="auto"/>
        <w:jc w:val="center"/>
        <w:rPr>
          <w:rFonts w:hint="eastAsia" w:ascii="宋体" w:hAnsi="宋体" w:eastAsia="宋体" w:cs="宋体"/>
          <w:color w:val="auto"/>
          <w:sz w:val="28"/>
          <w:szCs w:val="28"/>
          <w:highlight w:val="none"/>
        </w:rPr>
      </w:pPr>
      <w:bookmarkStart w:id="18" w:name="_Toc5188"/>
    </w:p>
    <w:p>
      <w:pPr>
        <w:pStyle w:val="7"/>
        <w:spacing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第二部分  谈判供应商须知前附表</w:t>
      </w:r>
      <w:bookmarkEnd w:id="17"/>
      <w:bookmarkEnd w:id="18"/>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2261"/>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条款号</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条 款 名 称</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建设地点</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spacing w:beforeLines="0" w:afterLines="0"/>
              <w:rPr>
                <w:rFonts w:hint="eastAsia" w:ascii="仿宋_GB2312" w:hAnsi="仿宋_GB2312" w:eastAsia="仿宋_GB2312" w:cs="仿宋_GB2312"/>
                <w:color w:val="auto"/>
                <w:sz w:val="24"/>
                <w:szCs w:val="24"/>
                <w:highlight w:val="none"/>
                <w:lang w:val="en-US" w:eastAsia="zh-CN"/>
              </w:rPr>
            </w:pPr>
            <w:bookmarkStart w:id="19" w:name="EBab956008dbe54ba7a71901d90aab5e33"/>
            <w:bookmarkEnd w:id="19"/>
            <w:r>
              <w:rPr>
                <w:rFonts w:hint="eastAsia" w:ascii="仿宋_GB2312" w:hAnsi="仿宋_GB2312" w:eastAsia="仿宋_GB2312" w:cs="仿宋_GB2312"/>
                <w:color w:val="auto"/>
                <w:sz w:val="24"/>
                <w:szCs w:val="24"/>
                <w:highlight w:val="none"/>
                <w:lang w:val="en-US" w:eastAsia="zh-CN"/>
              </w:rPr>
              <w:t>吐鲁番市高昌区三湾路50号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质量要求</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质量标准：</w:t>
            </w:r>
            <w:bookmarkStart w:id="20" w:name="EB842ea8786d484386adc9fd3f4803a0e9"/>
            <w:bookmarkEnd w:id="20"/>
            <w:r>
              <w:rPr>
                <w:rFonts w:hint="eastAsia" w:ascii="仿宋_GB2312" w:hAnsi="仿宋_GB2312" w:eastAsia="仿宋_GB2312" w:cs="仿宋_GB2312"/>
                <w:color w:val="auto"/>
                <w:sz w:val="24"/>
                <w:szCs w:val="24"/>
                <w:highlight w:val="none"/>
              </w:rPr>
              <w:t>合格</w:t>
            </w:r>
          </w:p>
          <w:p>
            <w:pPr>
              <w:pStyle w:val="107"/>
              <w:widowControl/>
              <w:spacing w:beforeLines="0" w:afterLines="0" w:line="334"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质保期：</w:t>
            </w:r>
            <w:r>
              <w:rPr>
                <w:rFonts w:hint="eastAsia" w:ascii="仿宋_GB2312" w:hAnsi="仿宋_GB2312" w:eastAsia="仿宋_GB2312" w:cs="仿宋_GB2312"/>
                <w:color w:val="auto"/>
                <w:sz w:val="24"/>
                <w:szCs w:val="24"/>
                <w:highlight w:val="none"/>
                <w:lang w:val="en-US" w:eastAsia="zh-CN"/>
              </w:rPr>
              <w:t>按国务院《建设工程质量管理条例》第四十条相关规定执行。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信誉要求（不良行为记录）</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rPr>
                <w:rFonts w:hint="eastAsia" w:ascii="仿宋_GB2312" w:hAnsi="仿宋_GB2312" w:eastAsia="仿宋_GB2312" w:cs="仿宋_GB2312"/>
                <w:color w:val="auto"/>
                <w:sz w:val="24"/>
                <w:szCs w:val="24"/>
                <w:highlight w:val="none"/>
              </w:rPr>
            </w:pPr>
            <w:bookmarkStart w:id="21" w:name="EB797d1b4079594a778b9f2da7a47c4236"/>
            <w:bookmarkEnd w:id="21"/>
            <w:r>
              <w:rPr>
                <w:rFonts w:hint="eastAsia" w:ascii="仿宋_GB2312" w:hAnsi="仿宋_GB2312" w:eastAsia="仿宋_GB2312" w:cs="仿宋_GB2312"/>
                <w:color w:val="auto"/>
                <w:sz w:val="24"/>
                <w:szCs w:val="24"/>
                <w:highlight w:val="none"/>
                <w:lang w:val="en-US" w:eastAsia="zh-CN"/>
              </w:rPr>
              <w:t>满足《中华人民共和国政府采购法》第二十二条以及《中华人民共和国政府采购法实施条例》第十七条规定。</w:t>
            </w:r>
            <w:r>
              <w:rPr>
                <w:rFonts w:hint="eastAsia" w:ascii="仿宋_GB2312" w:hAnsi="仿宋_GB2312" w:eastAsia="仿宋_GB2312" w:cs="仿宋_GB2312"/>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踏勘现场</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34" w:lineRule="exact"/>
              <w:rPr>
                <w:rFonts w:hint="eastAsia" w:ascii="仿宋_GB2312" w:hAnsi="仿宋_GB2312" w:eastAsia="仿宋_GB2312" w:cs="仿宋_GB2312"/>
                <w:color w:val="auto"/>
                <w:sz w:val="24"/>
                <w:szCs w:val="24"/>
                <w:highlight w:val="none"/>
              </w:rPr>
            </w:pPr>
            <w:bookmarkStart w:id="22" w:name="EB711ab04762684375a014a19528cf06dd"/>
            <w:bookmarkEnd w:id="22"/>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不组织</w:t>
            </w:r>
          </w:p>
          <w:p>
            <w:pPr>
              <w:pStyle w:val="107"/>
              <w:widowControl/>
              <w:spacing w:beforeLines="0" w:afterLines="0" w:line="334" w:lineRule="exact"/>
              <w:rPr>
                <w:rFonts w:hint="eastAsia" w:ascii="仿宋_GB2312" w:hAnsi="仿宋_GB2312" w:eastAsia="仿宋_GB2312" w:cs="仿宋_GB2312"/>
                <w:color w:val="auto"/>
                <w:sz w:val="24"/>
                <w:szCs w:val="24"/>
                <w:highlight w:val="none"/>
              </w:rPr>
            </w:pPr>
            <w:bookmarkStart w:id="23" w:name="EBafd1a84b6f804a9890ee96b9f6d8258d"/>
            <w:bookmarkEnd w:id="23"/>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p>
          <w:p>
            <w:pPr>
              <w:pStyle w:val="107"/>
              <w:widowControl/>
              <w:spacing w:beforeLines="0" w:afterLines="0" w:line="334" w:lineRule="exac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踏勘时间：</w:t>
            </w:r>
            <w:bookmarkStart w:id="24" w:name="EB29d5e1ef164c4dffb6d1d51a9bb4054e"/>
            <w:bookmarkEnd w:id="24"/>
          </w:p>
          <w:p>
            <w:pPr>
              <w:pStyle w:val="107"/>
              <w:widowControl/>
              <w:spacing w:beforeLines="0" w:afterLines="0" w:line="334"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踏勘集中地点：</w:t>
            </w:r>
            <w:bookmarkStart w:id="25" w:name="EB7d3ba06a341f4914bebd605d4573d668"/>
            <w:bookmarkEnd w:id="25"/>
          </w:p>
          <w:p>
            <w:pPr>
              <w:pStyle w:val="107"/>
              <w:widowControl/>
              <w:spacing w:beforeLines="0" w:afterLines="0" w:line="334"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 xml:space="preserve">踏勘联系人及方式：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谈判</w:t>
            </w:r>
            <w:r>
              <w:rPr>
                <w:rFonts w:hint="eastAsia" w:ascii="仿宋_GB2312" w:hAnsi="仿宋_GB2312" w:eastAsia="仿宋_GB2312" w:cs="仿宋_GB2312"/>
                <w:color w:val="auto"/>
                <w:sz w:val="24"/>
                <w:szCs w:val="24"/>
                <w:highlight w:val="none"/>
              </w:rPr>
              <w:t>响应有效期</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60" w:lineRule="exact"/>
              <w:rPr>
                <w:rFonts w:hint="eastAsia" w:ascii="仿宋_GB2312" w:hAnsi="仿宋_GB2312" w:eastAsia="仿宋_GB2312" w:cs="仿宋_GB2312"/>
                <w:color w:val="auto"/>
                <w:sz w:val="24"/>
                <w:szCs w:val="24"/>
                <w:highlight w:val="none"/>
              </w:rPr>
            </w:pPr>
            <w:bookmarkStart w:id="26" w:name="EBdaf02b35eef04948bb826c544b7758c6"/>
            <w:bookmarkEnd w:id="26"/>
            <w:r>
              <w:rPr>
                <w:rFonts w:hint="eastAsia" w:ascii="仿宋_GB2312" w:hAnsi="仿宋_GB2312" w:eastAsia="仿宋_GB2312" w:cs="仿宋_GB2312"/>
                <w:color w:val="auto"/>
                <w:sz w:val="24"/>
                <w:szCs w:val="24"/>
                <w:highlight w:val="none"/>
                <w:u w:val="single"/>
              </w:rPr>
              <w:t xml:space="preserve"> 90 </w:t>
            </w:r>
            <w:r>
              <w:rPr>
                <w:rFonts w:hint="eastAsia" w:ascii="仿宋_GB2312" w:hAnsi="仿宋_GB2312" w:eastAsia="仿宋_GB2312" w:cs="仿宋_GB2312"/>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6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响应文件份数</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14"/>
              <w:spacing w:line="240" w:lineRule="auto"/>
              <w:ind w:firstLine="14" w:firstLineChars="6"/>
              <w:rPr>
                <w:rFonts w:hint="default" w:ascii="仿宋_GB2312" w:hAnsi="仿宋_GB2312" w:eastAsia="仿宋_GB2312" w:cs="仿宋_GB2312"/>
                <w:color w:val="auto"/>
                <w:kern w:val="0"/>
                <w:sz w:val="24"/>
                <w:szCs w:val="24"/>
                <w:highlight w:val="none"/>
                <w:lang w:val="en-US" w:eastAsia="zh-CN"/>
              </w:rPr>
            </w:pPr>
            <w:bookmarkStart w:id="27" w:name="EB8d5c7d73ca244b28bcae3699d53bc511"/>
            <w:bookmarkEnd w:id="27"/>
            <w:bookmarkStart w:id="28" w:name="EB93f4d92dc67243458e6fe4614c19bd8f"/>
            <w:bookmarkEnd w:id="28"/>
            <w:r>
              <w:rPr>
                <w:rFonts w:hint="eastAsia" w:ascii="仿宋_GB2312" w:hAnsi="仿宋_GB2312" w:eastAsia="仿宋_GB2312" w:cs="仿宋_GB2312"/>
                <w:color w:val="auto"/>
                <w:kern w:val="0"/>
                <w:sz w:val="24"/>
                <w:szCs w:val="24"/>
                <w:highlight w:val="none"/>
                <w:lang w:val="en-US" w:eastAsia="zh-CN"/>
              </w:rPr>
              <w:t>成交单位须在结果公告发布起5个工作日内提供</w:t>
            </w:r>
            <w:r>
              <w:rPr>
                <w:rFonts w:hint="eastAsia" w:ascii="仿宋_GB2312" w:hAnsi="仿宋_GB2312" w:eastAsia="仿宋_GB2312" w:cs="仿宋_GB2312"/>
                <w:color w:val="auto"/>
                <w:kern w:val="0"/>
                <w:sz w:val="24"/>
                <w:szCs w:val="24"/>
                <w:highlight w:val="none"/>
              </w:rPr>
              <w:t>正本1份，副本</w:t>
            </w:r>
            <w:r>
              <w:rPr>
                <w:rFonts w:hint="eastAsia" w:ascii="仿宋_GB2312" w:hAnsi="仿宋_GB2312" w:eastAsia="仿宋_GB2312" w:cs="仿宋_GB2312"/>
                <w:color w:val="auto"/>
                <w:kern w:val="0"/>
                <w:sz w:val="24"/>
                <w:szCs w:val="24"/>
                <w:highlight w:val="none"/>
                <w:lang w:val="en-US" w:eastAsia="zh-CN"/>
              </w:rPr>
              <w:t>1份，</w:t>
            </w:r>
            <w:r>
              <w:rPr>
                <w:rFonts w:hint="eastAsia" w:ascii="仿宋_GB2312" w:hAnsi="仿宋_GB2312" w:eastAsia="仿宋_GB2312" w:cs="仿宋_GB2312"/>
                <w:color w:val="auto"/>
                <w:kern w:val="0"/>
                <w:sz w:val="24"/>
                <w:szCs w:val="24"/>
                <w:highlight w:val="none"/>
                <w:lang w:val="zh-CN" w:eastAsia="zh-CN"/>
              </w:rPr>
              <w:t>须与电子版投标文件内容一致），递交至</w:t>
            </w:r>
            <w:r>
              <w:rPr>
                <w:rFonts w:hint="eastAsia" w:ascii="仿宋_GB2312" w:hAnsi="仿宋_GB2312" w:eastAsia="仿宋_GB2312" w:cs="仿宋_GB2312"/>
                <w:color w:val="auto"/>
                <w:kern w:val="0"/>
                <w:sz w:val="24"/>
                <w:szCs w:val="24"/>
                <w:highlight w:val="none"/>
                <w:lang w:val="en-US" w:eastAsia="zh-CN"/>
              </w:rPr>
              <w:t>吐鲁番市行政服务中心（市公共资源交易中心）6楼609室</w:t>
            </w:r>
            <w:r>
              <w:rPr>
                <w:rFonts w:hint="eastAsia" w:ascii="仿宋_GB2312" w:hAnsi="仿宋_GB2312" w:eastAsia="仿宋_GB2312" w:cs="仿宋_GB2312"/>
                <w:color w:val="auto"/>
                <w:kern w:val="0"/>
                <w:sz w:val="24"/>
                <w:szCs w:val="24"/>
                <w:highlight w:val="none"/>
                <w:lang w:val="zh-CN" w:eastAsia="zh-CN"/>
              </w:rPr>
              <w:t>，联系电话：</w:t>
            </w:r>
            <w:r>
              <w:rPr>
                <w:rFonts w:hint="eastAsia" w:ascii="仿宋_GB2312" w:hAnsi="仿宋_GB2312" w:eastAsia="仿宋_GB2312" w:cs="仿宋_GB2312"/>
                <w:color w:val="auto"/>
                <w:kern w:val="0"/>
                <w:sz w:val="24"/>
                <w:szCs w:val="24"/>
                <w:highlight w:val="none"/>
                <w:lang w:val="en-US" w:eastAsia="zh-CN"/>
              </w:rPr>
              <w:t>0995-8520797</w:t>
            </w:r>
            <w:r>
              <w:rPr>
                <w:rFonts w:hint="eastAsia" w:ascii="仿宋_GB2312" w:hAnsi="仿宋_GB2312" w:eastAsia="仿宋_GB2312" w:cs="仿宋_GB2312"/>
                <w:color w:val="auto"/>
                <w:kern w:val="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spacing w:beforeLines="0" w:afterLines="0" w:line="440" w:lineRule="exact"/>
              <w:ind w:firstLine="480" w:firstLineChars="200"/>
              <w:jc w:val="left"/>
              <w:rPr>
                <w:rFonts w:hint="eastAsia" w:ascii="仿宋_GB2312" w:hAnsi="仿宋_GB2312" w:eastAsia="仿宋_GB2312" w:cs="仿宋_GB2312"/>
                <w:color w:val="auto"/>
                <w:sz w:val="24"/>
                <w:szCs w:val="24"/>
                <w:highlight w:val="none"/>
                <w:lang w:val="zh-CN" w:bidi="zh-CN"/>
              </w:rPr>
            </w:pPr>
          </w:p>
          <w:p>
            <w:pPr>
              <w:autoSpaceDE w:val="0"/>
              <w:autoSpaceDN w:val="0"/>
              <w:spacing w:beforeLines="0" w:afterLines="0" w:line="440" w:lineRule="exact"/>
              <w:ind w:firstLine="240" w:firstLineChars="100"/>
              <w:jc w:val="center"/>
              <w:rPr>
                <w:rFonts w:hint="eastAsia" w:ascii="仿宋_GB2312" w:hAnsi="仿宋_GB2312" w:eastAsia="仿宋_GB2312" w:cs="仿宋_GB2312"/>
                <w:color w:val="auto"/>
                <w:sz w:val="24"/>
                <w:szCs w:val="24"/>
                <w:highlight w:val="none"/>
                <w:lang w:val="zh-CN" w:bidi="zh-CN"/>
              </w:rPr>
            </w:pPr>
            <w:r>
              <w:rPr>
                <w:rFonts w:hint="eastAsia" w:ascii="仿宋_GB2312" w:hAnsi="仿宋_GB2312" w:eastAsia="仿宋_GB2312" w:cs="仿宋_GB2312"/>
                <w:color w:val="auto"/>
                <w:sz w:val="24"/>
                <w:szCs w:val="24"/>
                <w:highlight w:val="none"/>
                <w:lang w:val="zh-CN" w:bidi="zh-CN"/>
              </w:rPr>
              <w:t>评审方法</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spacing w:beforeLines="0" w:afterLines="0" w:line="440" w:lineRule="exact"/>
              <w:jc w:val="left"/>
              <w:rPr>
                <w:rFonts w:hint="eastAsia" w:ascii="仿宋_GB2312" w:hAnsi="仿宋_GB2312" w:eastAsia="仿宋_GB2312" w:cs="仿宋_GB2312"/>
                <w:color w:val="auto"/>
                <w:sz w:val="24"/>
                <w:szCs w:val="24"/>
                <w:highlight w:val="none"/>
                <w:lang w:val="zh-CN" w:bidi="zh-CN"/>
              </w:rPr>
            </w:pPr>
            <w:r>
              <w:rPr>
                <w:rFonts w:hint="eastAsia" w:ascii="仿宋_GB2312" w:hAnsi="仿宋_GB2312" w:eastAsia="仿宋_GB2312" w:cs="仿宋_GB2312"/>
                <w:color w:val="auto"/>
                <w:sz w:val="24"/>
                <w:szCs w:val="24"/>
                <w:highlight w:val="none"/>
                <w:lang w:val="en-US" w:bidi="zh-CN"/>
              </w:rPr>
              <w:t>最低评标价</w:t>
            </w:r>
            <w:r>
              <w:rPr>
                <w:rFonts w:hint="eastAsia" w:ascii="仿宋_GB2312" w:hAnsi="仿宋_GB2312" w:eastAsia="仿宋_GB2312" w:cs="仿宋_GB2312"/>
                <w:color w:val="auto"/>
                <w:sz w:val="24"/>
                <w:szCs w:val="24"/>
                <w:highlight w:val="none"/>
                <w:lang w:val="zh-CN" w:bidi="zh-CN"/>
              </w:rPr>
              <w:t>法</w:t>
            </w:r>
            <w:r>
              <w:rPr>
                <w:rFonts w:hint="eastAsia" w:ascii="仿宋_GB2312" w:hAnsi="仿宋_GB2312" w:eastAsia="仿宋_GB2312" w:cs="仿宋_GB2312"/>
                <w:color w:val="auto"/>
                <w:sz w:val="24"/>
                <w:szCs w:val="24"/>
                <w:highlight w:val="none"/>
                <w:lang w:bidi="zh-CN"/>
              </w:rPr>
              <w:t>。</w:t>
            </w:r>
            <w:r>
              <w:rPr>
                <w:rFonts w:hint="eastAsia" w:ascii="仿宋_GB2312" w:hAnsi="仿宋_GB2312" w:eastAsia="仿宋_GB2312" w:cs="仿宋_GB2312"/>
                <w:color w:val="auto"/>
                <w:sz w:val="24"/>
                <w:szCs w:val="24"/>
                <w:highlight w:val="none"/>
                <w:lang w:val="zh-CN" w:bidi="zh-CN"/>
              </w:rPr>
              <w:t>经谈判确定</w:t>
            </w:r>
            <w:r>
              <w:rPr>
                <w:rFonts w:hint="eastAsia" w:ascii="仿宋_GB2312" w:hAnsi="仿宋_GB2312" w:eastAsia="仿宋_GB2312" w:cs="仿宋_GB2312"/>
                <w:color w:val="auto"/>
                <w:sz w:val="24"/>
                <w:szCs w:val="24"/>
                <w:highlight w:val="none"/>
                <w:lang w:val="en-US" w:bidi="zh-CN"/>
              </w:rPr>
              <w:t>响应</w:t>
            </w:r>
            <w:r>
              <w:rPr>
                <w:rFonts w:hint="eastAsia" w:ascii="仿宋_GB2312" w:hAnsi="仿宋_GB2312" w:eastAsia="仿宋_GB2312" w:cs="仿宋_GB2312"/>
                <w:color w:val="auto"/>
                <w:sz w:val="24"/>
                <w:szCs w:val="24"/>
                <w:highlight w:val="none"/>
                <w:lang w:val="zh-CN" w:bidi="zh-CN"/>
              </w:rPr>
              <w:t>文件满足</w:t>
            </w:r>
            <w:r>
              <w:rPr>
                <w:rFonts w:hint="eastAsia" w:ascii="仿宋_GB2312" w:hAnsi="仿宋_GB2312" w:eastAsia="仿宋_GB2312" w:cs="仿宋_GB2312"/>
                <w:color w:val="auto"/>
                <w:sz w:val="24"/>
                <w:szCs w:val="24"/>
                <w:highlight w:val="none"/>
                <w:lang w:val="en-US" w:bidi="zh-CN"/>
              </w:rPr>
              <w:t>谈判</w:t>
            </w:r>
            <w:r>
              <w:rPr>
                <w:rFonts w:hint="eastAsia" w:ascii="仿宋_GB2312" w:hAnsi="仿宋_GB2312" w:eastAsia="仿宋_GB2312" w:cs="仿宋_GB2312"/>
                <w:color w:val="auto"/>
                <w:sz w:val="24"/>
                <w:szCs w:val="24"/>
                <w:highlight w:val="none"/>
                <w:lang w:val="zh-CN" w:bidi="zh-CN"/>
              </w:rPr>
              <w:t>文件全部实质性要求且</w:t>
            </w:r>
            <w:r>
              <w:rPr>
                <w:rFonts w:hint="eastAsia" w:ascii="仿宋_GB2312" w:hAnsi="仿宋_GB2312" w:eastAsia="仿宋_GB2312" w:cs="仿宋_GB2312"/>
                <w:color w:val="auto"/>
                <w:sz w:val="24"/>
                <w:szCs w:val="24"/>
                <w:highlight w:val="none"/>
                <w:lang w:val="en-US" w:bidi="zh-CN"/>
              </w:rPr>
              <w:t>响应</w:t>
            </w:r>
            <w:r>
              <w:rPr>
                <w:rFonts w:hint="eastAsia" w:ascii="仿宋_GB2312" w:hAnsi="仿宋_GB2312" w:eastAsia="仿宋_GB2312" w:cs="仿宋_GB2312"/>
                <w:color w:val="auto"/>
                <w:sz w:val="24"/>
                <w:szCs w:val="24"/>
                <w:highlight w:val="none"/>
                <w:lang w:val="zh-CN" w:bidi="zh-CN"/>
              </w:rPr>
              <w:t>报价最低的供应商为</w:t>
            </w:r>
            <w:r>
              <w:rPr>
                <w:rFonts w:hint="eastAsia" w:ascii="仿宋_GB2312" w:hAnsi="仿宋_GB2312" w:eastAsia="仿宋_GB2312" w:cs="仿宋_GB2312"/>
                <w:color w:val="auto"/>
                <w:sz w:val="24"/>
                <w:szCs w:val="24"/>
                <w:highlight w:val="none"/>
                <w:lang w:val="en-US" w:bidi="zh-CN"/>
              </w:rPr>
              <w:t>成交</w:t>
            </w:r>
            <w:r>
              <w:rPr>
                <w:rFonts w:hint="eastAsia" w:ascii="仿宋_GB2312" w:hAnsi="仿宋_GB2312" w:eastAsia="仿宋_GB2312" w:cs="仿宋_GB2312"/>
                <w:color w:val="auto"/>
                <w:sz w:val="24"/>
                <w:szCs w:val="24"/>
                <w:highlight w:val="none"/>
                <w:lang w:val="zh-CN" w:bidi="zh-CN"/>
              </w:rPr>
              <w:t>候选人的评标方法。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spacing w:beforeLines="0" w:afterLines="0" w:line="440" w:lineRule="exact"/>
              <w:ind w:firstLine="440" w:firstLineChars="200"/>
              <w:jc w:val="left"/>
              <w:rPr>
                <w:rFonts w:hint="eastAsia" w:ascii="宋体" w:hAnsi="宋体" w:eastAsia="宋体" w:cs="宋体"/>
                <w:color w:val="auto"/>
                <w:sz w:val="22"/>
                <w:szCs w:val="22"/>
                <w:highlight w:val="none"/>
                <w:lang w:val="zh-CN" w:bidi="zh-CN"/>
              </w:rPr>
            </w:pPr>
          </w:p>
          <w:p>
            <w:pPr>
              <w:autoSpaceDE w:val="0"/>
              <w:autoSpaceDN w:val="0"/>
              <w:spacing w:beforeLines="0" w:afterLines="0" w:line="440" w:lineRule="exact"/>
              <w:ind w:firstLine="440" w:firstLineChars="200"/>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zh-CN" w:bidi="zh-CN"/>
              </w:rPr>
              <w:t xml:space="preserve">★报价 </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spacing w:beforeLines="0" w:afterLines="0" w:line="440" w:lineRule="exact"/>
              <w:jc w:val="left"/>
              <w:rPr>
                <w:rFonts w:hint="eastAsia" w:ascii="宋体" w:hAnsi="宋体" w:eastAsia="宋体" w:cs="宋体"/>
                <w:b/>
                <w:color w:val="auto"/>
                <w:sz w:val="22"/>
                <w:szCs w:val="22"/>
                <w:highlight w:val="none"/>
                <w:lang w:bidi="zh-CN"/>
              </w:rPr>
            </w:pPr>
            <w:r>
              <w:rPr>
                <w:rFonts w:hint="eastAsia" w:ascii="宋体" w:hAnsi="宋体" w:eastAsia="宋体" w:cs="宋体"/>
                <w:b/>
                <w:color w:val="auto"/>
                <w:sz w:val="22"/>
                <w:szCs w:val="22"/>
                <w:highlight w:val="none"/>
                <w:lang w:val="en-US" w:bidi="zh-CN"/>
              </w:rPr>
              <w:t>1.</w:t>
            </w:r>
            <w:r>
              <w:rPr>
                <w:rFonts w:hint="eastAsia" w:ascii="宋体" w:hAnsi="宋体" w:eastAsia="宋体" w:cs="宋体"/>
                <w:b/>
                <w:color w:val="auto"/>
                <w:sz w:val="22"/>
                <w:szCs w:val="22"/>
                <w:highlight w:val="none"/>
                <w:lang w:bidi="zh-CN"/>
              </w:rPr>
              <w:t>本工程的投标报价采用总价方式进行报价。</w:t>
            </w:r>
          </w:p>
          <w:p>
            <w:pPr>
              <w:autoSpaceDE w:val="0"/>
              <w:autoSpaceDN w:val="0"/>
              <w:spacing w:beforeLines="0" w:afterLines="0" w:line="440" w:lineRule="exact"/>
              <w:jc w:val="left"/>
              <w:rPr>
                <w:rFonts w:hint="default" w:ascii="宋体" w:hAnsi="宋体" w:eastAsia="宋体" w:cs="宋体"/>
                <w:b/>
                <w:color w:val="auto"/>
                <w:sz w:val="22"/>
                <w:szCs w:val="22"/>
                <w:highlight w:val="none"/>
                <w:lang w:val="en-US" w:bidi="zh-CN"/>
              </w:rPr>
            </w:pPr>
            <w:r>
              <w:rPr>
                <w:rFonts w:hint="eastAsia" w:ascii="宋体" w:hAnsi="宋体" w:eastAsia="宋体" w:cs="宋体"/>
                <w:b/>
                <w:color w:val="auto"/>
                <w:sz w:val="22"/>
                <w:szCs w:val="22"/>
                <w:highlight w:val="none"/>
                <w:lang w:val="en-US" w:bidi="zh-CN"/>
              </w:rPr>
              <w:t>2.本项目共二轮报价，谈判现场第二轮报价为最后报价。</w:t>
            </w:r>
          </w:p>
          <w:p>
            <w:pPr>
              <w:autoSpaceDE w:val="0"/>
              <w:autoSpaceDN w:val="0"/>
              <w:spacing w:beforeLines="0" w:afterLines="0" w:line="440" w:lineRule="exact"/>
              <w:jc w:val="left"/>
              <w:rPr>
                <w:rFonts w:hint="eastAsia" w:ascii="宋体" w:hAnsi="宋体" w:eastAsia="宋体" w:cs="宋体"/>
                <w:b/>
                <w:color w:val="auto"/>
                <w:sz w:val="22"/>
                <w:szCs w:val="22"/>
                <w:highlight w:val="none"/>
                <w:lang w:val="zh-CN" w:bidi="zh-CN"/>
              </w:rPr>
            </w:pPr>
            <w:r>
              <w:rPr>
                <w:rFonts w:hint="eastAsia" w:ascii="宋体" w:hAnsi="宋体" w:eastAsia="宋体" w:cs="宋体"/>
                <w:b/>
                <w:color w:val="auto"/>
                <w:sz w:val="22"/>
                <w:szCs w:val="22"/>
                <w:highlight w:val="none"/>
                <w:lang w:val="en-US" w:bidi="zh-CN"/>
              </w:rPr>
              <w:t>3.</w:t>
            </w:r>
            <w:r>
              <w:rPr>
                <w:rFonts w:hint="eastAsia" w:ascii="宋体" w:hAnsi="宋体" w:eastAsia="宋体" w:cs="宋体"/>
                <w:b/>
                <w:color w:val="auto"/>
                <w:sz w:val="22"/>
                <w:szCs w:val="22"/>
                <w:highlight w:val="none"/>
                <w:lang w:val="zh-CN" w:bidi="zh-CN"/>
              </w:rPr>
              <w:t xml:space="preserve">报价（含首次报价或最后报价）超出本项目采购预算金额的为无效报价，其响应文件将被认定为无效响应。 </w:t>
            </w:r>
          </w:p>
          <w:p>
            <w:pPr>
              <w:autoSpaceDE w:val="0"/>
              <w:autoSpaceDN w:val="0"/>
              <w:spacing w:beforeLines="0" w:afterLines="0" w:line="440" w:lineRule="exact"/>
              <w:jc w:val="left"/>
              <w:rPr>
                <w:rFonts w:hint="default" w:ascii="宋体" w:hAnsi="宋体" w:eastAsia="宋体" w:cs="宋体"/>
                <w:color w:val="auto"/>
                <w:sz w:val="22"/>
                <w:szCs w:val="22"/>
                <w:highlight w:val="none"/>
                <w:lang w:val="en-US" w:bidi="zh-CN"/>
              </w:rPr>
            </w:pPr>
            <w:r>
              <w:rPr>
                <w:rFonts w:hint="eastAsia" w:ascii="宋体" w:hAnsi="宋体" w:eastAsia="宋体" w:cs="宋体"/>
                <w:b/>
                <w:color w:val="auto"/>
                <w:sz w:val="22"/>
                <w:szCs w:val="22"/>
                <w:highlight w:val="none"/>
                <w:lang w:val="en-US" w:bidi="zh-CN"/>
              </w:rPr>
              <w:t>4.</w:t>
            </w:r>
            <w:r>
              <w:rPr>
                <w:rFonts w:hint="eastAsia" w:ascii="宋体" w:hAnsi="宋体" w:eastAsia="宋体" w:cs="宋体"/>
                <w:b/>
                <w:color w:val="auto"/>
                <w:sz w:val="22"/>
                <w:szCs w:val="22"/>
                <w:highlight w:val="none"/>
                <w:lang w:bidi="zh-CN"/>
              </w:rPr>
              <w:t>供应商最后报价下浮金额，视为总价让利。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4"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07"/>
              <w:widowControl/>
              <w:spacing w:beforeLines="0" w:afterLines="0" w:line="3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247" w:type="pct"/>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spacing w:beforeLines="0" w:afterLines="0" w:line="440" w:lineRule="exact"/>
              <w:jc w:val="left"/>
              <w:rPr>
                <w:rFonts w:hint="eastAsia" w:ascii="宋体" w:hAnsi="宋体" w:eastAsia="宋体" w:cs="宋体"/>
                <w:color w:val="auto"/>
                <w:sz w:val="22"/>
                <w:szCs w:val="22"/>
                <w:highlight w:val="none"/>
                <w:lang w:bidi="zh-CN"/>
              </w:rPr>
            </w:pPr>
          </w:p>
          <w:p>
            <w:pPr>
              <w:autoSpaceDE w:val="0"/>
              <w:autoSpaceDN w:val="0"/>
              <w:spacing w:beforeLines="0" w:afterLines="0" w:line="440" w:lineRule="exact"/>
              <w:ind w:firstLine="440" w:firstLineChars="200"/>
              <w:jc w:val="left"/>
              <w:rPr>
                <w:rFonts w:hint="eastAsia" w:ascii="宋体" w:hAnsi="宋体" w:eastAsia="宋体" w:cs="宋体"/>
                <w:color w:val="auto"/>
                <w:sz w:val="22"/>
                <w:szCs w:val="22"/>
                <w:highlight w:val="none"/>
                <w:lang w:val="zh-CN" w:bidi="zh-CN"/>
              </w:rPr>
            </w:pPr>
            <w:r>
              <w:rPr>
                <w:rFonts w:hint="eastAsia" w:ascii="宋体" w:hAnsi="宋体" w:eastAsia="宋体" w:cs="宋体"/>
                <w:color w:val="auto"/>
                <w:sz w:val="22"/>
                <w:szCs w:val="22"/>
                <w:highlight w:val="none"/>
                <w:lang w:val="en-US" w:bidi="zh-CN"/>
              </w:rPr>
              <w:t>谈判</w:t>
            </w:r>
            <w:r>
              <w:rPr>
                <w:rFonts w:hint="eastAsia" w:ascii="宋体" w:hAnsi="宋体" w:eastAsia="宋体" w:cs="宋体"/>
                <w:color w:val="auto"/>
                <w:sz w:val="22"/>
                <w:szCs w:val="22"/>
                <w:highlight w:val="none"/>
                <w:lang w:bidi="zh-CN"/>
              </w:rPr>
              <w:t>保证金</w:t>
            </w:r>
          </w:p>
        </w:tc>
        <w:tc>
          <w:tcPr>
            <w:tcW w:w="3108"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保证金的金额：</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eastAsia="zh-CN" w:bidi="zh-CN"/>
              </w:rPr>
            </w:pPr>
            <w:r>
              <w:rPr>
                <w:rFonts w:hint="default" w:ascii="宋体" w:hAnsi="宋体" w:eastAsia="宋体" w:cs="宋体"/>
                <w:color w:val="auto"/>
                <w:sz w:val="22"/>
                <w:szCs w:val="22"/>
                <w:highlight w:val="none"/>
                <w:lang w:val="en-US" w:eastAsia="zh-CN" w:bidi="zh-CN"/>
              </w:rPr>
              <w:t>标项：</w:t>
            </w:r>
            <w:r>
              <w:rPr>
                <w:rFonts w:hint="eastAsia" w:ascii="宋体" w:hAnsi="宋体" w:eastAsia="宋体" w:cs="宋体"/>
                <w:color w:val="auto"/>
                <w:sz w:val="22"/>
                <w:szCs w:val="22"/>
                <w:highlight w:val="none"/>
                <w:lang w:val="en-US" w:eastAsia="zh-CN" w:bidi="zh-CN"/>
              </w:rPr>
              <w:t>10000</w:t>
            </w:r>
            <w:r>
              <w:rPr>
                <w:rFonts w:hint="default" w:ascii="宋体" w:hAnsi="宋体" w:eastAsia="宋体" w:cs="宋体"/>
                <w:color w:val="auto"/>
                <w:sz w:val="22"/>
                <w:szCs w:val="22"/>
                <w:highlight w:val="none"/>
                <w:lang w:val="en-US" w:bidi="zh-CN"/>
              </w:rPr>
              <w:t>元整（大写：</w:t>
            </w:r>
            <w:r>
              <w:rPr>
                <w:rFonts w:hint="eastAsia" w:ascii="宋体" w:hAnsi="宋体" w:eastAsia="宋体" w:cs="宋体"/>
                <w:color w:val="auto"/>
                <w:sz w:val="22"/>
                <w:szCs w:val="22"/>
                <w:highlight w:val="none"/>
                <w:lang w:val="en-US" w:eastAsia="zh-CN" w:bidi="zh-CN"/>
              </w:rPr>
              <w:t>伍</w:t>
            </w:r>
            <w:r>
              <w:rPr>
                <w:rFonts w:hint="default" w:ascii="宋体" w:hAnsi="宋体" w:eastAsia="宋体" w:cs="宋体"/>
                <w:color w:val="auto"/>
                <w:sz w:val="22"/>
                <w:szCs w:val="22"/>
                <w:highlight w:val="none"/>
                <w:lang w:val="en-US" w:eastAsia="zh-CN" w:bidi="zh-CN"/>
              </w:rPr>
              <w:t>万元整</w:t>
            </w:r>
            <w:r>
              <w:rPr>
                <w:rFonts w:hint="default" w:ascii="宋体" w:hAnsi="宋体" w:eastAsia="宋体" w:cs="宋体"/>
                <w:color w:val="auto"/>
                <w:sz w:val="22"/>
                <w:szCs w:val="22"/>
                <w:highlight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eastAsia="zh-CN" w:bidi="zh-CN"/>
              </w:rPr>
            </w:pPr>
            <w:r>
              <w:rPr>
                <w:rFonts w:hint="default" w:ascii="宋体" w:hAnsi="宋体" w:eastAsia="宋体" w:cs="宋体"/>
                <w:color w:val="auto"/>
                <w:sz w:val="22"/>
                <w:szCs w:val="22"/>
                <w:highlight w:val="none"/>
                <w:lang w:val="en-US" w:eastAsia="zh-CN" w:bidi="zh-CN"/>
              </w:rPr>
              <w:t>保证金递交截止时间：</w:t>
            </w:r>
            <w:r>
              <w:rPr>
                <w:rFonts w:hint="eastAsia" w:ascii="宋体" w:hAnsi="宋体" w:eastAsia="宋体" w:cs="宋体"/>
                <w:color w:val="auto"/>
                <w:sz w:val="22"/>
                <w:szCs w:val="22"/>
                <w:highlight w:val="none"/>
                <w:lang w:val="zh-CN" w:eastAsia="zh-CN"/>
              </w:rPr>
              <w:t>202</w:t>
            </w:r>
            <w:r>
              <w:rPr>
                <w:rFonts w:hint="eastAsia" w:ascii="宋体" w:hAnsi="宋体" w:eastAsia="宋体" w:cs="宋体"/>
                <w:color w:val="auto"/>
                <w:sz w:val="22"/>
                <w:szCs w:val="22"/>
                <w:highlight w:val="none"/>
                <w:lang w:val="en-US" w:eastAsia="zh-CN"/>
              </w:rPr>
              <w:t>5年</w:t>
            </w:r>
            <w:r>
              <w:rPr>
                <w:rFonts w:hint="eastAsia" w:ascii="宋体" w:hAnsi="宋体" w:eastAsia="宋体" w:cs="宋体"/>
                <w:color w:val="auto"/>
                <w:sz w:val="22"/>
                <w:szCs w:val="22"/>
                <w:highlight w:val="green"/>
                <w:lang w:val="en-US" w:eastAsia="zh-CN"/>
              </w:rPr>
              <w:t>7</w:t>
            </w:r>
            <w:r>
              <w:rPr>
                <w:rFonts w:hint="eastAsia" w:ascii="宋体" w:hAnsi="宋体" w:eastAsia="宋体" w:cs="宋体"/>
                <w:color w:val="auto"/>
                <w:sz w:val="22"/>
                <w:szCs w:val="22"/>
                <w:highlight w:val="green"/>
                <w:lang w:val="zh-CN" w:eastAsia="zh-CN"/>
              </w:rPr>
              <w:t>月</w:t>
            </w:r>
            <w:r>
              <w:rPr>
                <w:rFonts w:hint="eastAsia" w:ascii="宋体" w:hAnsi="宋体" w:eastAsia="宋体" w:cs="宋体"/>
                <w:color w:val="auto"/>
                <w:sz w:val="22"/>
                <w:szCs w:val="22"/>
                <w:highlight w:val="green"/>
                <w:lang w:val="en-US" w:eastAsia="zh-CN"/>
              </w:rPr>
              <w:t>1</w:t>
            </w:r>
            <w:r>
              <w:rPr>
                <w:rFonts w:hint="eastAsia" w:ascii="宋体" w:hAnsi="宋体" w:eastAsia="宋体" w:cs="宋体"/>
                <w:color w:val="auto"/>
                <w:sz w:val="22"/>
                <w:szCs w:val="22"/>
                <w:highlight w:val="green"/>
                <w:lang w:val="zh-CN" w:eastAsia="zh-CN"/>
              </w:rPr>
              <w:t>日</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eastAsia="zh-CN"/>
              </w:rPr>
              <w:t>0（</w:t>
            </w:r>
            <w:r>
              <w:rPr>
                <w:rFonts w:hint="eastAsia" w:ascii="宋体" w:hAnsi="宋体" w:eastAsia="宋体" w:cs="宋体"/>
                <w:color w:val="auto"/>
                <w:sz w:val="22"/>
                <w:szCs w:val="22"/>
                <w:highlight w:val="none"/>
                <w:lang w:val="en-US" w:eastAsia="zh-CN"/>
              </w:rPr>
              <w:t>北京时间</w:t>
            </w:r>
            <w:r>
              <w:rPr>
                <w:rFonts w:hint="eastAsia" w:ascii="宋体" w:hAnsi="宋体" w:eastAsia="宋体" w:cs="宋体"/>
                <w:color w:val="auto"/>
                <w:sz w:val="22"/>
                <w:szCs w:val="22"/>
                <w:highlight w:val="none"/>
                <w:lang w:val="zh-CN" w:eastAsia="zh-CN"/>
              </w:rPr>
              <w:t>）</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递交方式：电汇、转账，保函（银行、保险、担保公司）</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eastAsia="zh-CN" w:bidi="zh-CN"/>
              </w:rPr>
            </w:pPr>
            <w:r>
              <w:rPr>
                <w:rFonts w:hint="default" w:ascii="宋体" w:hAnsi="宋体" w:eastAsia="宋体" w:cs="宋体"/>
                <w:color w:val="auto"/>
                <w:sz w:val="22"/>
                <w:szCs w:val="22"/>
                <w:highlight w:val="none"/>
                <w:lang w:val="en-US" w:bidi="zh-CN"/>
              </w:rPr>
              <w:t>由供应商对公账户转入如下账户</w:t>
            </w:r>
            <w:r>
              <w:rPr>
                <w:rFonts w:hint="default" w:ascii="宋体" w:hAnsi="宋体" w:eastAsia="宋体" w:cs="宋体"/>
                <w:color w:val="auto"/>
                <w:sz w:val="22"/>
                <w:szCs w:val="2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eastAsia="zh-CN" w:bidi="zh-CN"/>
              </w:rPr>
            </w:pPr>
            <w:r>
              <w:rPr>
                <w:rFonts w:hint="default" w:ascii="宋体" w:hAnsi="宋体" w:eastAsia="宋体" w:cs="宋体"/>
                <w:color w:val="auto"/>
                <w:sz w:val="22"/>
                <w:szCs w:val="22"/>
                <w:highlight w:val="none"/>
                <w:lang w:val="en-US" w:bidi="zh-CN"/>
              </w:rPr>
              <w:t>开户名称：</w:t>
            </w:r>
            <w:r>
              <w:rPr>
                <w:rFonts w:hint="default" w:ascii="宋体" w:hAnsi="宋体" w:eastAsia="宋体" w:cs="宋体"/>
                <w:color w:val="auto"/>
                <w:sz w:val="22"/>
                <w:szCs w:val="22"/>
                <w:highlight w:val="none"/>
                <w:lang w:val="en-US" w:eastAsia="zh-CN" w:bidi="zh-CN"/>
              </w:rPr>
              <w:t>吐鲁番市行政服务中心（市公共资源交易中心）</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开户银行：中国工商银行股份有限公司吐鲁番地区分行</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green"/>
                <w:lang w:val="en-US" w:eastAsia="zh-CN" w:bidi="zh-CN"/>
              </w:rPr>
            </w:pPr>
            <w:r>
              <w:rPr>
                <w:rFonts w:hint="default" w:ascii="宋体" w:hAnsi="宋体" w:eastAsia="宋体" w:cs="宋体"/>
                <w:color w:val="auto"/>
                <w:sz w:val="22"/>
                <w:szCs w:val="22"/>
                <w:highlight w:val="green"/>
                <w:lang w:val="en-US" w:bidi="zh-CN"/>
              </w:rPr>
              <w:t>账  号：</w:t>
            </w:r>
            <w:r>
              <w:rPr>
                <w:rFonts w:hint="default" w:ascii="宋体" w:hAnsi="宋体" w:eastAsia="宋体" w:cs="宋体"/>
                <w:color w:val="auto"/>
                <w:sz w:val="22"/>
                <w:szCs w:val="22"/>
                <w:highlight w:val="green"/>
                <w:lang w:val="en-US" w:eastAsia="zh-CN" w:bidi="zh-CN"/>
              </w:rPr>
              <w:t>95588</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行</w:t>
            </w:r>
            <w:r>
              <w:rPr>
                <w:rFonts w:hint="default" w:ascii="宋体" w:hAnsi="宋体" w:eastAsia="宋体" w:cs="宋体"/>
                <w:color w:val="auto"/>
                <w:sz w:val="22"/>
                <w:szCs w:val="22"/>
                <w:highlight w:val="none"/>
                <w:lang w:val="en-US" w:eastAsia="zh-CN" w:bidi="zh-CN"/>
              </w:rPr>
              <w:t xml:space="preserve">  </w:t>
            </w:r>
            <w:r>
              <w:rPr>
                <w:rFonts w:hint="default" w:ascii="宋体" w:hAnsi="宋体" w:eastAsia="宋体" w:cs="宋体"/>
                <w:color w:val="auto"/>
                <w:sz w:val="22"/>
                <w:szCs w:val="22"/>
                <w:highlight w:val="none"/>
                <w:lang w:val="en-US" w:bidi="zh-CN"/>
              </w:rPr>
              <w:t xml:space="preserve">号：102883000022  </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1、</w:t>
            </w:r>
            <w:r>
              <w:rPr>
                <w:rFonts w:hint="default" w:ascii="宋体" w:hAnsi="宋体" w:eastAsia="宋体" w:cs="宋体"/>
                <w:color w:val="auto"/>
                <w:sz w:val="22"/>
                <w:szCs w:val="22"/>
                <w:highlight w:val="none"/>
                <w:lang w:val="en-US" w:eastAsia="zh-CN" w:bidi="zh-CN"/>
              </w:rPr>
              <w:t>投标人必须在缴款凭证备注栏写明“项目名称-投标保证金”以便查询。</w:t>
            </w:r>
            <w:r>
              <w:rPr>
                <w:rFonts w:hint="default" w:ascii="宋体" w:hAnsi="宋体" w:eastAsia="宋体" w:cs="宋体"/>
                <w:color w:val="auto"/>
                <w:sz w:val="22"/>
                <w:szCs w:val="22"/>
                <w:highlight w:val="none"/>
                <w:lang w:val="en-US" w:bidi="zh-CN"/>
              </w:rPr>
              <w:t>以电汇或网银转账式缴纳保证金的</w:t>
            </w:r>
            <w:r>
              <w:rPr>
                <w:rFonts w:hint="default" w:ascii="宋体" w:hAnsi="宋体" w:eastAsia="宋体" w:cs="宋体"/>
                <w:color w:val="auto"/>
                <w:sz w:val="22"/>
                <w:szCs w:val="22"/>
                <w:highlight w:val="none"/>
                <w:lang w:val="en-US" w:eastAsia="zh-CN" w:bidi="zh-CN"/>
              </w:rPr>
              <w:t>供应商</w:t>
            </w:r>
            <w:r>
              <w:rPr>
                <w:rFonts w:hint="default" w:ascii="宋体" w:hAnsi="宋体" w:eastAsia="宋体" w:cs="宋体"/>
                <w:color w:val="auto"/>
                <w:sz w:val="22"/>
                <w:szCs w:val="22"/>
                <w:highlight w:val="none"/>
                <w:lang w:val="en-US" w:bidi="zh-CN"/>
              </w:rPr>
              <w:t>在</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截止时间前（因考虑异地、跨行、公休日等因素造成的保证金到账延迟风险）必须交纳</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保证金，以确保保证金在</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截止时间前到账。未按此时限要求办理保证金交纳事宜，致使</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保证金未能在</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截止时间前到账，不能正常获取保证金收据的责任由</w:t>
            </w:r>
            <w:r>
              <w:rPr>
                <w:rFonts w:hint="default" w:ascii="宋体" w:hAnsi="宋体" w:eastAsia="宋体" w:cs="宋体"/>
                <w:color w:val="auto"/>
                <w:sz w:val="22"/>
                <w:szCs w:val="22"/>
                <w:highlight w:val="none"/>
                <w:lang w:val="en-US" w:eastAsia="zh-CN" w:bidi="zh-CN"/>
              </w:rPr>
              <w:t>供应商</w:t>
            </w:r>
            <w:r>
              <w:rPr>
                <w:rFonts w:hint="default" w:ascii="宋体" w:hAnsi="宋体" w:eastAsia="宋体" w:cs="宋体"/>
                <w:color w:val="auto"/>
                <w:sz w:val="22"/>
                <w:szCs w:val="22"/>
                <w:highlight w:val="none"/>
                <w:lang w:val="en-US" w:bidi="zh-CN"/>
              </w:rPr>
              <w:t>自负。</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eastAsia="zh-CN" w:bidi="zh-CN"/>
              </w:rPr>
              <w:t>2、供应商</w:t>
            </w:r>
            <w:r>
              <w:rPr>
                <w:rFonts w:hint="default" w:ascii="宋体" w:hAnsi="宋体" w:eastAsia="宋体" w:cs="宋体"/>
                <w:color w:val="auto"/>
                <w:sz w:val="22"/>
                <w:szCs w:val="22"/>
                <w:highlight w:val="none"/>
                <w:lang w:val="en-US" w:bidi="zh-CN"/>
              </w:rPr>
              <w:t>未</w:t>
            </w:r>
            <w:r>
              <w:rPr>
                <w:rFonts w:hint="default" w:ascii="宋体" w:hAnsi="宋体" w:eastAsia="宋体" w:cs="宋体"/>
                <w:color w:val="auto"/>
                <w:sz w:val="22"/>
                <w:szCs w:val="22"/>
                <w:highlight w:val="none"/>
                <w:lang w:val="en-US" w:eastAsia="zh-CN" w:bidi="zh-CN"/>
              </w:rPr>
              <w:t>缴纳谈判</w:t>
            </w:r>
            <w:r>
              <w:rPr>
                <w:rFonts w:hint="default" w:ascii="宋体" w:hAnsi="宋体" w:eastAsia="宋体" w:cs="宋体"/>
                <w:color w:val="auto"/>
                <w:sz w:val="22"/>
                <w:szCs w:val="22"/>
                <w:highlight w:val="none"/>
                <w:lang w:val="en-US" w:bidi="zh-CN"/>
              </w:rPr>
              <w:t>保证金的，将被</w:t>
            </w:r>
            <w:r>
              <w:rPr>
                <w:rFonts w:hint="default" w:ascii="宋体" w:hAnsi="宋体" w:eastAsia="宋体" w:cs="宋体"/>
                <w:color w:val="auto"/>
                <w:sz w:val="22"/>
                <w:szCs w:val="22"/>
                <w:highlight w:val="none"/>
                <w:lang w:val="en-US" w:eastAsia="zh-CN" w:bidi="zh-CN"/>
              </w:rPr>
              <w:t>定为无效投标</w:t>
            </w:r>
            <w:r>
              <w:rPr>
                <w:rFonts w:hint="default" w:ascii="宋体" w:hAnsi="宋体" w:eastAsia="宋体" w:cs="宋体"/>
                <w:color w:val="auto"/>
                <w:sz w:val="22"/>
                <w:szCs w:val="22"/>
                <w:highlight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eastAsia="zh-CN" w:bidi="zh-CN"/>
              </w:rPr>
              <w:t>3、谈判</w:t>
            </w:r>
            <w:r>
              <w:rPr>
                <w:rFonts w:hint="default" w:ascii="宋体" w:hAnsi="宋体" w:eastAsia="宋体" w:cs="宋体"/>
                <w:color w:val="auto"/>
                <w:sz w:val="22"/>
                <w:szCs w:val="22"/>
                <w:highlight w:val="none"/>
                <w:lang w:val="en-US" w:bidi="zh-CN"/>
              </w:rPr>
              <w:t>保证金</w:t>
            </w:r>
            <w:r>
              <w:rPr>
                <w:rFonts w:hint="default" w:ascii="宋体" w:hAnsi="宋体" w:eastAsia="宋体" w:cs="宋体"/>
                <w:color w:val="auto"/>
                <w:sz w:val="22"/>
                <w:szCs w:val="22"/>
                <w:highlight w:val="none"/>
                <w:lang w:val="en-US" w:eastAsia="zh-CN" w:bidi="zh-CN"/>
              </w:rPr>
              <w:t>缴纳</w:t>
            </w:r>
            <w:r>
              <w:rPr>
                <w:rFonts w:hint="default" w:ascii="宋体" w:hAnsi="宋体" w:eastAsia="宋体" w:cs="宋体"/>
                <w:color w:val="auto"/>
                <w:sz w:val="22"/>
                <w:szCs w:val="22"/>
                <w:highlight w:val="none"/>
                <w:lang w:val="en-US" w:bidi="zh-CN"/>
              </w:rPr>
              <w:t>及确认方式：</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保证金提交方式为银行电汇或银行转账方式交纳，并从</w:t>
            </w:r>
            <w:r>
              <w:rPr>
                <w:rFonts w:hint="default" w:ascii="宋体" w:hAnsi="宋体" w:eastAsia="宋体" w:cs="宋体"/>
                <w:color w:val="auto"/>
                <w:sz w:val="22"/>
                <w:szCs w:val="22"/>
                <w:highlight w:val="none"/>
                <w:lang w:val="en-US" w:eastAsia="zh-CN" w:bidi="zh-CN"/>
              </w:rPr>
              <w:t>供应商</w:t>
            </w:r>
            <w:r>
              <w:rPr>
                <w:rFonts w:hint="default" w:ascii="宋体" w:hAnsi="宋体" w:eastAsia="宋体" w:cs="宋体"/>
                <w:color w:val="auto"/>
                <w:sz w:val="22"/>
                <w:szCs w:val="22"/>
                <w:highlight w:val="none"/>
                <w:lang w:val="en-US" w:bidi="zh-CN"/>
              </w:rPr>
              <w:t>的基本账户转出，并在汇款单或现金交款单上注明</w:t>
            </w:r>
            <w:r>
              <w:rPr>
                <w:rFonts w:hint="default" w:ascii="宋体" w:hAnsi="宋体" w:eastAsia="宋体" w:cs="宋体"/>
                <w:color w:val="auto"/>
                <w:sz w:val="22"/>
                <w:szCs w:val="22"/>
                <w:highlight w:val="none"/>
                <w:lang w:val="en-US" w:eastAsia="zh-CN" w:bidi="zh-CN"/>
              </w:rPr>
              <w:t>谈判</w:t>
            </w:r>
            <w:r>
              <w:rPr>
                <w:rFonts w:hint="default" w:ascii="宋体" w:hAnsi="宋体" w:eastAsia="宋体" w:cs="宋体"/>
                <w:color w:val="auto"/>
                <w:sz w:val="22"/>
                <w:szCs w:val="22"/>
                <w:highlight w:val="none"/>
                <w:lang w:val="en-US" w:bidi="zh-CN"/>
              </w:rPr>
              <w:t>项目名称。</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eastAsia="zh-CN" w:bidi="zh-CN"/>
              </w:rPr>
              <w:t>4、</w:t>
            </w:r>
            <w:r>
              <w:rPr>
                <w:rFonts w:hint="default" w:ascii="宋体" w:hAnsi="宋体" w:eastAsia="宋体" w:cs="宋体"/>
                <w:color w:val="auto"/>
                <w:sz w:val="22"/>
                <w:szCs w:val="22"/>
                <w:highlight w:val="none"/>
                <w:lang w:val="en-US" w:bidi="zh-CN"/>
              </w:rPr>
              <w:t>谈判保证金还可以采用电子保函形式按以下要求办理：</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（1）电子保函按照“一标项一保函”的原则。</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（2）电子保函须在谈判截止时间前办理完成。</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（3）保函的有效期不得少于本项目谈判有效期。</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（4）供应商以电子保函形式缴纳谈判保证金的，</w:t>
            </w:r>
            <w:r>
              <w:rPr>
                <w:rFonts w:hint="eastAsia" w:ascii="宋体" w:hAnsi="宋体" w:eastAsia="宋体" w:cs="宋体"/>
                <w:color w:val="auto"/>
                <w:sz w:val="22"/>
                <w:szCs w:val="22"/>
                <w:highlight w:val="none"/>
                <w:lang w:val="en-US" w:bidi="zh-CN"/>
              </w:rPr>
              <w:t>可</w:t>
            </w:r>
            <w:r>
              <w:rPr>
                <w:rFonts w:hint="default" w:ascii="宋体" w:hAnsi="宋体" w:eastAsia="宋体" w:cs="宋体"/>
                <w:color w:val="auto"/>
                <w:sz w:val="22"/>
                <w:szCs w:val="22"/>
                <w:highlight w:val="none"/>
                <w:lang w:val="en-US" w:bidi="zh-CN"/>
              </w:rPr>
              <w:t>通过“新疆政府采购网电子保函”的模块申请购买</w:t>
            </w:r>
            <w:r>
              <w:rPr>
                <w:rFonts w:hint="eastAsia" w:ascii="宋体" w:hAnsi="宋体" w:eastAsia="宋体" w:cs="宋体"/>
                <w:color w:val="auto"/>
                <w:sz w:val="22"/>
                <w:szCs w:val="22"/>
                <w:highlight w:val="none"/>
                <w:lang w:val="en-US" w:bidi="zh-CN"/>
              </w:rPr>
              <w:t>，也可通过其他渠道购买。</w:t>
            </w:r>
          </w:p>
          <w:p>
            <w:pPr>
              <w:keepNext w:val="0"/>
              <w:keepLines w:val="0"/>
              <w:pageBreakBefore w:val="0"/>
              <w:widowControl w:val="0"/>
              <w:kinsoku/>
              <w:wordWrap/>
              <w:overflowPunct/>
              <w:topLinePunct w:val="0"/>
              <w:autoSpaceDE w:val="0"/>
              <w:autoSpaceDN w:val="0"/>
              <w:bidi w:val="0"/>
              <w:adjustRightInd/>
              <w:snapToGrid/>
              <w:spacing w:beforeLines="0" w:afterLines="0" w:line="420" w:lineRule="exact"/>
              <w:jc w:val="left"/>
              <w:textAlignment w:val="auto"/>
              <w:rPr>
                <w:rFonts w:hint="default" w:ascii="宋体" w:hAnsi="宋体" w:eastAsia="宋体" w:cs="宋体"/>
                <w:color w:val="auto"/>
                <w:sz w:val="22"/>
                <w:szCs w:val="22"/>
                <w:highlight w:val="none"/>
                <w:lang w:val="en-US" w:bidi="zh-CN"/>
              </w:rPr>
            </w:pPr>
            <w:r>
              <w:rPr>
                <w:rFonts w:hint="default" w:ascii="宋体" w:hAnsi="宋体" w:eastAsia="宋体" w:cs="宋体"/>
                <w:color w:val="auto"/>
                <w:sz w:val="22"/>
                <w:szCs w:val="22"/>
                <w:highlight w:val="none"/>
                <w:lang w:val="en-US" w:bidi="zh-CN"/>
              </w:rPr>
              <w:t>电子担保凭证需作为电子响应文件组成部分在递交响应文件时一并提交。（备注：如</w:t>
            </w:r>
            <w:r>
              <w:rPr>
                <w:rFonts w:hint="eastAsia" w:ascii="宋体" w:hAnsi="宋体" w:eastAsia="宋体" w:cs="宋体"/>
                <w:color w:val="auto"/>
                <w:sz w:val="22"/>
                <w:szCs w:val="22"/>
                <w:highlight w:val="none"/>
                <w:lang w:val="en-US" w:bidi="zh-CN"/>
              </w:rPr>
              <w:t>通过</w:t>
            </w:r>
            <w:r>
              <w:rPr>
                <w:rFonts w:hint="default" w:ascii="宋体" w:hAnsi="宋体" w:eastAsia="宋体" w:cs="宋体"/>
                <w:color w:val="auto"/>
                <w:sz w:val="22"/>
                <w:szCs w:val="22"/>
                <w:highlight w:val="none"/>
                <w:lang w:val="en-US" w:bidi="zh-CN"/>
              </w:rPr>
              <w:t>“新疆政府采购网电子保函”的模块购买</w:t>
            </w:r>
            <w:r>
              <w:rPr>
                <w:rFonts w:hint="eastAsia" w:ascii="宋体" w:hAnsi="宋体" w:eastAsia="宋体" w:cs="宋体"/>
                <w:color w:val="auto"/>
                <w:sz w:val="22"/>
                <w:szCs w:val="22"/>
                <w:highlight w:val="none"/>
                <w:lang w:val="en-US" w:bidi="zh-CN"/>
              </w:rPr>
              <w:t>的，</w:t>
            </w:r>
            <w:r>
              <w:rPr>
                <w:rFonts w:hint="default" w:ascii="宋体" w:hAnsi="宋体" w:eastAsia="宋体" w:cs="宋体"/>
                <w:color w:val="auto"/>
                <w:sz w:val="22"/>
                <w:szCs w:val="22"/>
                <w:highlight w:val="none"/>
                <w:lang w:val="en-US" w:bidi="zh-CN"/>
              </w:rPr>
              <w:t>可在谈判截止之日前通过“供应商工作台金融服务”中在线查看电子保函是否生效。若有任何问题，可以联系政采云金融服务专属客服。</w:t>
            </w:r>
          </w:p>
        </w:tc>
      </w:tr>
    </w:tbl>
    <w:p>
      <w:pPr>
        <w:pStyle w:val="7"/>
        <w:spacing w:line="240" w:lineRule="auto"/>
        <w:jc w:val="both"/>
        <w:rPr>
          <w:rFonts w:hint="eastAsia" w:ascii="宋体" w:hAnsi="宋体" w:eastAsia="宋体" w:cs="宋体"/>
          <w:b/>
          <w:bCs/>
          <w:color w:val="auto"/>
          <w:kern w:val="0"/>
          <w:sz w:val="32"/>
          <w:szCs w:val="32"/>
          <w:highlight w:val="none"/>
          <w:lang w:val="en-US" w:eastAsia="zh-CN" w:bidi="ar-SA"/>
        </w:rPr>
      </w:pPr>
      <w:bookmarkStart w:id="29" w:name="_Toc44690598"/>
      <w:bookmarkStart w:id="30" w:name="_Toc13302"/>
    </w:p>
    <w:p>
      <w:pPr>
        <w:pStyle w:val="7"/>
        <w:spacing w:line="240" w:lineRule="auto"/>
        <w:jc w:val="center"/>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第三部分  谈判供应商须知</w:t>
      </w:r>
      <w:bookmarkEnd w:id="29"/>
      <w:bookmarkEnd w:id="30"/>
    </w:p>
    <w:p>
      <w:pPr>
        <w:pStyle w:val="8"/>
        <w:spacing w:line="460" w:lineRule="exact"/>
        <w:rPr>
          <w:rFonts w:hint="eastAsia" w:ascii="宋体" w:hAnsi="宋体" w:eastAsia="宋体" w:cs="宋体"/>
          <w:b w:val="0"/>
          <w:color w:val="auto"/>
          <w:sz w:val="22"/>
          <w:szCs w:val="22"/>
          <w:highlight w:val="none"/>
        </w:rPr>
      </w:pPr>
      <w:bookmarkStart w:id="31" w:name="_Toc26867750"/>
      <w:bookmarkStart w:id="32" w:name="_Toc43363070"/>
      <w:bookmarkStart w:id="33" w:name="_Toc44690673"/>
      <w:bookmarkStart w:id="34" w:name="_Toc44690599"/>
      <w:bookmarkStart w:id="35" w:name="_Toc27852"/>
      <w:bookmarkStart w:id="36" w:name="_Toc51232706"/>
      <w:r>
        <w:rPr>
          <w:rFonts w:hint="eastAsia" w:ascii="宋体" w:hAnsi="宋体" w:eastAsia="宋体" w:cs="宋体"/>
          <w:color w:val="auto"/>
          <w:sz w:val="22"/>
          <w:szCs w:val="22"/>
          <w:highlight w:val="none"/>
        </w:rPr>
        <w:t>一、总则</w:t>
      </w:r>
      <w:bookmarkEnd w:id="31"/>
      <w:bookmarkEnd w:id="32"/>
      <w:bookmarkEnd w:id="33"/>
      <w:bookmarkEnd w:id="34"/>
      <w:bookmarkEnd w:id="35"/>
      <w:bookmarkEnd w:id="36"/>
    </w:p>
    <w:p>
      <w:pPr>
        <w:pStyle w:val="76"/>
        <w:snapToGrid w:val="0"/>
        <w:spacing w:line="460" w:lineRule="exact"/>
        <w:ind w:firstLine="522" w:firstLineChars="200"/>
        <w:textAlignment w:val="auto"/>
        <w:rPr>
          <w:rFonts w:hint="eastAsia" w:ascii="仿宋_GB2312" w:hAnsi="仿宋_GB2312" w:eastAsia="仿宋_GB2312" w:cs="仿宋_GB2312"/>
          <w:b/>
          <w:color w:val="auto"/>
          <w:spacing w:val="10"/>
          <w:sz w:val="24"/>
          <w:szCs w:val="24"/>
          <w:highlight w:val="none"/>
        </w:rPr>
      </w:pPr>
      <w:r>
        <w:rPr>
          <w:rFonts w:hint="eastAsia" w:ascii="仿宋_GB2312" w:hAnsi="仿宋_GB2312" w:eastAsia="仿宋_GB2312" w:cs="仿宋_GB2312"/>
          <w:b/>
          <w:color w:val="auto"/>
          <w:spacing w:val="10"/>
          <w:sz w:val="24"/>
          <w:szCs w:val="24"/>
          <w:highlight w:val="none"/>
        </w:rPr>
        <w:t>1. 适用范围</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本谈判文件仅适用于本次竞争性谈判活动。</w:t>
      </w:r>
    </w:p>
    <w:p>
      <w:pPr>
        <w:pStyle w:val="76"/>
        <w:snapToGrid w:val="0"/>
        <w:spacing w:line="460" w:lineRule="exact"/>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 定义</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“采购人”指本次竞争性谈判活动的采购单位。</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w:t>
      </w:r>
      <w:r>
        <w:rPr>
          <w:rFonts w:hint="eastAsia" w:ascii="仿宋_GB2312" w:hAnsi="仿宋_GB2312" w:eastAsia="仿宋_GB2312" w:cs="仿宋_GB2312"/>
          <w:color w:val="auto"/>
          <w:sz w:val="24"/>
          <w:szCs w:val="24"/>
          <w:highlight w:val="none"/>
          <w:lang w:val="en-US" w:eastAsia="zh-CN"/>
        </w:rPr>
        <w:t>采购代理</w:t>
      </w:r>
      <w:r>
        <w:rPr>
          <w:rFonts w:hint="eastAsia" w:ascii="仿宋_GB2312" w:hAnsi="仿宋_GB2312" w:eastAsia="仿宋_GB2312" w:cs="仿宋_GB2312"/>
          <w:color w:val="auto"/>
          <w:sz w:val="24"/>
          <w:szCs w:val="24"/>
          <w:highlight w:val="none"/>
        </w:rPr>
        <w:t>机构”指组织本次竞争性谈判活动的执行机构，即“</w:t>
      </w:r>
      <w:r>
        <w:rPr>
          <w:rFonts w:hint="eastAsia" w:ascii="仿宋_GB2312" w:hAnsi="仿宋_GB2312" w:eastAsia="仿宋_GB2312" w:cs="仿宋_GB2312"/>
          <w:color w:val="auto"/>
          <w:sz w:val="24"/>
          <w:szCs w:val="24"/>
          <w:highlight w:val="none"/>
          <w:lang w:val="en-US" w:eastAsia="zh-CN" w:bidi="zh-CN"/>
        </w:rPr>
        <w:t>吐鲁番市行政服务中心（市公共资源交易中心）</w:t>
      </w:r>
      <w:r>
        <w:rPr>
          <w:rFonts w:hint="eastAsia" w:ascii="仿宋_GB2312" w:hAnsi="仿宋_GB2312" w:eastAsia="仿宋_GB2312" w:cs="仿宋_GB2312"/>
          <w:color w:val="auto"/>
          <w:sz w:val="24"/>
          <w:szCs w:val="24"/>
          <w:highlight w:val="none"/>
        </w:rPr>
        <w:t>”。</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“谈判供应商”指符合本谈判文件的规定和要求，受邀请获得谈判文件参加谈判，并向</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提交响应文件、最后报价的供应商。</w:t>
      </w:r>
    </w:p>
    <w:p>
      <w:pPr>
        <w:overflowPunct w:val="0"/>
        <w:topLinePunct/>
        <w:autoSpaceDN w:val="0"/>
        <w:adjustRightInd w:val="0"/>
        <w:snapToGrid w:val="0"/>
        <w:spacing w:line="460" w:lineRule="exact"/>
        <w:ind w:firstLine="477" w:firstLineChars="19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“工程量清单”指采购人依据国家谈判文件、设计文件以及施工现场实际情况编制的，随谈判文件发布的谈判供应商报价的工程量清单，包括其说明和表格。</w:t>
      </w:r>
    </w:p>
    <w:p>
      <w:pPr>
        <w:overflowPunct w:val="0"/>
        <w:topLinePunct/>
        <w:autoSpaceDN w:val="0"/>
        <w:adjustRightInd w:val="0"/>
        <w:snapToGrid w:val="0"/>
        <w:spacing w:line="460" w:lineRule="exact"/>
        <w:ind w:firstLine="477" w:firstLineChars="19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“已标价工程量清单”指响应文件中已标明价格，经算术性错误修正（如有）且谈判供应商已确认的工程量清单，包括其说明和表格。</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 xml:space="preserve"> 本谈判文件各部分规定的期间以时、日、月、年计算。期间开始的时和日，不计算在期间内。</w:t>
      </w:r>
    </w:p>
    <w:p>
      <w:pPr>
        <w:pStyle w:val="76"/>
        <w:snapToGrid w:val="0"/>
        <w:spacing w:line="460" w:lineRule="exact"/>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 合格的谈判供应商</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3.1 具有本项目实施、服务的能力，符合并承诺履行本谈判文件各项规定的谈判供应商均可参加谈判。</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3.2 谈判供应商必须是已在中国境内依法登记注册的供应商。</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3.3 谈判供应商应遵守有关的国家法律、法规和条例，具备相关法律法规和本谈判文件中规定的条件：</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（1）具有独立承担民事责任的能力；</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（2）具有良好的商业信誉和健全的财务会计制度；</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（3）具有履行合同所必需的设备和专业技术能力以及人员；</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（4）具有依法缴纳税收和社会保障资金的良好记录；</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（5）参加此项政府采购活动前三年内，在经营活动中没有重大违法记录；</w:t>
      </w:r>
    </w:p>
    <w:p>
      <w:pPr>
        <w:overflowPunct w:val="0"/>
        <w:topLinePunct/>
        <w:autoSpaceDN w:val="0"/>
        <w:adjustRightInd w:val="0"/>
        <w:snapToGrid w:val="0"/>
        <w:spacing w:line="460" w:lineRule="exact"/>
        <w:ind w:firstLine="482" w:firstLineChars="200"/>
        <w:rPr>
          <w:rFonts w:hint="eastAsia" w:ascii="仿宋_GB2312" w:hAnsi="仿宋_GB2312" w:eastAsia="仿宋_GB2312" w:cs="仿宋_GB2312"/>
          <w:b/>
          <w:bCs/>
          <w:snapToGrid w:val="0"/>
          <w:color w:val="auto"/>
          <w:kern w:val="0"/>
          <w:sz w:val="24"/>
          <w:szCs w:val="24"/>
          <w:highlight w:val="none"/>
          <w:lang w:eastAsia="zh-CN"/>
        </w:rPr>
      </w:pPr>
      <w:r>
        <w:rPr>
          <w:rFonts w:hint="eastAsia" w:ascii="仿宋_GB2312" w:hAnsi="仿宋_GB2312" w:eastAsia="仿宋_GB2312" w:cs="仿宋_GB2312"/>
          <w:b/>
          <w:bCs/>
          <w:snapToGrid w:val="0"/>
          <w:color w:val="auto"/>
          <w:kern w:val="0"/>
          <w:sz w:val="24"/>
          <w:szCs w:val="24"/>
          <w:highlight w:val="none"/>
        </w:rPr>
        <w:t>（6）（本项目须提供的特定资质）</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1</w:t>
      </w:r>
      <w:r>
        <w:rPr>
          <w:rFonts w:hint="eastAsia" w:ascii="仿宋_GB2312" w:hAnsi="仿宋_GB2312" w:eastAsia="仿宋_GB2312" w:cs="仿宋_GB2312"/>
          <w:b/>
          <w:bCs/>
          <w:snapToGrid w:val="0"/>
          <w:color w:val="auto"/>
          <w:kern w:val="0"/>
          <w:sz w:val="24"/>
          <w:szCs w:val="24"/>
          <w:highlight w:val="none"/>
          <w:lang w:eastAsia="zh-CN"/>
        </w:rPr>
        <w:t>）供应商须具有由住房和城乡建设部门颁发并在有效期内的建筑装修装饰工程专业承包</w:t>
      </w:r>
      <w:r>
        <w:rPr>
          <w:rFonts w:hint="eastAsia" w:ascii="仿宋_GB2312" w:hAnsi="仿宋_GB2312" w:eastAsia="仿宋_GB2312" w:cs="仿宋_GB2312"/>
          <w:b/>
          <w:bCs/>
          <w:snapToGrid w:val="0"/>
          <w:color w:val="auto"/>
          <w:kern w:val="0"/>
          <w:sz w:val="24"/>
          <w:szCs w:val="24"/>
          <w:highlight w:val="none"/>
          <w:lang w:val="en-US" w:eastAsia="zh-CN"/>
        </w:rPr>
        <w:t>二级及以上</w:t>
      </w:r>
      <w:r>
        <w:rPr>
          <w:rFonts w:hint="eastAsia" w:ascii="仿宋_GB2312" w:hAnsi="仿宋_GB2312" w:eastAsia="仿宋_GB2312" w:cs="仿宋_GB2312"/>
          <w:b/>
          <w:bCs/>
          <w:snapToGrid w:val="0"/>
          <w:color w:val="auto"/>
          <w:kern w:val="0"/>
          <w:sz w:val="24"/>
          <w:szCs w:val="24"/>
          <w:highlight w:val="none"/>
          <w:lang w:eastAsia="zh-CN"/>
        </w:rPr>
        <w:t xml:space="preserve">资质； </w:t>
      </w:r>
    </w:p>
    <w:p>
      <w:pPr>
        <w:overflowPunct w:val="0"/>
        <w:topLinePunct/>
        <w:autoSpaceDN w:val="0"/>
        <w:adjustRightInd w:val="0"/>
        <w:snapToGrid w:val="0"/>
        <w:spacing w:line="460" w:lineRule="exact"/>
        <w:ind w:firstLine="482" w:firstLineChars="200"/>
        <w:rPr>
          <w:rFonts w:hint="eastAsia" w:ascii="仿宋_GB2312" w:hAnsi="仿宋_GB2312" w:eastAsia="仿宋_GB2312" w:cs="仿宋_GB2312"/>
          <w:b/>
          <w:bCs/>
          <w:snapToGrid w:val="0"/>
          <w:color w:val="auto"/>
          <w:kern w:val="0"/>
          <w:sz w:val="24"/>
          <w:szCs w:val="24"/>
          <w:highlight w:val="none"/>
          <w:lang w:val="en-US" w:eastAsia="zh-CN"/>
        </w:rPr>
      </w:pPr>
      <w:r>
        <w:rPr>
          <w:rFonts w:hint="eastAsia" w:ascii="仿宋_GB2312" w:hAnsi="仿宋_GB2312" w:eastAsia="仿宋_GB2312" w:cs="仿宋_GB2312"/>
          <w:b/>
          <w:bCs/>
          <w:snapToGrid w:val="0"/>
          <w:color w:val="auto"/>
          <w:kern w:val="0"/>
          <w:sz w:val="24"/>
          <w:szCs w:val="24"/>
          <w:highlight w:val="none"/>
          <w:lang w:val="en-US" w:eastAsia="zh-CN"/>
        </w:rPr>
        <w:t xml:space="preserve">（2） </w:t>
      </w:r>
      <w:r>
        <w:rPr>
          <w:rFonts w:hint="eastAsia" w:ascii="仿宋_GB2312" w:hAnsi="仿宋_GB2312" w:eastAsia="仿宋_GB2312" w:cs="仿宋_GB2312"/>
          <w:b/>
          <w:bCs/>
          <w:snapToGrid w:val="0"/>
          <w:color w:val="auto"/>
          <w:kern w:val="0"/>
          <w:sz w:val="24"/>
          <w:szCs w:val="24"/>
          <w:highlight w:val="none"/>
          <w:lang w:eastAsia="zh-CN"/>
        </w:rPr>
        <w:t xml:space="preserve">供应商须具有由住房和城乡建设部门颁发并在有效期内的《安全生产许可证》。 </w:t>
      </w:r>
    </w:p>
    <w:p>
      <w:pPr>
        <w:overflowPunct w:val="0"/>
        <w:topLinePunct/>
        <w:autoSpaceDN w:val="0"/>
        <w:adjustRightInd w:val="0"/>
        <w:snapToGrid w:val="0"/>
        <w:spacing w:line="460" w:lineRule="exact"/>
        <w:ind w:firstLine="482" w:firstLineChars="200"/>
        <w:rPr>
          <w:rFonts w:hint="eastAsia" w:ascii="仿宋_GB2312" w:hAnsi="仿宋_GB2312" w:eastAsia="仿宋_GB2312" w:cs="仿宋_GB2312"/>
          <w:b/>
          <w:bCs/>
          <w:snapToGrid w:val="0"/>
          <w:color w:val="auto"/>
          <w:kern w:val="0"/>
          <w:sz w:val="24"/>
          <w:szCs w:val="24"/>
          <w:highlight w:val="none"/>
          <w:lang w:eastAsia="zh-CN"/>
        </w:rPr>
      </w:pPr>
      <w:r>
        <w:rPr>
          <w:rFonts w:hint="eastAsia" w:ascii="仿宋_GB2312" w:hAnsi="仿宋_GB2312" w:eastAsia="仿宋_GB2312" w:cs="仿宋_GB2312"/>
          <w:b/>
          <w:bCs/>
          <w:snapToGrid w:val="0"/>
          <w:color w:val="auto"/>
          <w:kern w:val="0"/>
          <w:sz w:val="24"/>
          <w:szCs w:val="24"/>
          <w:highlight w:val="none"/>
          <w:lang w:val="en-US" w:eastAsia="zh-CN"/>
        </w:rPr>
        <w:t>（3）</w:t>
      </w:r>
      <w:r>
        <w:rPr>
          <w:rFonts w:hint="eastAsia" w:ascii="仿宋_GB2312" w:hAnsi="仿宋_GB2312" w:eastAsia="仿宋_GB2312" w:cs="仿宋_GB2312"/>
          <w:b/>
          <w:bCs/>
          <w:snapToGrid w:val="0"/>
          <w:color w:val="auto"/>
          <w:kern w:val="0"/>
          <w:sz w:val="24"/>
          <w:szCs w:val="24"/>
          <w:highlight w:val="none"/>
          <w:lang w:eastAsia="zh-CN"/>
        </w:rPr>
        <w:t>项目负责人资质类别及等级：供应商拟派项目经理须具备</w:t>
      </w:r>
      <w:r>
        <w:rPr>
          <w:rFonts w:hint="eastAsia" w:ascii="仿宋_GB2312" w:hAnsi="仿宋_GB2312" w:eastAsia="仿宋_GB2312" w:cs="仿宋_GB2312"/>
          <w:b/>
          <w:bCs/>
          <w:snapToGrid w:val="0"/>
          <w:color w:val="auto"/>
          <w:kern w:val="0"/>
          <w:sz w:val="24"/>
          <w:szCs w:val="24"/>
          <w:highlight w:val="none"/>
          <w:lang w:val="en-US" w:eastAsia="zh-CN"/>
        </w:rPr>
        <w:t>建筑工程</w:t>
      </w:r>
      <w:r>
        <w:rPr>
          <w:rFonts w:hint="eastAsia" w:ascii="仿宋_GB2312" w:hAnsi="仿宋_GB2312" w:eastAsia="仿宋_GB2312" w:cs="仿宋_GB2312"/>
          <w:b/>
          <w:bCs/>
          <w:snapToGrid w:val="0"/>
          <w:color w:val="auto"/>
          <w:kern w:val="0"/>
          <w:sz w:val="24"/>
          <w:szCs w:val="24"/>
          <w:highlight w:val="none"/>
          <w:lang w:eastAsia="zh-CN"/>
        </w:rPr>
        <w:t>二级及以上注册建造师执业资格，具备有效的安全生产考核合格证书（B类），且未担任其他在建设工程项目的项目经理</w:t>
      </w:r>
      <w:r>
        <w:rPr>
          <w:rFonts w:hint="eastAsia" w:ascii="仿宋_GB2312" w:hAnsi="仿宋_GB2312" w:eastAsia="仿宋_GB2312" w:cs="仿宋_GB2312"/>
          <w:b/>
          <w:bCs/>
          <w:snapToGrid w:val="0"/>
          <w:color w:val="auto"/>
          <w:kern w:val="0"/>
          <w:sz w:val="24"/>
          <w:szCs w:val="24"/>
          <w:highlight w:val="none"/>
          <w:lang w:val="en-US" w:eastAsia="zh-CN"/>
        </w:rPr>
        <w:t>的书面声明</w:t>
      </w:r>
      <w:r>
        <w:rPr>
          <w:rFonts w:hint="eastAsia" w:ascii="仿宋_GB2312" w:hAnsi="仿宋_GB2312" w:eastAsia="仿宋_GB2312" w:cs="仿宋_GB2312"/>
          <w:b/>
          <w:bCs/>
          <w:snapToGrid w:val="0"/>
          <w:color w:val="auto"/>
          <w:kern w:val="0"/>
          <w:sz w:val="24"/>
          <w:szCs w:val="24"/>
          <w:highlight w:val="none"/>
          <w:lang w:eastAsia="zh-CN"/>
        </w:rPr>
        <w:t>。</w:t>
      </w:r>
    </w:p>
    <w:p>
      <w:pPr>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（7）法律、行政法规规定的其他条件。</w:t>
      </w:r>
    </w:p>
    <w:p>
      <w:pPr>
        <w:tabs>
          <w:tab w:val="left" w:pos="567"/>
        </w:tabs>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3.4 单位负责人为同一人或者存在控股、管理关系的不同单位，不得同时参加本项目同一合同项下的谈判活动，为本项目提供整体设计、规范编制或者项目管理、监理、检测及造价咨询等服务的谈判供应商，不得再参加本项目的谈判活动。</w:t>
      </w:r>
    </w:p>
    <w:p>
      <w:pPr>
        <w:tabs>
          <w:tab w:val="left" w:pos="567"/>
        </w:tabs>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3.5本次竞争性谈判活动是否允许由两个以上谈判供应商组成一个联合体以一个谈判供应商身份共同参加谈判，详见第</w:t>
      </w:r>
      <w:r>
        <w:rPr>
          <w:rFonts w:hint="eastAsia" w:ascii="仿宋_GB2312" w:hAnsi="仿宋_GB2312" w:eastAsia="仿宋_GB2312" w:cs="仿宋_GB2312"/>
          <w:snapToGrid w:val="0"/>
          <w:color w:val="auto"/>
          <w:kern w:val="0"/>
          <w:sz w:val="24"/>
          <w:szCs w:val="24"/>
          <w:highlight w:val="none"/>
          <w:lang w:val="en-US" w:eastAsia="zh-CN"/>
        </w:rPr>
        <w:t>一</w:t>
      </w:r>
      <w:r>
        <w:rPr>
          <w:rFonts w:hint="eastAsia" w:ascii="仿宋_GB2312" w:hAnsi="仿宋_GB2312" w:eastAsia="仿宋_GB2312" w:cs="仿宋_GB2312"/>
          <w:snapToGrid w:val="0"/>
          <w:color w:val="auto"/>
          <w:kern w:val="0"/>
          <w:sz w:val="24"/>
          <w:szCs w:val="24"/>
          <w:highlight w:val="none"/>
        </w:rPr>
        <w:t>部分谈判</w:t>
      </w:r>
      <w:r>
        <w:rPr>
          <w:rFonts w:hint="eastAsia" w:ascii="仿宋_GB2312" w:hAnsi="仿宋_GB2312" w:eastAsia="仿宋_GB2312" w:cs="仿宋_GB2312"/>
          <w:snapToGrid w:val="0"/>
          <w:color w:val="auto"/>
          <w:kern w:val="0"/>
          <w:sz w:val="24"/>
          <w:szCs w:val="24"/>
          <w:highlight w:val="none"/>
          <w:lang w:val="en-US" w:eastAsia="zh-CN"/>
        </w:rPr>
        <w:t>邀请</w:t>
      </w:r>
      <w:r>
        <w:rPr>
          <w:rFonts w:hint="eastAsia" w:ascii="仿宋_GB2312" w:hAnsi="仿宋_GB2312" w:eastAsia="仿宋_GB2312" w:cs="仿宋_GB2312"/>
          <w:snapToGrid w:val="0"/>
          <w:color w:val="auto"/>
          <w:kern w:val="0"/>
          <w:sz w:val="24"/>
          <w:szCs w:val="24"/>
          <w:highlight w:val="none"/>
        </w:rPr>
        <w:t>第</w:t>
      </w: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rPr>
        <w:t>条的规定。</w:t>
      </w:r>
    </w:p>
    <w:p>
      <w:pPr>
        <w:tabs>
          <w:tab w:val="left" w:pos="567"/>
        </w:tabs>
        <w:overflowPunct w:val="0"/>
        <w:topLinePunct/>
        <w:autoSpaceDN w:val="0"/>
        <w:adjustRightInd w:val="0"/>
        <w:snapToGrid w:val="0"/>
        <w:spacing w:line="460" w:lineRule="exact"/>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3.5.1 联合体各方均应当符合《中华人民共和国政府采购法》第二十二条规定的条件，如本项目要求联合体的各方均应按照第</w:t>
      </w:r>
      <w:r>
        <w:rPr>
          <w:rFonts w:hint="eastAsia" w:ascii="仿宋_GB2312" w:hAnsi="仿宋_GB2312" w:eastAsia="仿宋_GB2312" w:cs="仿宋_GB2312"/>
          <w:snapToGrid w:val="0"/>
          <w:color w:val="auto"/>
          <w:kern w:val="0"/>
          <w:sz w:val="24"/>
          <w:szCs w:val="24"/>
          <w:highlight w:val="none"/>
          <w:lang w:val="en-US" w:eastAsia="zh-CN"/>
        </w:rPr>
        <w:t>一</w:t>
      </w:r>
      <w:r>
        <w:rPr>
          <w:rFonts w:hint="eastAsia" w:ascii="仿宋_GB2312" w:hAnsi="仿宋_GB2312" w:eastAsia="仿宋_GB2312" w:cs="仿宋_GB2312"/>
          <w:snapToGrid w:val="0"/>
          <w:color w:val="auto"/>
          <w:kern w:val="0"/>
          <w:sz w:val="24"/>
          <w:szCs w:val="24"/>
          <w:highlight w:val="none"/>
        </w:rPr>
        <w:t>部分谈判</w:t>
      </w:r>
      <w:r>
        <w:rPr>
          <w:rFonts w:hint="eastAsia" w:ascii="仿宋_GB2312" w:hAnsi="仿宋_GB2312" w:eastAsia="仿宋_GB2312" w:cs="仿宋_GB2312"/>
          <w:snapToGrid w:val="0"/>
          <w:color w:val="auto"/>
          <w:kern w:val="0"/>
          <w:sz w:val="24"/>
          <w:szCs w:val="24"/>
          <w:highlight w:val="none"/>
          <w:lang w:val="en-US" w:eastAsia="zh-CN"/>
        </w:rPr>
        <w:t>邀请</w:t>
      </w:r>
      <w:r>
        <w:rPr>
          <w:rFonts w:hint="eastAsia" w:ascii="仿宋_GB2312" w:hAnsi="仿宋_GB2312" w:eastAsia="仿宋_GB2312" w:cs="仿宋_GB2312"/>
          <w:snapToGrid w:val="0"/>
          <w:color w:val="auto"/>
          <w:kern w:val="0"/>
          <w:sz w:val="24"/>
          <w:szCs w:val="24"/>
          <w:highlight w:val="none"/>
        </w:rPr>
        <w:t>第</w:t>
      </w: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rPr>
        <w:t>条的规定提供相关材料（不允许联合体参与谈判的可不看此项）。</w:t>
      </w:r>
    </w:p>
    <w:p>
      <w:pPr>
        <w:pStyle w:val="76"/>
        <w:snapToGrid w:val="0"/>
        <w:spacing w:line="460" w:lineRule="exact"/>
        <w:ind w:firstLine="482" w:firstLineChars="200"/>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snapToGrid w:val="0"/>
          <w:color w:val="auto"/>
          <w:kern w:val="0"/>
          <w:sz w:val="24"/>
          <w:szCs w:val="24"/>
          <w:highlight w:val="none"/>
        </w:rPr>
        <w:t>4.</w:t>
      </w:r>
      <w:r>
        <w:rPr>
          <w:rFonts w:hint="eastAsia" w:ascii="仿宋_GB2312" w:hAnsi="仿宋_GB2312" w:eastAsia="仿宋_GB2312" w:cs="仿宋_GB2312"/>
          <w:b/>
          <w:color w:val="auto"/>
          <w:sz w:val="24"/>
          <w:szCs w:val="24"/>
          <w:highlight w:val="none"/>
        </w:rPr>
        <w:t>通知</w:t>
      </w:r>
      <w:r>
        <w:rPr>
          <w:rFonts w:hint="eastAsia" w:ascii="仿宋_GB2312" w:hAnsi="仿宋_GB2312" w:eastAsia="仿宋_GB2312" w:cs="仿宋_GB2312"/>
          <w:b/>
          <w:color w:val="auto"/>
          <w:spacing w:val="10"/>
          <w:sz w:val="24"/>
          <w:szCs w:val="24"/>
          <w:highlight w:val="none"/>
        </w:rPr>
        <w:t>的告知及获取</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.1通知的告知</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对与本项目有关的通知，</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将以在本次谈判公告刊登的媒体上发布公告的形式告知所有已获取了谈判文件的谈判供应商及潜在供应商。</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.2通知的获取</w:t>
      </w:r>
    </w:p>
    <w:p>
      <w:pPr>
        <w:spacing w:line="460" w:lineRule="exact"/>
        <w:rPr>
          <w:rFonts w:hint="eastAsia" w:ascii="宋体" w:hAnsi="宋体" w:eastAsia="宋体" w:cs="宋体"/>
          <w:color w:val="auto"/>
          <w:kern w:val="0"/>
          <w:sz w:val="22"/>
          <w:szCs w:val="22"/>
          <w:highlight w:val="none"/>
        </w:rPr>
      </w:pPr>
      <w:r>
        <w:rPr>
          <w:rFonts w:hint="eastAsia" w:ascii="仿宋_GB2312" w:hAnsi="仿宋_GB2312" w:eastAsia="仿宋_GB2312" w:cs="仿宋_GB2312"/>
          <w:color w:val="auto"/>
          <w:kern w:val="0"/>
          <w:sz w:val="24"/>
          <w:szCs w:val="24"/>
          <w:highlight w:val="none"/>
        </w:rPr>
        <w:t xml:space="preserve">      详见第一部分采购邀请中“谈判文件免费领取的相关信息”</w:t>
      </w:r>
    </w:p>
    <w:p>
      <w:pPr>
        <w:pStyle w:val="8"/>
        <w:spacing w:line="460" w:lineRule="exact"/>
        <w:rPr>
          <w:rFonts w:hint="eastAsia" w:ascii="宋体" w:hAnsi="宋体" w:eastAsia="宋体" w:cs="宋体"/>
          <w:b w:val="0"/>
          <w:color w:val="auto"/>
          <w:sz w:val="22"/>
          <w:szCs w:val="22"/>
          <w:highlight w:val="none"/>
        </w:rPr>
      </w:pPr>
      <w:bookmarkStart w:id="37" w:name="_Toc51232707"/>
      <w:bookmarkStart w:id="38" w:name="_Toc26867751"/>
      <w:bookmarkStart w:id="39" w:name="_Toc44690600"/>
      <w:bookmarkStart w:id="40" w:name="_Toc13559"/>
      <w:bookmarkStart w:id="41" w:name="_Toc43363071"/>
      <w:bookmarkStart w:id="42" w:name="_Toc44690674"/>
      <w:r>
        <w:rPr>
          <w:rFonts w:hint="eastAsia" w:ascii="宋体" w:hAnsi="宋体" w:eastAsia="宋体" w:cs="宋体"/>
          <w:color w:val="auto"/>
          <w:sz w:val="22"/>
          <w:szCs w:val="22"/>
          <w:highlight w:val="none"/>
        </w:rPr>
        <w:t>二、谈判文件</w:t>
      </w:r>
      <w:bookmarkEnd w:id="37"/>
      <w:bookmarkEnd w:id="38"/>
      <w:bookmarkEnd w:id="39"/>
      <w:bookmarkEnd w:id="40"/>
      <w:bookmarkEnd w:id="41"/>
      <w:bookmarkEnd w:id="42"/>
    </w:p>
    <w:p>
      <w:pPr>
        <w:pStyle w:val="76"/>
        <w:snapToGrid w:val="0"/>
        <w:spacing w:line="460" w:lineRule="exact"/>
        <w:ind w:firstLine="477" w:firstLineChars="198"/>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谈判文件的内容</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6.1谈判文件由下列</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部分内容组成：</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第一部分 谈判邀请；</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第二部分 谈判供应商须知前附表；</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第三部分 谈判供应商须知； </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第四部分 </w:t>
      </w:r>
      <w:r>
        <w:rPr>
          <w:rFonts w:hint="eastAsia" w:ascii="仿宋_GB2312" w:hAnsi="仿宋_GB2312" w:eastAsia="仿宋_GB2312" w:cs="仿宋_GB2312"/>
          <w:color w:val="auto"/>
          <w:sz w:val="24"/>
          <w:szCs w:val="24"/>
          <w:highlight w:val="none"/>
          <w:lang w:eastAsia="zh-CN"/>
        </w:rPr>
        <w:t>采购项目需求</w:t>
      </w:r>
      <w:r>
        <w:rPr>
          <w:rFonts w:hint="eastAsia" w:ascii="仿宋_GB2312" w:hAnsi="仿宋_GB2312" w:eastAsia="仿宋_GB2312" w:cs="仿宋_GB2312"/>
          <w:color w:val="auto"/>
          <w:sz w:val="24"/>
          <w:szCs w:val="24"/>
          <w:highlight w:val="none"/>
        </w:rPr>
        <w:t>；</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第五部分 </w:t>
      </w:r>
      <w:r>
        <w:rPr>
          <w:rFonts w:hint="eastAsia" w:ascii="仿宋_GB2312" w:hAnsi="仿宋_GB2312" w:eastAsia="仿宋_GB2312" w:cs="仿宋_GB2312"/>
          <w:color w:val="auto"/>
          <w:sz w:val="24"/>
          <w:szCs w:val="24"/>
          <w:highlight w:val="none"/>
          <w:lang w:eastAsia="zh-CN"/>
        </w:rPr>
        <w:t>评定和成交标准</w:t>
      </w:r>
      <w:r>
        <w:rPr>
          <w:rFonts w:hint="eastAsia" w:ascii="仿宋_GB2312" w:hAnsi="仿宋_GB2312" w:eastAsia="仿宋_GB2312" w:cs="仿宋_GB2312"/>
          <w:color w:val="auto"/>
          <w:sz w:val="24"/>
          <w:szCs w:val="24"/>
          <w:highlight w:val="none"/>
        </w:rPr>
        <w:t>；</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w:t>
      </w: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color w:val="auto"/>
          <w:sz w:val="24"/>
          <w:szCs w:val="24"/>
          <w:highlight w:val="none"/>
        </w:rPr>
        <w:t>部分 合同条款及格式；</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第</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部分 响应文件内容要求及格式；</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谈判供应商的信用查询渠道信用中国网（http://www.creditchina.gov.cn）和中国政府采购网（http://www.ccgp.gov.cn）。</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 xml:space="preserve"> 除非特殊要求，谈判文件不单独提供项目使用地的自然环境、气候条件、公用设施情况，谈判供应商被视为熟悉上述与履行合同有关的一切情况。</w:t>
      </w:r>
    </w:p>
    <w:p>
      <w:pPr>
        <w:snapToGrid w:val="0"/>
        <w:spacing w:line="460" w:lineRule="exact"/>
        <w:ind w:firstLine="540" w:firstLineChars="225"/>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 xml:space="preserve"> 谈判文件的解释权归</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所有，当对一个问题有多种解释时以</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解释为准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其中采购需求解释权归采购人所有，以采购人解释为准。</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 谈判文件未作须知明示，而又有法律、法规规定的，</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将依据法律法规的规定进行解释。</w:t>
      </w:r>
    </w:p>
    <w:p>
      <w:pPr>
        <w:pStyle w:val="76"/>
        <w:snapToGrid w:val="0"/>
        <w:spacing w:line="480" w:lineRule="exact"/>
        <w:ind w:left="396" w:leftChars="198"/>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谈判文件的澄清和修改</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7.1响应文件提交的截止时间前，</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可以对已发出的谈判文件进行必要的澄清或者修改，澄清或者修改在原公告发布媒体上发布澄清公告。澄清或者修改的内容为谈判文件的组成部分，对所有谈判供应商均具有约束作用。</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 澄清或修改的内容可能影响响应文件编制的，</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将在提交响应文件的截止时间3个工作日前，以发布公告的形式通知所有获取到谈判文件的供应商，不足3个工作日的，将顺延响应文件提交的截止时间。</w:t>
      </w:r>
    </w:p>
    <w:p>
      <w:pPr>
        <w:snapToGrid w:val="0"/>
        <w:spacing w:line="480" w:lineRule="exact"/>
        <w:ind w:firstLine="42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7.3在评审过程中，谈判小组可以书面形式要求谈判供应商对所提交响应文件中不明确的内容进行书面澄清或说明，或者对细微偏差进行补正。谈判小组不接受谈判供应商主动提出的澄清、说明或补正。</w:t>
      </w:r>
    </w:p>
    <w:p>
      <w:pPr>
        <w:snapToGrid w:val="0"/>
        <w:spacing w:line="480" w:lineRule="exact"/>
        <w:ind w:firstLine="42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7.4澄清、说明和补正不得改变响应文件的实质性内容（算术性错误修正的除外）。谈判供应商的书面澄清、说明和补正属于响应文件的组成部分。</w:t>
      </w:r>
    </w:p>
    <w:p>
      <w:pPr>
        <w:snapToGrid w:val="0"/>
        <w:spacing w:line="480" w:lineRule="exact"/>
        <w:ind w:firstLine="42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7.5谈判小组对谈判供应商提交的澄清、说明或补正有疑问的，可以要求谈判供应商进一步澄清、说明或补正，直至满足谈判小组的要求。</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7.6 如延长提交响应文件截止时间或项目因故暂停，</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将在谈判文件要求提交响应文件截止时间前，以发布公告的形式通知所有接收到谈判文件的供应商。</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7.7 项目采用发布公告方式邀请供应商谈判的，澄清或者修改的内容或提交响应文件截止时间的变化，还将在财政部门指定的政府采购信息发布媒体上用更正公告（或变更公告）的方式发布。</w:t>
      </w:r>
    </w:p>
    <w:p>
      <w:pPr>
        <w:snapToGrid w:val="0"/>
        <w:spacing w:line="420" w:lineRule="exact"/>
        <w:ind w:firstLine="200"/>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8、踏勘现场</w:t>
      </w:r>
    </w:p>
    <w:p>
      <w:pPr>
        <w:snapToGrid w:val="0"/>
        <w:spacing w:line="420" w:lineRule="exact"/>
        <w:ind w:firstLine="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8.1谈判供应商须知前附表规定组织踏勘现场的，采购人按谈判供应商须知前附表规定的时间、地点组织谈判供应商踏勘项目现场。</w:t>
      </w:r>
    </w:p>
    <w:p>
      <w:pPr>
        <w:snapToGrid w:val="0"/>
        <w:spacing w:line="420" w:lineRule="exact"/>
        <w:ind w:firstLine="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8.2采购人应将踏勘所有资料交于</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存档。</w:t>
      </w:r>
    </w:p>
    <w:p>
      <w:pPr>
        <w:snapToGrid w:val="0"/>
        <w:spacing w:line="420" w:lineRule="exact"/>
        <w:ind w:firstLine="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8.3谈判供应商踏勘现场发生的费用自理。</w:t>
      </w:r>
    </w:p>
    <w:p>
      <w:pPr>
        <w:snapToGrid w:val="0"/>
        <w:spacing w:line="420" w:lineRule="exact"/>
        <w:ind w:firstLine="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8.4除采购人的原因外，谈判供应商自行负责在踏勘现场中所发生的人员伤亡和财产损失。</w:t>
      </w:r>
    </w:p>
    <w:p>
      <w:pPr>
        <w:snapToGrid w:val="0"/>
        <w:spacing w:line="420" w:lineRule="exact"/>
        <w:ind w:firstLine="200"/>
        <w:jc w:val="left"/>
        <w:rPr>
          <w:rFonts w:hint="eastAsia" w:ascii="宋体" w:hAnsi="宋体" w:eastAsia="宋体" w:cs="宋体"/>
          <w:color w:val="auto"/>
          <w:sz w:val="22"/>
          <w:szCs w:val="22"/>
          <w:highlight w:val="none"/>
        </w:rPr>
      </w:pPr>
      <w:r>
        <w:rPr>
          <w:rFonts w:hint="eastAsia" w:ascii="仿宋_GB2312" w:hAnsi="仿宋_GB2312" w:eastAsia="仿宋_GB2312" w:cs="仿宋_GB2312"/>
          <w:color w:val="auto"/>
          <w:sz w:val="24"/>
          <w:szCs w:val="24"/>
          <w:highlight w:val="none"/>
        </w:rPr>
        <w:t xml:space="preserve"> 8.5采购人在踏勘现场中介绍的工程场地和相关的周边环境情况，供谈判供应商在编制响应文件的参考，采购人不对谈判供应商据此作出的判断和决策负责。</w:t>
      </w:r>
    </w:p>
    <w:p>
      <w:pPr>
        <w:pStyle w:val="8"/>
        <w:spacing w:line="400" w:lineRule="exact"/>
        <w:rPr>
          <w:rFonts w:hint="eastAsia" w:ascii="宋体" w:hAnsi="宋体" w:eastAsia="宋体" w:cs="宋体"/>
          <w:color w:val="auto"/>
          <w:sz w:val="22"/>
          <w:szCs w:val="22"/>
          <w:highlight w:val="none"/>
        </w:rPr>
      </w:pPr>
      <w:bookmarkStart w:id="43" w:name="_Toc43363072"/>
      <w:bookmarkStart w:id="44" w:name="_Toc26867752"/>
      <w:bookmarkStart w:id="45" w:name="_Toc51232708"/>
      <w:bookmarkStart w:id="46" w:name="_Toc5410"/>
      <w:bookmarkStart w:id="47" w:name="_Toc44690601"/>
      <w:bookmarkStart w:id="48" w:name="_Toc44690675"/>
      <w:r>
        <w:rPr>
          <w:rFonts w:hint="eastAsia" w:ascii="宋体" w:hAnsi="宋体" w:eastAsia="宋体" w:cs="宋体"/>
          <w:color w:val="auto"/>
          <w:sz w:val="22"/>
          <w:szCs w:val="22"/>
          <w:highlight w:val="none"/>
        </w:rPr>
        <w:t>三、响应文件</w:t>
      </w:r>
      <w:bookmarkEnd w:id="43"/>
      <w:bookmarkEnd w:id="44"/>
      <w:bookmarkEnd w:id="45"/>
      <w:bookmarkEnd w:id="46"/>
      <w:bookmarkEnd w:id="47"/>
      <w:bookmarkEnd w:id="48"/>
    </w:p>
    <w:p>
      <w:pPr>
        <w:pStyle w:val="76"/>
        <w:snapToGrid w:val="0"/>
        <w:spacing w:line="48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9. 响应文件的语言和计量单位</w:t>
      </w:r>
    </w:p>
    <w:p>
      <w:pPr>
        <w:pStyle w:val="76"/>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9.1谈判供应商提交的响应文件的资格证明文件、商务技术文件（包括技术文件和资料、图纸中的说明）以及谈判供应商与</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就有关谈判的所有来往函电均应使用中文简体字。外文资料必须提供中文译文，并保持与原文一致，否则，产生的不利后果由供应商承担。</w:t>
      </w:r>
    </w:p>
    <w:p>
      <w:pPr>
        <w:pStyle w:val="76"/>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9.2响应文件所使用的计量单位，必须使用国家法定计量单位。</w:t>
      </w:r>
    </w:p>
    <w:p>
      <w:pPr>
        <w:pStyle w:val="76"/>
        <w:snapToGrid w:val="0"/>
        <w:spacing w:line="44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10. 响应文件的组成及相关要求</w:t>
      </w:r>
    </w:p>
    <w:p>
      <w:pPr>
        <w:pStyle w:val="76"/>
        <w:snapToGrid w:val="0"/>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color w:val="auto"/>
          <w:sz w:val="24"/>
          <w:szCs w:val="24"/>
          <w:highlight w:val="none"/>
        </w:rPr>
        <w:t xml:space="preserve">10.1 </w:t>
      </w:r>
      <w:r>
        <w:rPr>
          <w:rFonts w:hint="eastAsia" w:ascii="仿宋_GB2312" w:hAnsi="仿宋_GB2312" w:eastAsia="仿宋_GB2312" w:cs="仿宋_GB2312"/>
          <w:color w:val="auto"/>
          <w:sz w:val="24"/>
          <w:szCs w:val="24"/>
          <w:highlight w:val="none"/>
        </w:rPr>
        <w:t>供应商编写的响应文件应包括价格部分、商务部分和技术部分。供应商参考</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lang w:val="en-US" w:eastAsia="zh-CN"/>
        </w:rPr>
        <w:t>九</w:t>
      </w:r>
      <w:r>
        <w:rPr>
          <w:rFonts w:hint="eastAsia" w:ascii="仿宋_GB2312" w:hAnsi="仿宋_GB2312" w:eastAsia="仿宋_GB2312" w:cs="仿宋_GB2312"/>
          <w:color w:val="auto"/>
          <w:sz w:val="24"/>
          <w:szCs w:val="24"/>
          <w:highlight w:val="none"/>
        </w:rPr>
        <w:t>部分响应文件</w:t>
      </w:r>
      <w:r>
        <w:rPr>
          <w:rFonts w:hint="eastAsia" w:ascii="仿宋_GB2312" w:hAnsi="仿宋_GB2312" w:eastAsia="仿宋_GB2312" w:cs="仿宋_GB2312"/>
          <w:color w:val="auto"/>
          <w:sz w:val="24"/>
          <w:szCs w:val="24"/>
          <w:highlight w:val="none"/>
          <w:lang w:val="en-US" w:eastAsia="zh-CN"/>
        </w:rPr>
        <w:t>内容及</w:t>
      </w:r>
      <w:r>
        <w:rPr>
          <w:rFonts w:hint="eastAsia" w:ascii="仿宋_GB2312" w:hAnsi="仿宋_GB2312" w:eastAsia="仿宋_GB2312" w:cs="仿宋_GB2312"/>
          <w:color w:val="auto"/>
          <w:sz w:val="24"/>
          <w:szCs w:val="24"/>
          <w:highlight w:val="none"/>
        </w:rPr>
        <w:t>格式顺序编排响应文件。纸质响应文件份数按谈判供应商须知前附表序号第6条的规定提交。</w:t>
      </w:r>
    </w:p>
    <w:p>
      <w:pPr>
        <w:snapToGrid w:val="0"/>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10.2资格证明文件部分指谈判供应商提交的证明其有资格参加谈判的文件。</w:t>
      </w:r>
    </w:p>
    <w:p>
      <w:pPr>
        <w:snapToGrid w:val="0"/>
        <w:spacing w:line="50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10.3商务文件部分是指谈判供应商的工期、质量、施工组织设计、最后报价等。</w:t>
      </w:r>
    </w:p>
    <w:p>
      <w:pPr>
        <w:pStyle w:val="76"/>
        <w:snapToGrid w:val="0"/>
        <w:spacing w:line="500" w:lineRule="exact"/>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snapToGrid/>
          <w:color w:val="auto"/>
          <w:sz w:val="24"/>
          <w:szCs w:val="24"/>
          <w:highlight w:val="none"/>
        </w:rPr>
        <w:t>10.4本次谈判，谈判供应商应按本谈判文件要求提交资格证明、商务技术部分内容以及需要谈判供应商自行编写的其他文件，由此造成的一切后果，由谈判供应商自行承担。</w:t>
      </w:r>
    </w:p>
    <w:p>
      <w:pPr>
        <w:pStyle w:val="76"/>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10.5响应文件制作要求</w:t>
      </w:r>
    </w:p>
    <w:p>
      <w:pPr>
        <w:pStyle w:val="76"/>
        <w:snapToGrid w:val="0"/>
        <w:spacing w:line="460" w:lineRule="exact"/>
        <w:ind w:firstLine="494" w:firstLineChars="206"/>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响应文件按照政采云投标文件制作要求进行制作。</w:t>
      </w:r>
    </w:p>
    <w:p>
      <w:pPr>
        <w:pStyle w:val="76"/>
        <w:snapToGrid w:val="0"/>
        <w:spacing w:line="460" w:lineRule="exact"/>
        <w:ind w:firstLine="494" w:firstLineChars="20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响应文件规格幅面（A4），响应文件封面为</w:t>
      </w:r>
      <w:r>
        <w:rPr>
          <w:rFonts w:hint="eastAsia" w:ascii="仿宋_GB2312" w:hAnsi="仿宋_GB2312" w:eastAsia="仿宋_GB2312" w:cs="仿宋_GB2312"/>
          <w:color w:val="auto"/>
          <w:sz w:val="24"/>
          <w:szCs w:val="24"/>
          <w:highlight w:val="none"/>
          <w:lang w:eastAsia="zh-CN"/>
        </w:rPr>
        <w:t>宋体</w:t>
      </w:r>
      <w:r>
        <w:rPr>
          <w:rFonts w:hint="eastAsia" w:ascii="仿宋_GB2312" w:hAnsi="仿宋_GB2312" w:eastAsia="仿宋_GB2312" w:cs="仿宋_GB2312"/>
          <w:color w:val="auto"/>
          <w:sz w:val="24"/>
          <w:szCs w:val="24"/>
          <w:highlight w:val="none"/>
        </w:rPr>
        <w:t>初号加黑字体，其它为</w:t>
      </w:r>
      <w:r>
        <w:rPr>
          <w:rFonts w:hint="eastAsia" w:ascii="仿宋_GB2312" w:hAnsi="仿宋_GB2312" w:eastAsia="仿宋_GB2312" w:cs="仿宋_GB2312"/>
          <w:color w:val="auto"/>
          <w:sz w:val="24"/>
          <w:szCs w:val="24"/>
          <w:highlight w:val="none"/>
          <w:lang w:eastAsia="zh-CN"/>
        </w:rPr>
        <w:t>宋体</w:t>
      </w:r>
      <w:r>
        <w:rPr>
          <w:rFonts w:hint="eastAsia" w:ascii="仿宋_GB2312" w:hAnsi="仿宋_GB2312" w:eastAsia="仿宋_GB2312" w:cs="仿宋_GB2312"/>
          <w:color w:val="auto"/>
          <w:sz w:val="24"/>
          <w:szCs w:val="24"/>
          <w:highlight w:val="none"/>
        </w:rPr>
        <w:t>三号加黑字体；正文使用</w:t>
      </w:r>
      <w:r>
        <w:rPr>
          <w:rFonts w:hint="eastAsia" w:ascii="仿宋_GB2312" w:hAnsi="仿宋_GB2312" w:eastAsia="仿宋_GB2312" w:cs="仿宋_GB2312"/>
          <w:color w:val="auto"/>
          <w:sz w:val="24"/>
          <w:szCs w:val="24"/>
          <w:highlight w:val="none"/>
          <w:lang w:eastAsia="zh-CN"/>
        </w:rPr>
        <w:t>宋体</w:t>
      </w:r>
      <w:r>
        <w:rPr>
          <w:rFonts w:hint="eastAsia" w:ascii="仿宋_GB2312" w:hAnsi="仿宋_GB2312" w:eastAsia="仿宋_GB2312" w:cs="仿宋_GB2312"/>
          <w:color w:val="auto"/>
          <w:sz w:val="24"/>
          <w:szCs w:val="24"/>
          <w:highlight w:val="none"/>
        </w:rPr>
        <w:t>小四号字体；表格内容为</w:t>
      </w:r>
      <w:r>
        <w:rPr>
          <w:rFonts w:hint="eastAsia" w:ascii="仿宋_GB2312" w:hAnsi="仿宋_GB2312" w:eastAsia="仿宋_GB2312" w:cs="仿宋_GB2312"/>
          <w:color w:val="auto"/>
          <w:sz w:val="24"/>
          <w:szCs w:val="24"/>
          <w:highlight w:val="none"/>
          <w:lang w:eastAsia="zh-CN"/>
        </w:rPr>
        <w:t>宋体</w:t>
      </w:r>
      <w:r>
        <w:rPr>
          <w:rFonts w:hint="eastAsia" w:ascii="仿宋_GB2312" w:hAnsi="仿宋_GB2312" w:eastAsia="仿宋_GB2312" w:cs="仿宋_GB2312"/>
          <w:color w:val="auto"/>
          <w:sz w:val="24"/>
          <w:szCs w:val="24"/>
          <w:highlight w:val="none"/>
        </w:rPr>
        <w:t>五号字体。按照谈判文件所规定的内容顺序，统一编目录、编页码（响应文件中扫描件及宣传资料等均须与响应文件正文一起逐页编排页码），由于编排混乱导致响应文件被误读或查找不到，其责任由谈判供应商承担。</w:t>
      </w:r>
    </w:p>
    <w:p>
      <w:pPr>
        <w:pStyle w:val="76"/>
        <w:snapToGrid w:val="0"/>
        <w:spacing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11.响应保证金</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本项目是否要求谈判供应商提交保证金，及要求谈判供应商应提交的保证金金额详见谈判供应商须知前附表序号第</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条的规定。保证金按下列提交方式提交：</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11.1谈判供应商须在响应文件递交之前将本项目的保证金从自己的存款账户交纳到</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sz w:val="24"/>
          <w:szCs w:val="24"/>
          <w:highlight w:val="none"/>
          <w:lang w:val="en-US" w:eastAsia="zh-CN"/>
        </w:rPr>
        <w:t>保证金</w:t>
      </w:r>
      <w:r>
        <w:rPr>
          <w:rFonts w:hint="eastAsia" w:ascii="仿宋_GB2312" w:hAnsi="仿宋_GB2312" w:eastAsia="仿宋_GB2312" w:cs="仿宋_GB2312"/>
          <w:color w:val="auto"/>
          <w:sz w:val="24"/>
          <w:szCs w:val="24"/>
          <w:highlight w:val="none"/>
        </w:rPr>
        <w:t>专用账户上（账户详细信息详见谈判供应商须知前附表序号第</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条）。</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11.3未按上述要求提交保证金或提交的保证金金额不足的，其响应文件无效。</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11.4 谈判</w:t>
      </w:r>
      <w:r>
        <w:rPr>
          <w:rFonts w:hint="eastAsia" w:ascii="仿宋_GB2312" w:hAnsi="仿宋_GB2312" w:eastAsia="仿宋_GB2312" w:cs="仿宋_GB2312"/>
          <w:color w:val="auto"/>
          <w:sz w:val="24"/>
          <w:szCs w:val="24"/>
          <w:highlight w:val="none"/>
          <w:lang w:val="en-US"/>
        </w:rPr>
        <w:t>保证金将在</w:t>
      </w:r>
      <w:r>
        <w:rPr>
          <w:rFonts w:hint="eastAsia" w:ascii="仿宋_GB2312" w:hAnsi="仿宋_GB2312" w:eastAsia="仿宋_GB2312" w:cs="仿宋_GB2312"/>
          <w:color w:val="auto"/>
          <w:sz w:val="24"/>
          <w:szCs w:val="24"/>
          <w:highlight w:val="none"/>
        </w:rPr>
        <w:t>成交</w:t>
      </w:r>
      <w:r>
        <w:rPr>
          <w:rFonts w:hint="eastAsia" w:ascii="仿宋_GB2312" w:hAnsi="仿宋_GB2312" w:eastAsia="仿宋_GB2312" w:cs="仿宋_GB2312"/>
          <w:color w:val="auto"/>
          <w:sz w:val="24"/>
          <w:szCs w:val="24"/>
          <w:highlight w:val="none"/>
          <w:lang w:val="en-US"/>
        </w:rPr>
        <w:t>通知书（</w:t>
      </w:r>
      <w:r>
        <w:rPr>
          <w:rFonts w:hint="eastAsia" w:ascii="仿宋_GB2312" w:hAnsi="仿宋_GB2312" w:eastAsia="仿宋_GB2312" w:cs="仿宋_GB2312"/>
          <w:color w:val="auto"/>
          <w:sz w:val="24"/>
          <w:szCs w:val="24"/>
          <w:highlight w:val="none"/>
        </w:rPr>
        <w:t>成交</w:t>
      </w:r>
      <w:r>
        <w:rPr>
          <w:rFonts w:hint="eastAsia" w:ascii="仿宋_GB2312" w:hAnsi="仿宋_GB2312" w:eastAsia="仿宋_GB2312" w:cs="仿宋_GB2312"/>
          <w:color w:val="auto"/>
          <w:sz w:val="24"/>
          <w:szCs w:val="24"/>
          <w:highlight w:val="none"/>
          <w:lang w:val="en-US"/>
        </w:rPr>
        <w:t>公告）发出之日起5个工作内日退还。</w:t>
      </w:r>
    </w:p>
    <w:p>
      <w:pPr>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采购人因重大变故取消采购任务的，</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在财政部门指定的政府采购信息发布媒体上发布终止公告，并以发布公告的形式通知已经获取采购文件的潜在谈判供应商，对已经交纳响应保证金的，</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在终止公告发布后5个工作日内予以退还。</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有下列情形之一的，保证金不予退还：</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A.供应商在提交响应文件截止时间后撤回响应文件的；</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B.供应商在响应文件中提供虚假材料的；</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C.除因不可抗力或谈判文件认可的情形以外，成交供应商不与采购人签订合同的；</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D.供应商与采购人、其他供应商或者采购代理机构恶意串通的；</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E.谈判文件规定的其他情形。</w:t>
      </w:r>
    </w:p>
    <w:p>
      <w:pPr>
        <w:pStyle w:val="76"/>
        <w:snapToGrid w:val="0"/>
        <w:spacing w:line="48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12谈判报价</w:t>
      </w:r>
    </w:p>
    <w:p>
      <w:pPr>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12.1所有的谈判报价均以人民币元为计算单位。</w:t>
      </w:r>
    </w:p>
    <w:p>
      <w:pPr>
        <w:pStyle w:val="76"/>
        <w:snapToGrid w:val="0"/>
        <w:spacing w:line="480" w:lineRule="exact"/>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12.2谈判结束后，对响应文件做出实质性响应的谈判供应商进行最后报价，谈判供应商最后报价按照谈判小组提供的报价格式单进行报价，谈判供应商须在谈判小组确定的最后报价时间内进行报价，最后报价是谈判供应商响应文件有效的组成部分。</w:t>
      </w:r>
    </w:p>
    <w:p>
      <w:pPr>
        <w:pStyle w:val="76"/>
        <w:snapToGrid w:val="0"/>
        <w:spacing w:line="480" w:lineRule="exact"/>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12.3谈判结束后，所有实质性响应的谈判供应商（不得少于3家），按照谈判小组的要求，在规定时间内提交最后报价。</w:t>
      </w:r>
    </w:p>
    <w:p>
      <w:pPr>
        <w:pStyle w:val="76"/>
        <w:snapToGrid w:val="0"/>
        <w:spacing w:line="48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13响应文件填写说明</w:t>
      </w:r>
    </w:p>
    <w:p>
      <w:pPr>
        <w:snapToGrid w:val="0"/>
        <w:spacing w:line="480" w:lineRule="exact"/>
        <w:ind w:firstLine="540" w:firstLineChars="22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13.1 谈判供应商应详细阅读谈判文件的全部内容，按照谈判文件中的要求提供响应文件，并保证所提供的全部资料的真实性，对谈判文件中的内容做出实质性和完整性的响应，否则，谈判供应商须自行承担由此引起的风险和责任。</w:t>
      </w:r>
    </w:p>
    <w:p>
      <w:pPr>
        <w:spacing w:line="480" w:lineRule="exact"/>
        <w:ind w:firstLine="494" w:firstLineChars="20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13.2谈判文件有固定格式要求的须按第</w:t>
      </w:r>
      <w:r>
        <w:rPr>
          <w:rFonts w:hint="eastAsia" w:ascii="仿宋_GB2312" w:hAnsi="仿宋_GB2312" w:eastAsia="仿宋_GB2312" w:cs="仿宋_GB2312"/>
          <w:color w:val="auto"/>
          <w:sz w:val="24"/>
          <w:szCs w:val="24"/>
          <w:highlight w:val="none"/>
          <w:lang w:val="en-US" w:eastAsia="zh-CN"/>
        </w:rPr>
        <w:t>七</w:t>
      </w:r>
      <w:r>
        <w:rPr>
          <w:rFonts w:hint="eastAsia" w:ascii="仿宋_GB2312" w:hAnsi="仿宋_GB2312" w:eastAsia="仿宋_GB2312" w:cs="仿宋_GB2312"/>
          <w:color w:val="auto"/>
          <w:sz w:val="24"/>
          <w:szCs w:val="24"/>
          <w:highlight w:val="none"/>
        </w:rPr>
        <w:t>部分提供的统一格式逐项填写；无相应内容可填的项填写“无”。</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13.3谈判供应商必须保证响应文件所提供的全部资料真实可靠，并接受谈判小组对其中任何资料进一步审查的要求，且承担相应的法律责任。</w:t>
      </w:r>
    </w:p>
    <w:p>
      <w:pPr>
        <w:spacing w:line="480" w:lineRule="exact"/>
        <w:ind w:firstLine="494" w:firstLineChars="20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13.4因响应文件字迹潦草、提交资料不清晰或表达不清楚所引起的不利后果由供应商承担。</w:t>
      </w:r>
    </w:p>
    <w:p>
      <w:pPr>
        <w:spacing w:line="480" w:lineRule="exact"/>
        <w:ind w:firstLine="494" w:firstLineChars="206"/>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14. 响应文件的有效期</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本项目响应文件的有效期详见谈判供应商须知前附表第</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条的规定。</w:t>
      </w:r>
    </w:p>
    <w:p>
      <w:pPr>
        <w:pStyle w:val="76"/>
        <w:snapToGrid w:val="0"/>
        <w:spacing w:line="48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15. 响应文件的签署</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15.1 组成响应文件的各种文件均应遵守本条规定。</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 谈判供应商在响应文件及相关文件的签订、履行、通知等事项的书面文件中的“盖章”、“印章”、“公章”等处均仅指与当事人名称全称相一致的标准印章，不得使用其它（如带有“专用章”等字样）印章。</w:t>
      </w:r>
    </w:p>
    <w:p>
      <w:pPr>
        <w:pStyle w:val="8"/>
        <w:spacing w:line="240" w:lineRule="auto"/>
        <w:rPr>
          <w:rFonts w:hint="eastAsia" w:ascii="宋体" w:hAnsi="宋体" w:eastAsia="宋体" w:cs="宋体"/>
          <w:color w:val="auto"/>
          <w:sz w:val="22"/>
          <w:szCs w:val="22"/>
          <w:highlight w:val="none"/>
        </w:rPr>
      </w:pPr>
      <w:bookmarkStart w:id="49" w:name="_Toc51232709"/>
      <w:bookmarkStart w:id="50" w:name="_Toc44690676"/>
      <w:bookmarkStart w:id="51" w:name="_Toc43363073"/>
      <w:bookmarkStart w:id="52" w:name="_Toc26867753"/>
      <w:bookmarkStart w:id="53" w:name="_Toc44690602"/>
      <w:bookmarkStart w:id="54" w:name="_Toc22671"/>
      <w:r>
        <w:rPr>
          <w:rFonts w:hint="eastAsia" w:ascii="宋体" w:hAnsi="宋体" w:eastAsia="宋体" w:cs="宋体"/>
          <w:color w:val="auto"/>
          <w:sz w:val="22"/>
          <w:szCs w:val="22"/>
          <w:highlight w:val="none"/>
        </w:rPr>
        <w:t>四、响应文件的递交</w:t>
      </w:r>
      <w:bookmarkEnd w:id="49"/>
      <w:bookmarkEnd w:id="50"/>
      <w:bookmarkEnd w:id="51"/>
      <w:bookmarkEnd w:id="52"/>
      <w:bookmarkEnd w:id="53"/>
      <w:bookmarkEnd w:id="54"/>
    </w:p>
    <w:p>
      <w:pPr>
        <w:pStyle w:val="76"/>
        <w:snapToGrid w:val="0"/>
        <w:spacing w:line="48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16. 响应文件的</w:t>
      </w:r>
      <w:r>
        <w:rPr>
          <w:rFonts w:hint="eastAsia" w:ascii="仿宋_GB2312" w:hAnsi="仿宋_GB2312" w:eastAsia="仿宋_GB2312" w:cs="仿宋_GB2312"/>
          <w:b w:val="0"/>
          <w:color w:val="auto"/>
          <w:sz w:val="24"/>
          <w:szCs w:val="24"/>
          <w:highlight w:val="none"/>
          <w:lang w:val="en-US" w:eastAsia="zh-CN"/>
        </w:rPr>
        <w:t>提交</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16.1 谈判供应商须将响应文件及谈判供应商认为有必要提交的其他资料</w:t>
      </w:r>
      <w:r>
        <w:rPr>
          <w:rFonts w:hint="eastAsia" w:ascii="仿宋_GB2312" w:hAnsi="仿宋_GB2312" w:eastAsia="仿宋_GB2312" w:cs="仿宋_GB2312"/>
          <w:color w:val="auto"/>
          <w:sz w:val="24"/>
          <w:szCs w:val="24"/>
          <w:highlight w:val="none"/>
          <w:lang w:val="en-US" w:eastAsia="zh-CN"/>
        </w:rPr>
        <w:t>按要求上传</w:t>
      </w:r>
      <w:r>
        <w:rPr>
          <w:rFonts w:hint="eastAsia" w:ascii="仿宋_GB2312" w:hAnsi="仿宋_GB2312" w:eastAsia="仿宋_GB2312" w:cs="仿宋_GB2312"/>
          <w:color w:val="auto"/>
          <w:sz w:val="24"/>
          <w:szCs w:val="24"/>
          <w:highlight w:val="none"/>
        </w:rPr>
        <w:t>提交。</w:t>
      </w:r>
    </w:p>
    <w:p>
      <w:pPr>
        <w:pStyle w:val="76"/>
        <w:snapToGrid w:val="0"/>
        <w:spacing w:line="48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17. 提交响应文件截止时间</w:t>
      </w:r>
    </w:p>
    <w:p>
      <w:pPr>
        <w:pStyle w:val="76"/>
        <w:spacing w:line="480" w:lineRule="exact"/>
        <w:ind w:firstLine="480" w:firstLineChars="200"/>
        <w:rPr>
          <w:rFonts w:hint="eastAsia" w:ascii="仿宋_GB2312" w:hAnsi="仿宋_GB2312" w:eastAsia="仿宋_GB2312" w:cs="仿宋_GB2312"/>
          <w:snapToGrid/>
          <w:color w:val="auto"/>
          <w:kern w:val="0"/>
          <w:sz w:val="24"/>
          <w:szCs w:val="24"/>
          <w:highlight w:val="none"/>
        </w:rPr>
      </w:pPr>
      <w:r>
        <w:rPr>
          <w:rFonts w:hint="eastAsia" w:ascii="仿宋_GB2312" w:hAnsi="仿宋_GB2312" w:eastAsia="仿宋_GB2312" w:cs="仿宋_GB2312"/>
          <w:snapToGrid/>
          <w:color w:val="auto"/>
          <w:kern w:val="0"/>
          <w:sz w:val="24"/>
          <w:szCs w:val="24"/>
          <w:highlight w:val="none"/>
        </w:rPr>
        <w:t>17.1响应文件须按照谈判文件规定的谈判时间、地点</w:t>
      </w:r>
      <w:r>
        <w:rPr>
          <w:rFonts w:hint="eastAsia" w:ascii="仿宋_GB2312" w:hAnsi="仿宋_GB2312" w:eastAsia="仿宋_GB2312" w:cs="仿宋_GB2312"/>
          <w:snapToGrid/>
          <w:color w:val="auto"/>
          <w:kern w:val="0"/>
          <w:sz w:val="24"/>
          <w:szCs w:val="24"/>
          <w:highlight w:val="none"/>
          <w:lang w:val="en-US" w:eastAsia="zh-CN"/>
        </w:rPr>
        <w:t>提交</w:t>
      </w:r>
      <w:r>
        <w:rPr>
          <w:rFonts w:hint="eastAsia" w:ascii="仿宋_GB2312" w:hAnsi="仿宋_GB2312" w:eastAsia="仿宋_GB2312" w:cs="仿宋_GB2312"/>
          <w:snapToGrid/>
          <w:color w:val="auto"/>
          <w:kern w:val="0"/>
          <w:sz w:val="24"/>
          <w:szCs w:val="24"/>
          <w:highlight w:val="none"/>
        </w:rPr>
        <w:t>，在响应文件提交截止时间以后</w:t>
      </w:r>
      <w:r>
        <w:rPr>
          <w:rFonts w:hint="eastAsia" w:ascii="仿宋_GB2312" w:hAnsi="仿宋_GB2312" w:eastAsia="仿宋_GB2312" w:cs="仿宋_GB2312"/>
          <w:snapToGrid/>
          <w:color w:val="auto"/>
          <w:kern w:val="0"/>
          <w:sz w:val="24"/>
          <w:szCs w:val="24"/>
          <w:highlight w:val="none"/>
          <w:lang w:val="en-US" w:eastAsia="zh-CN"/>
        </w:rPr>
        <w:t>提交</w:t>
      </w:r>
      <w:r>
        <w:rPr>
          <w:rFonts w:hint="eastAsia" w:ascii="仿宋_GB2312" w:hAnsi="仿宋_GB2312" w:eastAsia="仿宋_GB2312" w:cs="仿宋_GB2312"/>
          <w:snapToGrid/>
          <w:color w:val="auto"/>
          <w:kern w:val="0"/>
          <w:sz w:val="24"/>
          <w:szCs w:val="24"/>
          <w:highlight w:val="none"/>
        </w:rPr>
        <w:t>的响应文件，</w:t>
      </w:r>
      <w:r>
        <w:rPr>
          <w:rFonts w:hint="eastAsia" w:ascii="仿宋_GB2312" w:hAnsi="仿宋_GB2312" w:eastAsia="仿宋_GB2312" w:cs="仿宋_GB2312"/>
          <w:snapToGrid/>
          <w:color w:val="auto"/>
          <w:kern w:val="0"/>
          <w:sz w:val="24"/>
          <w:szCs w:val="24"/>
          <w:highlight w:val="none"/>
          <w:lang w:eastAsia="zh-CN"/>
        </w:rPr>
        <w:t>采购代理机构</w:t>
      </w:r>
      <w:r>
        <w:rPr>
          <w:rFonts w:hint="eastAsia" w:ascii="仿宋_GB2312" w:hAnsi="仿宋_GB2312" w:eastAsia="仿宋_GB2312" w:cs="仿宋_GB2312"/>
          <w:snapToGrid/>
          <w:color w:val="auto"/>
          <w:kern w:val="0"/>
          <w:sz w:val="24"/>
          <w:szCs w:val="24"/>
          <w:highlight w:val="none"/>
        </w:rPr>
        <w:t>拒绝接收。</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根据本须知的规定，通过修改谈判文件或自行决定延长首次响应文件截止日期的，采购人和谈判供应商受提交截止日期制约的所有权利和义务均延长至新的截止日期。</w:t>
      </w:r>
    </w:p>
    <w:p>
      <w:pPr>
        <w:pStyle w:val="76"/>
        <w:snapToGrid w:val="0"/>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18．响应文件的补充、修改和撤回</w:t>
      </w:r>
    </w:p>
    <w:p>
      <w:pPr>
        <w:pStyle w:val="76"/>
        <w:snapToGrid w:val="0"/>
        <w:spacing w:line="48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18.1</w:t>
      </w:r>
      <w:r>
        <w:rPr>
          <w:rFonts w:hint="eastAsia" w:ascii="仿宋_GB2312" w:hAnsi="仿宋_GB2312" w:eastAsia="仿宋_GB2312" w:cs="仿宋_GB2312"/>
          <w:color w:val="auto"/>
          <w:sz w:val="24"/>
          <w:szCs w:val="24"/>
          <w:highlight w:val="none"/>
        </w:rPr>
        <w:t>谈判供应商</w:t>
      </w:r>
      <w:r>
        <w:rPr>
          <w:rFonts w:hint="eastAsia" w:ascii="仿宋_GB2312" w:hAnsi="仿宋_GB2312" w:eastAsia="仿宋_GB2312" w:cs="仿宋_GB2312"/>
          <w:color w:val="auto"/>
          <w:kern w:val="0"/>
          <w:sz w:val="24"/>
          <w:szCs w:val="24"/>
          <w:highlight w:val="none"/>
        </w:rPr>
        <w:t>在递交截止时间前，可对</w:t>
      </w:r>
      <w:r>
        <w:rPr>
          <w:rFonts w:hint="eastAsia" w:ascii="仿宋_GB2312" w:hAnsi="仿宋_GB2312" w:eastAsia="仿宋_GB2312" w:cs="仿宋_GB2312"/>
          <w:color w:val="auto"/>
          <w:sz w:val="24"/>
          <w:szCs w:val="24"/>
          <w:highlight w:val="none"/>
        </w:rPr>
        <w:t>响应文件</w:t>
      </w:r>
      <w:r>
        <w:rPr>
          <w:rFonts w:hint="eastAsia" w:ascii="仿宋_GB2312" w:hAnsi="仿宋_GB2312" w:eastAsia="仿宋_GB2312" w:cs="仿宋_GB2312"/>
          <w:color w:val="auto"/>
          <w:kern w:val="0"/>
          <w:sz w:val="24"/>
          <w:szCs w:val="24"/>
          <w:highlight w:val="none"/>
        </w:rPr>
        <w:t>进行补充、修改或者撤回。</w:t>
      </w:r>
    </w:p>
    <w:p>
      <w:pPr>
        <w:pStyle w:val="8"/>
        <w:numPr>
          <w:ilvl w:val="0"/>
          <w:numId w:val="2"/>
        </w:numPr>
        <w:spacing w:line="240" w:lineRule="auto"/>
        <w:rPr>
          <w:rFonts w:hint="eastAsia" w:ascii="宋体" w:hAnsi="宋体" w:eastAsia="宋体" w:cs="宋体"/>
          <w:color w:val="auto"/>
          <w:sz w:val="22"/>
          <w:szCs w:val="22"/>
          <w:highlight w:val="none"/>
        </w:rPr>
      </w:pPr>
      <w:bookmarkStart w:id="55" w:name="_Toc51232710"/>
      <w:bookmarkStart w:id="56" w:name="_Toc43363074"/>
      <w:bookmarkStart w:id="57" w:name="_Toc44690603"/>
      <w:bookmarkStart w:id="58" w:name="_Toc26867754"/>
      <w:bookmarkStart w:id="59" w:name="_Toc30890"/>
      <w:bookmarkStart w:id="60" w:name="_Toc44690677"/>
      <w:r>
        <w:rPr>
          <w:rFonts w:hint="eastAsia" w:ascii="宋体" w:hAnsi="宋体" w:eastAsia="宋体" w:cs="宋体"/>
          <w:color w:val="auto"/>
          <w:sz w:val="22"/>
          <w:szCs w:val="22"/>
          <w:highlight w:val="none"/>
        </w:rPr>
        <w:t>谈判采购程序</w:t>
      </w:r>
      <w:bookmarkEnd w:id="55"/>
      <w:bookmarkEnd w:id="56"/>
      <w:bookmarkEnd w:id="57"/>
      <w:bookmarkEnd w:id="58"/>
      <w:bookmarkEnd w:id="59"/>
      <w:bookmarkEnd w:id="60"/>
    </w:p>
    <w:p>
      <w:pPr>
        <w:spacing w:line="460" w:lineRule="exact"/>
        <w:ind w:firstLine="494" w:firstLineChars="206"/>
        <w:rPr>
          <w:rFonts w:hint="eastAsia" w:ascii="仿宋_GB2312" w:hAnsi="仿宋_GB2312" w:eastAsia="仿宋_GB2312" w:cs="仿宋_GB2312"/>
          <w:b w:val="0"/>
          <w:bCs w:val="0"/>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szCs w:val="24"/>
          <w:highlight w:val="none"/>
          <w:lang w:val="en-US" w:eastAsia="zh-CN"/>
        </w:rPr>
        <w:t>19 开启</w:t>
      </w:r>
    </w:p>
    <w:p>
      <w:pPr>
        <w:spacing w:line="460" w:lineRule="exact"/>
        <w:ind w:firstLine="494" w:firstLineChars="20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19.1 开启会议</w:t>
      </w:r>
      <w:r>
        <w:rPr>
          <w:rFonts w:hint="eastAsia" w:ascii="仿宋_GB2312" w:hAnsi="仿宋_GB2312" w:eastAsia="仿宋_GB2312" w:cs="仿宋_GB2312"/>
          <w:color w:val="auto"/>
          <w:kern w:val="0"/>
          <w:sz w:val="24"/>
          <w:szCs w:val="24"/>
          <w:highlight w:val="none"/>
        </w:rPr>
        <w:t>由</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kern w:val="0"/>
          <w:sz w:val="24"/>
          <w:szCs w:val="24"/>
          <w:highlight w:val="none"/>
          <w:lang w:val="en-US" w:eastAsia="zh-CN"/>
        </w:rPr>
        <w:t>工作人员</w:t>
      </w:r>
      <w:r>
        <w:rPr>
          <w:rFonts w:hint="eastAsia" w:ascii="仿宋_GB2312" w:hAnsi="仿宋_GB2312" w:eastAsia="仿宋_GB2312" w:cs="仿宋_GB2312"/>
          <w:color w:val="auto"/>
          <w:kern w:val="0"/>
          <w:sz w:val="24"/>
          <w:szCs w:val="24"/>
          <w:highlight w:val="none"/>
        </w:rPr>
        <w:t>主持并在</w:t>
      </w:r>
      <w:r>
        <w:rPr>
          <w:rFonts w:hint="eastAsia" w:ascii="仿宋_GB2312" w:hAnsi="仿宋_GB2312" w:eastAsia="仿宋_GB2312" w:cs="仿宋_GB2312"/>
          <w:color w:val="auto"/>
          <w:kern w:val="0"/>
          <w:sz w:val="24"/>
          <w:szCs w:val="24"/>
          <w:highlight w:val="none"/>
          <w:lang w:val="en-US" w:eastAsia="zh-CN"/>
        </w:rPr>
        <w:t>第一部分谈判</w:t>
      </w:r>
      <w:r>
        <w:rPr>
          <w:rFonts w:hint="eastAsia" w:ascii="仿宋_GB2312" w:hAnsi="仿宋_GB2312" w:eastAsia="仿宋_GB2312" w:cs="仿宋_GB2312"/>
          <w:color w:val="auto"/>
          <w:kern w:val="0"/>
          <w:sz w:val="24"/>
          <w:szCs w:val="24"/>
          <w:highlight w:val="none"/>
        </w:rPr>
        <w:t>邀请中规定的日期、时间和地点组织公开</w:t>
      </w:r>
      <w:r>
        <w:rPr>
          <w:rFonts w:hint="eastAsia" w:ascii="仿宋_GB2312" w:hAnsi="仿宋_GB2312" w:eastAsia="仿宋_GB2312" w:cs="仿宋_GB2312"/>
          <w:color w:val="auto"/>
          <w:kern w:val="0"/>
          <w:sz w:val="24"/>
          <w:szCs w:val="24"/>
          <w:highlight w:val="none"/>
          <w:lang w:val="en-US" w:eastAsia="zh-CN"/>
        </w:rPr>
        <w:t>开启</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en-US" w:eastAsia="zh-CN"/>
        </w:rPr>
        <w:t>供应商</w:t>
      </w:r>
      <w:r>
        <w:rPr>
          <w:rFonts w:hint="eastAsia" w:ascii="仿宋_GB2312" w:hAnsi="仿宋_GB2312" w:eastAsia="仿宋_GB2312" w:cs="仿宋_GB2312"/>
          <w:color w:val="auto"/>
          <w:kern w:val="0"/>
          <w:sz w:val="24"/>
          <w:szCs w:val="24"/>
          <w:highlight w:val="none"/>
        </w:rPr>
        <w:t>的法定代表人或其授权人</w:t>
      </w:r>
      <w:r>
        <w:rPr>
          <w:rFonts w:hint="eastAsia" w:ascii="仿宋_GB2312" w:hAnsi="仿宋_GB2312" w:eastAsia="仿宋_GB2312" w:cs="仿宋_GB2312"/>
          <w:color w:val="auto"/>
          <w:kern w:val="0"/>
          <w:sz w:val="24"/>
          <w:szCs w:val="24"/>
          <w:highlight w:val="none"/>
          <w:lang w:val="en-US" w:eastAsia="zh-CN"/>
        </w:rPr>
        <w:t>在政采云线上</w:t>
      </w:r>
      <w:r>
        <w:rPr>
          <w:rFonts w:hint="eastAsia" w:ascii="仿宋_GB2312" w:hAnsi="仿宋_GB2312" w:eastAsia="仿宋_GB2312" w:cs="仿宋_GB2312"/>
          <w:color w:val="auto"/>
          <w:kern w:val="0"/>
          <w:sz w:val="24"/>
          <w:szCs w:val="24"/>
          <w:highlight w:val="none"/>
        </w:rPr>
        <w:t>参加</w:t>
      </w:r>
      <w:r>
        <w:rPr>
          <w:rFonts w:hint="eastAsia" w:ascii="仿宋_GB2312" w:hAnsi="仿宋_GB2312" w:eastAsia="仿宋_GB2312" w:cs="仿宋_GB2312"/>
          <w:color w:val="auto"/>
          <w:kern w:val="0"/>
          <w:sz w:val="24"/>
          <w:szCs w:val="24"/>
          <w:highlight w:val="none"/>
          <w:lang w:val="en-US" w:eastAsia="zh-CN"/>
        </w:rPr>
        <w:t>开启会议</w:t>
      </w:r>
      <w:r>
        <w:rPr>
          <w:rFonts w:hint="eastAsia" w:ascii="仿宋_GB2312" w:hAnsi="仿宋_GB2312" w:eastAsia="仿宋_GB2312" w:cs="仿宋_GB2312"/>
          <w:color w:val="auto"/>
          <w:kern w:val="0"/>
          <w:sz w:val="24"/>
          <w:szCs w:val="24"/>
          <w:highlight w:val="none"/>
        </w:rPr>
        <w:t>。</w:t>
      </w:r>
    </w:p>
    <w:p>
      <w:pPr>
        <w:spacing w:line="460" w:lineRule="exact"/>
        <w:ind w:firstLine="494" w:firstLineChars="20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19.2 开启</w:t>
      </w:r>
      <w:r>
        <w:rPr>
          <w:rFonts w:hint="eastAsia" w:ascii="仿宋_GB2312" w:hAnsi="仿宋_GB2312" w:eastAsia="仿宋_GB2312" w:cs="仿宋_GB2312"/>
          <w:color w:val="auto"/>
          <w:kern w:val="0"/>
          <w:sz w:val="24"/>
          <w:szCs w:val="24"/>
          <w:highlight w:val="none"/>
        </w:rPr>
        <w:t>时，应当由</w:t>
      </w:r>
      <w:r>
        <w:rPr>
          <w:rFonts w:hint="eastAsia" w:ascii="仿宋_GB2312" w:hAnsi="仿宋_GB2312" w:eastAsia="仿宋_GB2312" w:cs="仿宋_GB2312"/>
          <w:color w:val="auto"/>
          <w:kern w:val="0"/>
          <w:sz w:val="24"/>
          <w:szCs w:val="24"/>
          <w:highlight w:val="none"/>
          <w:lang w:val="en-US" w:eastAsia="zh-CN"/>
        </w:rPr>
        <w:t>各</w:t>
      </w:r>
      <w:r>
        <w:rPr>
          <w:rFonts w:hint="eastAsia" w:ascii="仿宋_GB2312" w:hAnsi="仿宋_GB2312" w:eastAsia="仿宋_GB2312" w:cs="仿宋_GB2312"/>
          <w:color w:val="auto"/>
          <w:kern w:val="0"/>
          <w:sz w:val="24"/>
          <w:szCs w:val="24"/>
          <w:highlight w:val="none"/>
        </w:rPr>
        <w:t>供应商</w:t>
      </w:r>
      <w:r>
        <w:rPr>
          <w:rFonts w:hint="eastAsia" w:ascii="仿宋_GB2312" w:hAnsi="仿宋_GB2312" w:eastAsia="仿宋_GB2312" w:cs="仿宋_GB2312"/>
          <w:color w:val="auto"/>
          <w:kern w:val="0"/>
          <w:sz w:val="24"/>
          <w:szCs w:val="24"/>
          <w:highlight w:val="none"/>
          <w:lang w:val="en-US" w:eastAsia="zh-CN"/>
        </w:rPr>
        <w:t>进行解密</w:t>
      </w:r>
      <w:r>
        <w:rPr>
          <w:rFonts w:hint="eastAsia" w:ascii="仿宋_GB2312" w:hAnsi="仿宋_GB2312" w:eastAsia="仿宋_GB2312" w:cs="仿宋_GB2312"/>
          <w:color w:val="auto"/>
          <w:kern w:val="0"/>
          <w:sz w:val="24"/>
          <w:szCs w:val="24"/>
          <w:highlight w:val="none"/>
        </w:rPr>
        <w:t xml:space="preserve">。 </w:t>
      </w:r>
    </w:p>
    <w:p>
      <w:pPr>
        <w:spacing w:line="460" w:lineRule="exact"/>
        <w:ind w:firstLine="494" w:firstLineChars="20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 xml:space="preserve">19.3 </w:t>
      </w:r>
      <w:r>
        <w:rPr>
          <w:rFonts w:hint="eastAsia" w:ascii="仿宋_GB2312" w:hAnsi="仿宋_GB2312" w:eastAsia="仿宋_GB2312" w:cs="仿宋_GB2312"/>
          <w:color w:val="auto"/>
          <w:kern w:val="0"/>
          <w:sz w:val="24"/>
          <w:szCs w:val="24"/>
          <w:highlight w:val="none"/>
        </w:rPr>
        <w:t>供应商代表对</w:t>
      </w:r>
      <w:r>
        <w:rPr>
          <w:rFonts w:hint="eastAsia" w:ascii="仿宋_GB2312" w:hAnsi="仿宋_GB2312" w:eastAsia="仿宋_GB2312" w:cs="仿宋_GB2312"/>
          <w:color w:val="auto"/>
          <w:kern w:val="0"/>
          <w:sz w:val="24"/>
          <w:szCs w:val="24"/>
          <w:highlight w:val="none"/>
          <w:lang w:val="en-US" w:eastAsia="zh-CN"/>
        </w:rPr>
        <w:t>开启</w:t>
      </w:r>
      <w:r>
        <w:rPr>
          <w:rFonts w:hint="eastAsia" w:ascii="仿宋_GB2312" w:hAnsi="仿宋_GB2312" w:eastAsia="仿宋_GB2312" w:cs="仿宋_GB2312"/>
          <w:color w:val="auto"/>
          <w:kern w:val="0"/>
          <w:sz w:val="24"/>
          <w:szCs w:val="24"/>
          <w:highlight w:val="none"/>
        </w:rPr>
        <w:t>过程和</w:t>
      </w:r>
      <w:r>
        <w:rPr>
          <w:rFonts w:hint="eastAsia" w:ascii="仿宋_GB2312" w:hAnsi="仿宋_GB2312" w:eastAsia="仿宋_GB2312" w:cs="仿宋_GB2312"/>
          <w:color w:val="auto"/>
          <w:kern w:val="0"/>
          <w:sz w:val="24"/>
          <w:szCs w:val="24"/>
          <w:highlight w:val="none"/>
          <w:lang w:val="en-US" w:eastAsia="zh-CN"/>
        </w:rPr>
        <w:t>开启</w:t>
      </w:r>
      <w:r>
        <w:rPr>
          <w:rFonts w:hint="eastAsia" w:ascii="仿宋_GB2312" w:hAnsi="仿宋_GB2312" w:eastAsia="仿宋_GB2312" w:cs="仿宋_GB2312"/>
          <w:color w:val="auto"/>
          <w:kern w:val="0"/>
          <w:sz w:val="24"/>
          <w:szCs w:val="24"/>
          <w:highlight w:val="none"/>
        </w:rPr>
        <w:t>记录有疑问，以及认为采购人、</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kern w:val="0"/>
          <w:sz w:val="24"/>
          <w:szCs w:val="24"/>
          <w:highlight w:val="none"/>
        </w:rPr>
        <w:t>相关工作人员有需要回避的情形的，应当场提出询问或者回避申请。采购人、</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kern w:val="0"/>
          <w:sz w:val="24"/>
          <w:szCs w:val="24"/>
          <w:highlight w:val="none"/>
          <w:lang w:val="en-US" w:eastAsia="zh-CN"/>
        </w:rPr>
        <w:t>工作人员</w:t>
      </w:r>
      <w:r>
        <w:rPr>
          <w:rFonts w:hint="eastAsia" w:ascii="仿宋_GB2312" w:hAnsi="仿宋_GB2312" w:eastAsia="仿宋_GB2312" w:cs="仿宋_GB2312"/>
          <w:color w:val="auto"/>
          <w:kern w:val="0"/>
          <w:sz w:val="24"/>
          <w:szCs w:val="24"/>
          <w:highlight w:val="none"/>
        </w:rPr>
        <w:t xml:space="preserve">对供应商代表提出的询问或者回避申请应当及时处理。 </w:t>
      </w:r>
    </w:p>
    <w:p>
      <w:pPr>
        <w:spacing w:line="460" w:lineRule="exact"/>
        <w:ind w:firstLine="494" w:firstLineChars="20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19.4 开启</w:t>
      </w:r>
      <w:r>
        <w:rPr>
          <w:rFonts w:hint="eastAsia" w:ascii="仿宋_GB2312" w:hAnsi="仿宋_GB2312" w:eastAsia="仿宋_GB2312" w:cs="仿宋_GB2312"/>
          <w:color w:val="auto"/>
          <w:kern w:val="0"/>
          <w:sz w:val="24"/>
          <w:szCs w:val="24"/>
          <w:highlight w:val="none"/>
        </w:rPr>
        <w:t>过程应由</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kern w:val="0"/>
          <w:sz w:val="24"/>
          <w:szCs w:val="24"/>
          <w:highlight w:val="none"/>
          <w:lang w:val="en-US" w:eastAsia="zh-CN"/>
        </w:rPr>
        <w:t>工作人员</w:t>
      </w:r>
      <w:r>
        <w:rPr>
          <w:rFonts w:hint="eastAsia" w:ascii="仿宋_GB2312" w:hAnsi="仿宋_GB2312" w:eastAsia="仿宋_GB2312" w:cs="仿宋_GB2312"/>
          <w:color w:val="auto"/>
          <w:kern w:val="0"/>
          <w:sz w:val="24"/>
          <w:szCs w:val="24"/>
          <w:highlight w:val="none"/>
        </w:rPr>
        <w:t>负责记录，由参加</w:t>
      </w:r>
      <w:r>
        <w:rPr>
          <w:rFonts w:hint="eastAsia" w:ascii="仿宋_GB2312" w:hAnsi="仿宋_GB2312" w:eastAsia="仿宋_GB2312" w:cs="仿宋_GB2312"/>
          <w:color w:val="auto"/>
          <w:kern w:val="0"/>
          <w:sz w:val="24"/>
          <w:szCs w:val="24"/>
          <w:highlight w:val="none"/>
          <w:lang w:val="en-US" w:eastAsia="zh-CN"/>
        </w:rPr>
        <w:t>开启会议</w:t>
      </w:r>
      <w:r>
        <w:rPr>
          <w:rFonts w:hint="eastAsia" w:ascii="仿宋_GB2312" w:hAnsi="仿宋_GB2312" w:eastAsia="仿宋_GB2312" w:cs="仿宋_GB2312"/>
          <w:color w:val="auto"/>
          <w:kern w:val="0"/>
          <w:sz w:val="24"/>
          <w:szCs w:val="24"/>
          <w:highlight w:val="none"/>
        </w:rPr>
        <w:t>的各供应商代表</w:t>
      </w:r>
      <w:r>
        <w:rPr>
          <w:rFonts w:hint="eastAsia" w:ascii="仿宋_GB2312" w:hAnsi="仿宋_GB2312" w:eastAsia="仿宋_GB2312" w:cs="仿宋_GB2312"/>
          <w:color w:val="auto"/>
          <w:kern w:val="0"/>
          <w:sz w:val="24"/>
          <w:szCs w:val="24"/>
          <w:highlight w:val="none"/>
          <w:lang w:val="en-US" w:eastAsia="zh-CN"/>
        </w:rPr>
        <w:t>在线</w:t>
      </w:r>
      <w:r>
        <w:rPr>
          <w:rFonts w:hint="eastAsia" w:ascii="仿宋_GB2312" w:hAnsi="仿宋_GB2312" w:eastAsia="仿宋_GB2312" w:cs="仿宋_GB2312"/>
          <w:color w:val="auto"/>
          <w:kern w:val="0"/>
          <w:sz w:val="24"/>
          <w:szCs w:val="24"/>
          <w:highlight w:val="none"/>
        </w:rPr>
        <w:t>签字确认后随采购文件一并存档。</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★20 资格审查</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20.1 采购人在开启会议结束后</w:t>
      </w:r>
      <w:r>
        <w:rPr>
          <w:rFonts w:hint="eastAsia" w:ascii="仿宋_GB2312" w:hAnsi="仿宋_GB2312" w:eastAsia="仿宋_GB2312" w:cs="仿宋_GB2312"/>
          <w:b w:val="0"/>
          <w:bCs w:val="0"/>
          <w:color w:val="auto"/>
          <w:sz w:val="24"/>
          <w:szCs w:val="24"/>
          <w:highlight w:val="none"/>
        </w:rPr>
        <w:t>依法对供应商资格进行审查。资格审查是审查供应商</w:t>
      </w:r>
      <w:r>
        <w:rPr>
          <w:rFonts w:hint="eastAsia" w:ascii="仿宋_GB2312" w:hAnsi="仿宋_GB2312" w:eastAsia="仿宋_GB2312" w:cs="仿宋_GB2312"/>
          <w:b w:val="0"/>
          <w:bCs w:val="0"/>
          <w:color w:val="auto"/>
          <w:sz w:val="24"/>
          <w:szCs w:val="24"/>
          <w:highlight w:val="none"/>
          <w:lang w:val="en-US" w:eastAsia="zh-CN"/>
        </w:rPr>
        <w:t>资格证明</w:t>
      </w:r>
      <w:r>
        <w:rPr>
          <w:rFonts w:hint="eastAsia" w:ascii="仿宋_GB2312" w:hAnsi="仿宋_GB2312" w:eastAsia="仿宋_GB2312" w:cs="仿宋_GB2312"/>
          <w:b w:val="0"/>
          <w:bCs w:val="0"/>
          <w:color w:val="auto"/>
          <w:sz w:val="24"/>
          <w:szCs w:val="24"/>
          <w:highlight w:val="none"/>
        </w:rPr>
        <w:t>文件是否对</w:t>
      </w:r>
      <w:r>
        <w:rPr>
          <w:rFonts w:hint="eastAsia" w:ascii="仿宋_GB2312" w:hAnsi="仿宋_GB2312" w:eastAsia="仿宋_GB2312" w:cs="仿宋_GB2312"/>
          <w:b w:val="0"/>
          <w:bCs w:val="0"/>
          <w:color w:val="auto"/>
          <w:sz w:val="24"/>
          <w:szCs w:val="24"/>
          <w:highlight w:val="none"/>
          <w:lang w:val="en-US" w:eastAsia="zh-CN"/>
        </w:rPr>
        <w:t>谈判</w:t>
      </w:r>
      <w:r>
        <w:rPr>
          <w:rFonts w:hint="eastAsia" w:ascii="仿宋_GB2312" w:hAnsi="仿宋_GB2312" w:eastAsia="仿宋_GB2312" w:cs="仿宋_GB2312"/>
          <w:b w:val="0"/>
          <w:bCs w:val="0"/>
          <w:color w:val="auto"/>
          <w:sz w:val="24"/>
          <w:szCs w:val="24"/>
          <w:highlight w:val="none"/>
        </w:rPr>
        <w:t>文件</w:t>
      </w:r>
      <w:r>
        <w:rPr>
          <w:rFonts w:hint="eastAsia" w:ascii="仿宋_GB2312" w:hAnsi="仿宋_GB2312" w:eastAsia="仿宋_GB2312" w:cs="仿宋_GB2312"/>
          <w:b w:val="0"/>
          <w:bCs w:val="0"/>
          <w:color w:val="auto"/>
          <w:sz w:val="24"/>
          <w:szCs w:val="24"/>
          <w:highlight w:val="none"/>
          <w:lang w:val="en-US" w:eastAsia="zh-CN"/>
        </w:rPr>
        <w:t>资格条件</w:t>
      </w:r>
      <w:r>
        <w:rPr>
          <w:rFonts w:hint="eastAsia" w:ascii="仿宋_GB2312" w:hAnsi="仿宋_GB2312" w:eastAsia="仿宋_GB2312" w:cs="仿宋_GB2312"/>
          <w:b w:val="0"/>
          <w:bCs w:val="0"/>
          <w:color w:val="auto"/>
          <w:sz w:val="24"/>
          <w:szCs w:val="24"/>
          <w:highlight w:val="none"/>
        </w:rPr>
        <w:t>作出实质性的响应，审查细则详见</w:t>
      </w:r>
      <w:r>
        <w:rPr>
          <w:rFonts w:hint="eastAsia" w:ascii="仿宋_GB2312" w:hAnsi="仿宋_GB2312" w:eastAsia="仿宋_GB2312" w:cs="仿宋_GB2312"/>
          <w:b w:val="0"/>
          <w:bCs w:val="0"/>
          <w:color w:val="auto"/>
          <w:sz w:val="24"/>
          <w:szCs w:val="24"/>
          <w:highlight w:val="none"/>
          <w:lang w:val="en-US" w:eastAsia="zh-CN"/>
        </w:rPr>
        <w:t>谈判文件第五部分：《资格性审查表》</w:t>
      </w:r>
      <w:r>
        <w:rPr>
          <w:rFonts w:hint="eastAsia" w:ascii="仿宋_GB2312" w:hAnsi="仿宋_GB2312" w:eastAsia="仿宋_GB2312" w:cs="仿宋_GB2312"/>
          <w:b w:val="0"/>
          <w:bCs w:val="0"/>
          <w:color w:val="auto"/>
          <w:sz w:val="24"/>
          <w:szCs w:val="24"/>
          <w:highlight w:val="none"/>
        </w:rPr>
        <w:t xml:space="preserve">。 </w:t>
      </w:r>
    </w:p>
    <w:p>
      <w:pPr>
        <w:pStyle w:val="8"/>
        <w:spacing w:line="46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b/>
          <w:bCs/>
          <w:color w:val="auto"/>
          <w:kern w:val="0"/>
          <w:sz w:val="24"/>
          <w:szCs w:val="24"/>
          <w:highlight w:val="none"/>
        </w:rPr>
        <w:t xml:space="preserve"> </w:t>
      </w:r>
      <w:bookmarkStart w:id="61" w:name="_Toc51232711"/>
      <w:bookmarkStart w:id="62" w:name="_Toc44690604"/>
      <w:bookmarkStart w:id="63" w:name="_Toc43363075"/>
      <w:bookmarkStart w:id="64" w:name="_Toc22183"/>
      <w:bookmarkStart w:id="65" w:name="_Toc44690678"/>
      <w:r>
        <w:rPr>
          <w:rFonts w:hint="eastAsia" w:ascii="仿宋_GB2312" w:hAnsi="仿宋_GB2312" w:eastAsia="仿宋_GB2312" w:cs="仿宋_GB2312"/>
          <w:bCs/>
          <w:color w:val="auto"/>
          <w:kern w:val="0"/>
          <w:sz w:val="24"/>
          <w:szCs w:val="24"/>
          <w:highlight w:val="none"/>
          <w:lang w:val="en-US" w:eastAsia="zh-CN"/>
        </w:rPr>
        <w:t>21</w:t>
      </w:r>
      <w:r>
        <w:rPr>
          <w:rFonts w:hint="eastAsia" w:ascii="仿宋_GB2312" w:hAnsi="仿宋_GB2312" w:eastAsia="仿宋_GB2312" w:cs="仿宋_GB2312"/>
          <w:bCs/>
          <w:color w:val="auto"/>
          <w:kern w:val="0"/>
          <w:sz w:val="24"/>
          <w:szCs w:val="24"/>
          <w:highlight w:val="none"/>
        </w:rPr>
        <w:t xml:space="preserve"> 成立谈判小组</w:t>
      </w:r>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1评标由依法组建的谈判小组负责。谈判小组由采购人代表和评审专家共3人以上单数组成，其中评审专家人数不得少于谈判小组总数的2/3。采购人不得以评审专家身份参加本部门或本单位采购项目的评审。采购代理机构人员不得参加本机构代理的采购项目的评审。</w:t>
      </w:r>
    </w:p>
    <w:p>
      <w:pPr>
        <w:pStyle w:val="76"/>
        <w:snapToGrid w:val="0"/>
        <w:spacing w:line="46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.2 谈判小组负责完成具体的谈判评审事务</w:t>
      </w:r>
      <w:r>
        <w:rPr>
          <w:rFonts w:hint="eastAsia" w:ascii="仿宋_GB2312" w:hAnsi="仿宋_GB2312" w:eastAsia="仿宋_GB2312" w:cs="仿宋_GB2312"/>
          <w:b w:val="0"/>
          <w:color w:val="auto"/>
          <w:sz w:val="24"/>
          <w:szCs w:val="24"/>
          <w:highlight w:val="none"/>
        </w:rPr>
        <w:t>，</w:t>
      </w:r>
      <w:r>
        <w:rPr>
          <w:rFonts w:hint="eastAsia" w:ascii="仿宋_GB2312" w:hAnsi="仿宋_GB2312" w:eastAsia="仿宋_GB2312" w:cs="仿宋_GB2312"/>
          <w:color w:val="auto"/>
          <w:sz w:val="24"/>
          <w:szCs w:val="24"/>
          <w:highlight w:val="none"/>
        </w:rPr>
        <w:t>提出经谈判小组签字的谈判评审报告。</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.3 谈判活动的组织工作由</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 xml:space="preserve">负责。 </w:t>
      </w:r>
    </w:p>
    <w:p>
      <w:pPr>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2</w:t>
      </w:r>
      <w:r>
        <w:rPr>
          <w:rFonts w:hint="eastAsia" w:ascii="仿宋_GB2312" w:hAnsi="仿宋_GB2312" w:eastAsia="仿宋_GB2312" w:cs="仿宋_GB2312"/>
          <w:b w:val="0"/>
          <w:color w:val="auto"/>
          <w:sz w:val="24"/>
          <w:szCs w:val="24"/>
          <w:highlight w:val="none"/>
        </w:rPr>
        <w:t>. 确认谈判文件</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谈判小组对本谈判文件规定的谈判程序、谈判内容、合同草案的条款以及评定成交的标准等事项进行书面确认。</w:t>
      </w:r>
    </w:p>
    <w:p>
      <w:pPr>
        <w:pStyle w:val="76"/>
        <w:snapToGrid w:val="0"/>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3</w:t>
      </w:r>
      <w:r>
        <w:rPr>
          <w:rFonts w:hint="eastAsia" w:ascii="仿宋_GB2312" w:hAnsi="仿宋_GB2312" w:eastAsia="仿宋_GB2312" w:cs="仿宋_GB2312"/>
          <w:b w:val="0"/>
          <w:color w:val="auto"/>
          <w:sz w:val="24"/>
          <w:szCs w:val="24"/>
          <w:highlight w:val="none"/>
        </w:rPr>
        <w:t>. 响应文件审查</w:t>
      </w:r>
    </w:p>
    <w:p>
      <w:pPr>
        <w:pStyle w:val="76"/>
        <w:snapToGrid w:val="0"/>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.1谈判小组进行有效性、完整性、响应程度审查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符合性审查</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，应严格遵循本文件第</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rPr>
        <w:t>部分</w:t>
      </w:r>
      <w:r>
        <w:rPr>
          <w:rFonts w:hint="eastAsia" w:ascii="仿宋_GB2312" w:hAnsi="仿宋_GB2312" w:eastAsia="仿宋_GB2312" w:cs="仿宋_GB2312"/>
          <w:color w:val="auto"/>
          <w:sz w:val="24"/>
          <w:szCs w:val="24"/>
          <w:highlight w:val="none"/>
          <w:lang w:eastAsia="zh-CN"/>
        </w:rPr>
        <w:t>评定和成交标准</w:t>
      </w:r>
      <w:r>
        <w:rPr>
          <w:rFonts w:hint="eastAsia" w:ascii="仿宋_GB2312" w:hAnsi="仿宋_GB2312" w:eastAsia="仿宋_GB2312" w:cs="仿宋_GB2312"/>
          <w:color w:val="auto"/>
          <w:sz w:val="24"/>
          <w:szCs w:val="24"/>
          <w:highlight w:val="none"/>
        </w:rPr>
        <w:t>中的相关规定。</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bCs w:val="0"/>
          <w:color w:val="auto"/>
          <w:sz w:val="24"/>
          <w:szCs w:val="24"/>
          <w:highlight w:val="none"/>
        </w:rPr>
        <w:t>有效性、完整性和响应程度审查，</w:t>
      </w:r>
      <w:r>
        <w:rPr>
          <w:rFonts w:hint="eastAsia" w:ascii="仿宋_GB2312" w:hAnsi="仿宋_GB2312" w:eastAsia="仿宋_GB2312" w:cs="仿宋_GB2312"/>
          <w:color w:val="auto"/>
          <w:sz w:val="24"/>
          <w:szCs w:val="24"/>
          <w:highlight w:val="none"/>
        </w:rPr>
        <w:t>由谈判小组依据谈判文件的规定进行审查，以确定响应文件是否对谈判文件的实质性要求作出响应。</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1在审查时，谈判小组可以要求供应商对响应文件中含义不明确、同类问题表述不一致或者有明显文字和计算错误的内容等作出必要的澄清、说明或者更正，谈判供应商的澄清、说明或者更正不得超出响应文件的范围或者改变响应文件的实质性内容。</w:t>
      </w:r>
    </w:p>
    <w:p>
      <w:pPr>
        <w:pStyle w:val="76"/>
        <w:snapToGrid w:val="0"/>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.2谈判小组对谈判小组提出的澄清、说明或者更正响应文件，需在谈判现场中书面提出。</w:t>
      </w:r>
    </w:p>
    <w:p>
      <w:pPr>
        <w:pStyle w:val="76"/>
        <w:snapToGrid w:val="0"/>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未实质性响应谈判文件</w:t>
      </w:r>
      <w:r>
        <w:rPr>
          <w:rFonts w:hint="eastAsia" w:ascii="仿宋_GB2312" w:hAnsi="仿宋_GB2312" w:eastAsia="仿宋_GB2312" w:cs="仿宋_GB2312"/>
          <w:bCs w:val="0"/>
          <w:color w:val="auto"/>
          <w:sz w:val="24"/>
          <w:szCs w:val="24"/>
          <w:highlight w:val="none"/>
        </w:rPr>
        <w:t>规定要求的响应文件按无效响应文件处理，</w:t>
      </w:r>
      <w:r>
        <w:rPr>
          <w:rFonts w:hint="eastAsia" w:ascii="仿宋_GB2312" w:hAnsi="仿宋_GB2312" w:eastAsia="仿宋_GB2312" w:cs="仿宋_GB2312"/>
          <w:color w:val="auto"/>
          <w:sz w:val="24"/>
          <w:szCs w:val="24"/>
          <w:highlight w:val="none"/>
        </w:rPr>
        <w:t>谈判小组将及时告知有关谈判人。</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实质性响应的响应文件是指与谈判文件的条款、条件和规格相符，根据本谈判文件规定的审查内容，经谈判小组认定的没有重大偏离或保留的响应文件。</w:t>
      </w:r>
    </w:p>
    <w:p>
      <w:pPr>
        <w:pStyle w:val="76"/>
        <w:snapToGrid w:val="0"/>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 重大偏离或保留</w:t>
      </w:r>
      <w:r>
        <w:rPr>
          <w:rFonts w:hint="eastAsia" w:ascii="仿宋_GB2312" w:hAnsi="仿宋_GB2312" w:eastAsia="仿宋_GB2312" w:cs="仿宋_GB2312"/>
          <w:color w:val="auto"/>
          <w:sz w:val="24"/>
          <w:szCs w:val="24"/>
          <w:highlight w:val="none"/>
          <w:lang w:val="en-US" w:eastAsia="zh-CN"/>
        </w:rPr>
        <w:t>是</w:t>
      </w:r>
      <w:r>
        <w:rPr>
          <w:rFonts w:hint="eastAsia" w:ascii="仿宋_GB2312" w:hAnsi="仿宋_GB2312" w:eastAsia="仿宋_GB2312" w:cs="仿宋_GB2312"/>
          <w:color w:val="auto"/>
          <w:sz w:val="24"/>
          <w:szCs w:val="24"/>
          <w:highlight w:val="none"/>
        </w:rPr>
        <w:t>指响应人提供的施工组织设计、</w:t>
      </w:r>
      <w:r>
        <w:rPr>
          <w:rFonts w:hint="eastAsia" w:ascii="仿宋_GB2312" w:hAnsi="仿宋_GB2312" w:eastAsia="仿宋_GB2312" w:cs="仿宋_GB2312"/>
          <w:color w:val="auto"/>
          <w:sz w:val="24"/>
          <w:szCs w:val="24"/>
          <w:highlight w:val="none"/>
          <w:lang w:eastAsia="zh-CN"/>
        </w:rPr>
        <w:t>采购项目需求</w:t>
      </w:r>
      <w:r>
        <w:rPr>
          <w:rFonts w:hint="eastAsia" w:ascii="仿宋_GB2312" w:hAnsi="仿宋_GB2312" w:eastAsia="仿宋_GB2312" w:cs="仿宋_GB2312"/>
          <w:color w:val="auto"/>
          <w:sz w:val="24"/>
          <w:szCs w:val="24"/>
          <w:highlight w:val="none"/>
        </w:rPr>
        <w:t>、工期、质量标准、已标价工程量清单、项目管理机构等明显不能满足谈判文件的要求，或者实质上与谈判文件不一致，而且限制了采购人的权利或谈判人的义务，纠正这些偏离或保留将对其他实质上响应要求的谈判人的竞争地位产生不公正的影响。</w:t>
      </w:r>
    </w:p>
    <w:p>
      <w:pPr>
        <w:spacing w:line="480" w:lineRule="exact"/>
        <w:ind w:firstLine="542" w:firstLineChars="226"/>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.确定参加谈判的谈判人</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.1 谈判小组按照第2</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条对谈判人提交的响应文件进行审查后，要依据谈判文件对每个符合相应资格条件，且通过有效性、完整性和响应程度审查的响应文件进行综合评估与比较，从符合相应资格条件的供应商名单中确定不少于3家的供应商参加谈判。</w:t>
      </w:r>
    </w:p>
    <w:p>
      <w:pPr>
        <w:pStyle w:val="76"/>
        <w:snapToGrid w:val="0"/>
        <w:spacing w:line="46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sz w:val="24"/>
          <w:szCs w:val="24"/>
          <w:highlight w:val="none"/>
        </w:rPr>
        <w:t>2</w:t>
      </w:r>
      <w:r>
        <w:rPr>
          <w:rFonts w:hint="eastAsia" w:ascii="仿宋_GB2312" w:hAnsi="仿宋_GB2312" w:eastAsia="仿宋_GB2312" w:cs="仿宋_GB2312"/>
          <w:bCs w:val="0"/>
          <w:color w:val="auto"/>
          <w:sz w:val="24"/>
          <w:szCs w:val="24"/>
          <w:highlight w:val="none"/>
          <w:lang w:val="en-US" w:eastAsia="zh-CN"/>
        </w:rPr>
        <w:t>4</w:t>
      </w:r>
      <w:r>
        <w:rPr>
          <w:rFonts w:hint="eastAsia" w:ascii="仿宋_GB2312" w:hAnsi="仿宋_GB2312" w:eastAsia="仿宋_GB2312" w:cs="仿宋_GB2312"/>
          <w:bCs w:val="0"/>
          <w:color w:val="auto"/>
          <w:sz w:val="24"/>
          <w:szCs w:val="24"/>
          <w:highlight w:val="none"/>
        </w:rPr>
        <w:t>.2</w:t>
      </w:r>
      <w:r>
        <w:rPr>
          <w:rFonts w:hint="eastAsia" w:ascii="仿宋_GB2312" w:hAnsi="仿宋_GB2312" w:eastAsia="仿宋_GB2312" w:cs="仿宋_GB2312"/>
          <w:color w:val="auto"/>
          <w:sz w:val="24"/>
          <w:szCs w:val="24"/>
          <w:highlight w:val="none"/>
        </w:rPr>
        <w:t>谈判小组根据本文件规定的程序、</w:t>
      </w:r>
      <w:r>
        <w:rPr>
          <w:rFonts w:hint="eastAsia" w:ascii="仿宋_GB2312" w:hAnsi="仿宋_GB2312" w:eastAsia="仿宋_GB2312" w:cs="仿宋_GB2312"/>
          <w:color w:val="auto"/>
          <w:sz w:val="24"/>
          <w:szCs w:val="24"/>
          <w:highlight w:val="none"/>
          <w:lang w:eastAsia="zh-CN"/>
        </w:rPr>
        <w:t>评定和成交标准</w:t>
      </w:r>
      <w:r>
        <w:rPr>
          <w:rFonts w:hint="eastAsia" w:ascii="仿宋_GB2312" w:hAnsi="仿宋_GB2312" w:eastAsia="仿宋_GB2312" w:cs="仿宋_GB2312"/>
          <w:color w:val="auto"/>
          <w:sz w:val="24"/>
          <w:szCs w:val="24"/>
          <w:highlight w:val="none"/>
        </w:rPr>
        <w:t>等事项与实质性响应谈判文件要求的谈判人进行谈判。</w:t>
      </w:r>
    </w:p>
    <w:p>
      <w:pPr>
        <w:pStyle w:val="76"/>
        <w:snapToGrid w:val="0"/>
        <w:spacing w:line="460" w:lineRule="exact"/>
        <w:ind w:firstLine="470" w:firstLineChars="196"/>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w:t>
      </w:r>
      <w:r>
        <w:rPr>
          <w:rFonts w:hint="eastAsia" w:ascii="仿宋_GB2312" w:hAnsi="仿宋_GB2312" w:eastAsia="仿宋_GB2312" w:cs="仿宋_GB2312"/>
          <w:b w:val="0"/>
          <w:bCs w:val="0"/>
          <w:color w:val="auto"/>
          <w:sz w:val="24"/>
          <w:szCs w:val="24"/>
          <w:highlight w:val="none"/>
        </w:rPr>
        <w:t>谈判</w:t>
      </w:r>
    </w:p>
    <w:p>
      <w:pPr>
        <w:pStyle w:val="76"/>
        <w:snapToGrid w:val="0"/>
        <w:spacing w:line="480" w:lineRule="exact"/>
        <w:ind w:firstLine="470" w:firstLineChars="196"/>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.1 谈判小组所有成员集中与单一谈判人分别进行谈判，并给予所有参加谈判的谈判人平等的谈判机会。</w:t>
      </w:r>
    </w:p>
    <w:p>
      <w:pPr>
        <w:pStyle w:val="76"/>
        <w:snapToGrid w:val="0"/>
        <w:spacing w:line="480" w:lineRule="exact"/>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 xml:space="preserve"> 谈判内容包括施工组织设计、</w:t>
      </w:r>
      <w:r>
        <w:rPr>
          <w:rFonts w:hint="eastAsia" w:ascii="仿宋_GB2312" w:hAnsi="仿宋_GB2312" w:eastAsia="仿宋_GB2312" w:cs="仿宋_GB2312"/>
          <w:color w:val="auto"/>
          <w:sz w:val="24"/>
          <w:szCs w:val="24"/>
          <w:highlight w:val="none"/>
          <w:lang w:eastAsia="zh-CN"/>
        </w:rPr>
        <w:t>采购项目需求</w:t>
      </w:r>
      <w:r>
        <w:rPr>
          <w:rFonts w:hint="eastAsia" w:ascii="仿宋_GB2312" w:hAnsi="仿宋_GB2312" w:eastAsia="仿宋_GB2312" w:cs="仿宋_GB2312"/>
          <w:color w:val="auto"/>
          <w:sz w:val="24"/>
          <w:szCs w:val="24"/>
          <w:highlight w:val="none"/>
        </w:rPr>
        <w:t>、工期、质量标准、已标价工程量清单、项目管理机构、合同草案等以及谈判小组认为有必要明确的其它问题。</w:t>
      </w:r>
    </w:p>
    <w:p>
      <w:pPr>
        <w:pStyle w:val="76"/>
        <w:snapToGrid w:val="0"/>
        <w:spacing w:line="48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25.3</w:t>
      </w:r>
      <w:r>
        <w:rPr>
          <w:rFonts w:hint="eastAsia" w:ascii="仿宋_GB2312" w:hAnsi="仿宋_GB2312" w:eastAsia="仿宋_GB2312" w:cs="仿宋_GB2312"/>
          <w:color w:val="auto"/>
          <w:sz w:val="24"/>
          <w:szCs w:val="24"/>
          <w:highlight w:val="none"/>
        </w:rPr>
        <w:t>谈判时，谈判小组根据情况，可以要求或同意谈判人就某些谈判事项作出明确的承诺，承诺内容作为响应文件的组成部分。</w:t>
      </w:r>
    </w:p>
    <w:p>
      <w:pPr>
        <w:pStyle w:val="76"/>
        <w:snapToGrid w:val="0"/>
        <w:spacing w:line="48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sz w:val="24"/>
          <w:szCs w:val="24"/>
          <w:highlight w:val="none"/>
        </w:rPr>
        <w:t>2</w:t>
      </w:r>
      <w:r>
        <w:rPr>
          <w:rFonts w:hint="eastAsia" w:ascii="仿宋_GB2312" w:hAnsi="仿宋_GB2312" w:eastAsia="仿宋_GB2312" w:cs="仿宋_GB2312"/>
          <w:bCs w:val="0"/>
          <w:color w:val="auto"/>
          <w:sz w:val="24"/>
          <w:szCs w:val="24"/>
          <w:highlight w:val="none"/>
          <w:lang w:val="en-US" w:eastAsia="zh-CN"/>
        </w:rPr>
        <w:t>5</w:t>
      </w:r>
      <w:r>
        <w:rPr>
          <w:rFonts w:hint="eastAsia" w:ascii="仿宋_GB2312" w:hAnsi="仿宋_GB2312" w:eastAsia="仿宋_GB2312" w:cs="仿宋_GB2312"/>
          <w:bCs w:val="0"/>
          <w:color w:val="auto"/>
          <w:sz w:val="24"/>
          <w:szCs w:val="24"/>
          <w:highlight w:val="none"/>
        </w:rPr>
        <w:t>.</w:t>
      </w:r>
      <w:r>
        <w:rPr>
          <w:rFonts w:hint="eastAsia" w:ascii="仿宋_GB2312" w:hAnsi="仿宋_GB2312" w:eastAsia="仿宋_GB2312" w:cs="仿宋_GB2312"/>
          <w:bCs w:val="0"/>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谈判人的响应文件全部实质性响应了谈判文件的要求，在满足3家以上谈判人的竞争要求的情况下，进入最后报价。</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 对谈判文件作出的实质性变动的内容是谈判文件的有效组成部分，该书面通知由谈判小组成员共同签字。</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 xml:space="preserve">  发生实质性变动时，谈判人应当按照谈判文件的变动情况和谈判小组的要求重新提交响应文件。重新提交响应文件包括现场提交响应文件补充文件的形式和另行约定时间提交响应文件的形式。</w:t>
      </w:r>
    </w:p>
    <w:p>
      <w:pPr>
        <w:pStyle w:val="76"/>
        <w:snapToGrid w:val="0"/>
        <w:spacing w:line="480" w:lineRule="exact"/>
        <w:ind w:firstLine="480" w:firstLineChars="20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bCs w:val="0"/>
          <w:color w:val="auto"/>
          <w:sz w:val="24"/>
          <w:szCs w:val="24"/>
          <w:highlight w:val="none"/>
        </w:rPr>
        <w:t>谈判小组应对谈判人重新提交的响应文件</w:t>
      </w:r>
      <w:r>
        <w:rPr>
          <w:rFonts w:hint="eastAsia" w:ascii="仿宋_GB2312" w:hAnsi="仿宋_GB2312" w:eastAsia="仿宋_GB2312" w:cs="仿宋_GB2312"/>
          <w:color w:val="auto"/>
          <w:sz w:val="24"/>
          <w:szCs w:val="24"/>
          <w:highlight w:val="none"/>
        </w:rPr>
        <w:t>按照本文件要求进行</w:t>
      </w:r>
      <w:r>
        <w:rPr>
          <w:rFonts w:hint="eastAsia" w:ascii="仿宋_GB2312" w:hAnsi="仿宋_GB2312" w:eastAsia="仿宋_GB2312" w:cs="仿宋_GB2312"/>
          <w:bCs w:val="0"/>
          <w:color w:val="auto"/>
          <w:sz w:val="24"/>
          <w:szCs w:val="24"/>
          <w:highlight w:val="none"/>
        </w:rPr>
        <w:t>审查。</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val="0"/>
          <w:color w:val="auto"/>
          <w:sz w:val="24"/>
          <w:szCs w:val="24"/>
          <w:highlight w:val="none"/>
        </w:rPr>
        <w:t>2</w:t>
      </w:r>
      <w:r>
        <w:rPr>
          <w:rFonts w:hint="eastAsia" w:ascii="仿宋_GB2312" w:hAnsi="仿宋_GB2312" w:eastAsia="仿宋_GB2312" w:cs="仿宋_GB2312"/>
          <w:bCs w:val="0"/>
          <w:color w:val="auto"/>
          <w:sz w:val="24"/>
          <w:szCs w:val="24"/>
          <w:highlight w:val="none"/>
          <w:lang w:val="en-US" w:eastAsia="zh-CN"/>
        </w:rPr>
        <w:t>5</w:t>
      </w:r>
      <w:r>
        <w:rPr>
          <w:rFonts w:hint="eastAsia" w:ascii="仿宋_GB2312" w:hAnsi="仿宋_GB2312" w:eastAsia="仿宋_GB2312" w:cs="仿宋_GB2312"/>
          <w:bCs w:val="0"/>
          <w:color w:val="auto"/>
          <w:sz w:val="24"/>
          <w:szCs w:val="24"/>
          <w:highlight w:val="none"/>
        </w:rPr>
        <w:t>.</w:t>
      </w:r>
      <w:r>
        <w:rPr>
          <w:rFonts w:hint="eastAsia" w:ascii="仿宋_GB2312" w:hAnsi="仿宋_GB2312" w:eastAsia="仿宋_GB2312" w:cs="仿宋_GB2312"/>
          <w:bCs w:val="0"/>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根据谈判文件（包括实质性变动的内容）和谈判人重新提交的响应文件，谈判小组所有成员集中与单一谈判人分别进行新一轮的谈判。</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9</w:t>
      </w:r>
      <w:r>
        <w:rPr>
          <w:rFonts w:hint="eastAsia" w:ascii="仿宋_GB2312" w:hAnsi="仿宋_GB2312" w:eastAsia="仿宋_GB2312" w:cs="仿宋_GB2312"/>
          <w:color w:val="auto"/>
          <w:sz w:val="24"/>
          <w:szCs w:val="24"/>
          <w:highlight w:val="none"/>
        </w:rPr>
        <w:t xml:space="preserve"> 经谈判、审查，谈判人重新提交的响应文件全部实质性响应了谈判文件的要求，在满足3家以上谈判人的竞争要求的情况下，进入最后报价。</w:t>
      </w:r>
    </w:p>
    <w:p>
      <w:pPr>
        <w:pStyle w:val="76"/>
        <w:snapToGrid w:val="0"/>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6</w:t>
      </w:r>
      <w:r>
        <w:rPr>
          <w:rFonts w:hint="eastAsia" w:ascii="仿宋_GB2312" w:hAnsi="仿宋_GB2312" w:eastAsia="仿宋_GB2312" w:cs="仿宋_GB2312"/>
          <w:b w:val="0"/>
          <w:color w:val="auto"/>
          <w:sz w:val="24"/>
          <w:szCs w:val="24"/>
          <w:highlight w:val="none"/>
        </w:rPr>
        <w:t>. 最后报价</w:t>
      </w:r>
    </w:p>
    <w:p>
      <w:pPr>
        <w:tabs>
          <w:tab w:val="left" w:pos="737"/>
          <w:tab w:val="left" w:pos="1200"/>
        </w:tabs>
        <w:overflowPunct w:val="0"/>
        <w:topLinePunct/>
        <w:autoSpaceDN w:val="0"/>
        <w:adjustRightInd w:val="0"/>
        <w:snapToGrid w:val="0"/>
        <w:spacing w:line="48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.1 谈判小组应当要求所有实质性响应的谈判供应商在规定时间内提交最后报价，</w:t>
      </w:r>
      <w:r>
        <w:rPr>
          <w:rFonts w:hint="eastAsia" w:ascii="仿宋_GB2312" w:hAnsi="仿宋_GB2312" w:eastAsia="仿宋_GB2312" w:cs="仿宋_GB2312"/>
          <w:color w:val="auto"/>
          <w:sz w:val="24"/>
          <w:szCs w:val="24"/>
          <w:highlight w:val="none"/>
        </w:rPr>
        <w:t>谈判供应商须在谈判小组确定的最后报价时间内进行报价，</w:t>
      </w:r>
      <w:r>
        <w:rPr>
          <w:rFonts w:hint="eastAsia" w:ascii="仿宋_GB2312" w:hAnsi="仿宋_GB2312" w:eastAsia="仿宋_GB2312" w:cs="仿宋_GB2312"/>
          <w:color w:val="auto"/>
          <w:kern w:val="0"/>
          <w:sz w:val="24"/>
          <w:szCs w:val="24"/>
          <w:highlight w:val="none"/>
        </w:rPr>
        <w:t>并</w:t>
      </w:r>
      <w:r>
        <w:rPr>
          <w:rFonts w:hint="eastAsia" w:ascii="仿宋_GB2312" w:hAnsi="仿宋_GB2312" w:eastAsia="仿宋_GB2312" w:cs="仿宋_GB2312"/>
          <w:color w:val="auto"/>
          <w:sz w:val="24"/>
          <w:szCs w:val="24"/>
          <w:highlight w:val="none"/>
        </w:rPr>
        <w:t>按照谈判小组提供的报价格式单进行报价，最后报价是谈判供应商响应文件有效的组成部分。</w:t>
      </w:r>
    </w:p>
    <w:p>
      <w:pPr>
        <w:tabs>
          <w:tab w:val="left" w:pos="737"/>
          <w:tab w:val="left" w:pos="1200"/>
        </w:tabs>
        <w:overflowPunct w:val="0"/>
        <w:topLinePunct/>
        <w:autoSpaceDN w:val="0"/>
        <w:adjustRightInd w:val="0"/>
        <w:snapToGrid w:val="0"/>
        <w:spacing w:line="48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r>
        <w:rPr>
          <w:rFonts w:hint="eastAsia" w:ascii="仿宋_GB2312" w:hAnsi="仿宋_GB2312" w:eastAsia="仿宋_GB2312" w:cs="仿宋_GB2312"/>
          <w:color w:val="auto"/>
          <w:kern w:val="0"/>
          <w:sz w:val="24"/>
          <w:szCs w:val="24"/>
          <w:highlight w:val="none"/>
          <w:lang w:val="en-US" w:eastAsia="zh-CN"/>
        </w:rPr>
        <w:t>6</w:t>
      </w:r>
      <w:r>
        <w:rPr>
          <w:rFonts w:hint="eastAsia" w:ascii="仿宋_GB2312" w:hAnsi="仿宋_GB2312" w:eastAsia="仿宋_GB2312" w:cs="仿宋_GB2312"/>
          <w:color w:val="auto"/>
          <w:kern w:val="0"/>
          <w:sz w:val="24"/>
          <w:szCs w:val="24"/>
          <w:highlight w:val="none"/>
        </w:rPr>
        <w:t>.2 最后报价时谈判小组认为谈判供应商的报价明显低于其他通过符合性审查谈判供应商的报价时，有可能影响</w:t>
      </w:r>
      <w:r>
        <w:rPr>
          <w:rFonts w:hint="eastAsia" w:ascii="仿宋_GB2312" w:hAnsi="仿宋_GB2312" w:eastAsia="仿宋_GB2312" w:cs="仿宋_GB2312"/>
          <w:color w:val="auto"/>
          <w:kern w:val="0"/>
          <w:sz w:val="24"/>
          <w:szCs w:val="24"/>
          <w:highlight w:val="none"/>
          <w:lang w:val="en-US" w:eastAsia="zh-CN"/>
        </w:rPr>
        <w:t>工程</w:t>
      </w:r>
      <w:r>
        <w:rPr>
          <w:rFonts w:hint="eastAsia" w:ascii="仿宋_GB2312" w:hAnsi="仿宋_GB2312" w:eastAsia="仿宋_GB2312" w:cs="仿宋_GB2312"/>
          <w:color w:val="auto"/>
          <w:kern w:val="0"/>
          <w:sz w:val="24"/>
          <w:szCs w:val="24"/>
          <w:highlight w:val="none"/>
        </w:rPr>
        <w:t xml:space="preserve">质量或者不能诚信履约的，谈判小组可以要求谈判供应商在规定的时间内提交进行说明，并提供相关证明材料；谈判供应商不能证明其报价合理性的，谈判小组应当将其作为投标无效处理。 </w:t>
      </w:r>
    </w:p>
    <w:p>
      <w:pPr>
        <w:pStyle w:val="76"/>
        <w:snapToGrid w:val="0"/>
        <w:spacing w:line="480" w:lineRule="exact"/>
        <w:ind w:firstLine="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.3谈判文件对技术、商务要求已详细列明，谈判结束后，所有继续参加谈判的谈判人（不得少于3家）要按照谈判小组的要求在规定时间内提交最后报价。</w:t>
      </w:r>
    </w:p>
    <w:p>
      <w:pPr>
        <w:pStyle w:val="76"/>
        <w:snapToGrid w:val="0"/>
        <w:spacing w:line="480" w:lineRule="exact"/>
        <w:ind w:firstLine="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4谈判文件对技术、商务要求没有详细列明，需经谈判由谈判人提供最终设计方案或解决方案的，谈判结束后，谈判小组将按照少数服从多数的原则投票推荐3家以上谈判人的设计方案或者解决方案，并要求其在规定时间内提交最后报价。</w:t>
      </w:r>
    </w:p>
    <w:p>
      <w:pPr>
        <w:pStyle w:val="76"/>
        <w:snapToGrid w:val="0"/>
        <w:spacing w:line="480" w:lineRule="exact"/>
        <w:ind w:firstLine="480" w:firstLineChars="200"/>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7</w:t>
      </w:r>
      <w:r>
        <w:rPr>
          <w:rFonts w:hint="eastAsia" w:ascii="仿宋_GB2312" w:hAnsi="仿宋_GB2312" w:eastAsia="仿宋_GB2312" w:cs="仿宋_GB2312"/>
          <w:b w:val="0"/>
          <w:color w:val="auto"/>
          <w:sz w:val="24"/>
          <w:szCs w:val="24"/>
          <w:highlight w:val="none"/>
        </w:rPr>
        <w:t>.推荐成交候选供应商</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.1谈判小组从质量和服务均能满足谈判文件实质性响应要求的谈判人中，按照最后报价由低到高的顺序提出3名以上成交候选人。</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t>.2谈判小组组长根据谈判过程中形成的原始记录和评审结果编写评审报告，由谈判小组全体人员签字确认。</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27.3</w:t>
      </w:r>
      <w:r>
        <w:rPr>
          <w:rFonts w:hint="eastAsia" w:ascii="仿宋_GB2312" w:hAnsi="仿宋_GB2312" w:eastAsia="仿宋_GB2312" w:cs="仿宋_GB2312"/>
          <w:color w:val="auto"/>
          <w:sz w:val="24"/>
          <w:szCs w:val="24"/>
          <w:highlight w:val="none"/>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76"/>
        <w:snapToGrid w:val="0"/>
        <w:spacing w:line="48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2</w:t>
      </w:r>
      <w:r>
        <w:rPr>
          <w:rFonts w:hint="eastAsia" w:ascii="仿宋_GB2312" w:hAnsi="仿宋_GB2312" w:eastAsia="仿宋_GB2312" w:cs="仿宋_GB2312"/>
          <w:b w:val="0"/>
          <w:color w:val="auto"/>
          <w:sz w:val="24"/>
          <w:szCs w:val="24"/>
          <w:highlight w:val="none"/>
          <w:lang w:val="en-US" w:eastAsia="zh-CN"/>
        </w:rPr>
        <w:t>8</w:t>
      </w:r>
      <w:r>
        <w:rPr>
          <w:rFonts w:hint="eastAsia" w:ascii="仿宋_GB2312" w:hAnsi="仿宋_GB2312" w:eastAsia="仿宋_GB2312" w:cs="仿宋_GB2312"/>
          <w:b w:val="0"/>
          <w:color w:val="auto"/>
          <w:sz w:val="24"/>
          <w:szCs w:val="24"/>
          <w:highlight w:val="none"/>
        </w:rPr>
        <w:t xml:space="preserve">. 评审复核    </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.1谈判小组要对评审数据进行校对、核对，对报价最低的、响应文件被认定为未实质性响应谈判文件的情形进行复核。</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.2谈判小组向采购人、采购代理机构或者有关部门报告谈判中发现的违法行为。在谈判过程中发现</w:t>
      </w:r>
      <w:r>
        <w:rPr>
          <w:rFonts w:hint="eastAsia" w:ascii="仿宋_GB2312" w:hAnsi="仿宋_GB2312" w:eastAsia="仿宋_GB2312" w:cs="仿宋_GB2312"/>
          <w:color w:val="auto"/>
          <w:sz w:val="24"/>
          <w:szCs w:val="24"/>
          <w:highlight w:val="none"/>
          <w:lang w:eastAsia="zh-CN"/>
        </w:rPr>
        <w:t>谈判</w:t>
      </w:r>
      <w:r>
        <w:rPr>
          <w:rFonts w:hint="eastAsia" w:ascii="仿宋_GB2312" w:hAnsi="仿宋_GB2312" w:eastAsia="仿宋_GB2312" w:cs="仿宋_GB2312"/>
          <w:color w:val="auto"/>
          <w:sz w:val="24"/>
          <w:szCs w:val="24"/>
          <w:highlight w:val="none"/>
        </w:rPr>
        <w:t xml:space="preserve">供应商有下列情形的，谈判小组应认定其报价无效，并书面报告本级财政部门： </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A、有恶意串通的；</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B、有妨碍其他谈判供应商的竞争行为的；</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C、有损害采购人或者其他谈判供应商的合法权益的；</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D、不同谈判供应商的响应文件由同一单位或者个人编制；</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E、不同谈判供应商委托同一单位或者个人办理谈判事宜；</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F、不同谈判供应商的响应文件载明的项目管理成员或者联系人为同一人；</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G、不同谈判供应商的响应文件异常一致或者谈判报价呈规律性差异；</w:t>
      </w:r>
    </w:p>
    <w:p>
      <w:pPr>
        <w:pStyle w:val="76"/>
        <w:snapToGrid w:val="0"/>
        <w:spacing w:line="480" w:lineRule="exact"/>
        <w:ind w:firstLine="542" w:firstLineChars="226"/>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H、不同谈判供应商的响应文件相互混装；</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I、不同谈判供应商的保证金从同一单位或者个人的账户转出。</w:t>
      </w:r>
    </w:p>
    <w:p>
      <w:pPr>
        <w:pStyle w:val="76"/>
        <w:snapToGrid w:val="0"/>
        <w:spacing w:line="48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29</w:t>
      </w:r>
      <w:r>
        <w:rPr>
          <w:rFonts w:hint="eastAsia" w:ascii="仿宋_GB2312" w:hAnsi="仿宋_GB2312" w:eastAsia="仿宋_GB2312" w:cs="仿宋_GB2312"/>
          <w:b w:val="0"/>
          <w:color w:val="auto"/>
          <w:sz w:val="24"/>
          <w:szCs w:val="24"/>
          <w:highlight w:val="none"/>
        </w:rPr>
        <w:t>. 谈判保密</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29</w:t>
      </w:r>
      <w:r>
        <w:rPr>
          <w:rFonts w:hint="eastAsia" w:ascii="仿宋_GB2312" w:hAnsi="仿宋_GB2312" w:eastAsia="仿宋_GB2312" w:cs="仿宋_GB2312"/>
          <w:color w:val="auto"/>
          <w:sz w:val="24"/>
          <w:szCs w:val="24"/>
          <w:highlight w:val="none"/>
        </w:rPr>
        <w:t>.1采购人、</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要采取必要措施，保证谈判在严格保密的情况下进行。除采购人代表、谈判现场组织人员外，采购人的其他工作人员以及与谈判工作无关的人员不得进入谈判现场。</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29</w:t>
      </w:r>
      <w:r>
        <w:rPr>
          <w:rFonts w:hint="eastAsia" w:ascii="仿宋_GB2312" w:hAnsi="仿宋_GB2312" w:eastAsia="仿宋_GB2312" w:cs="仿宋_GB2312"/>
          <w:color w:val="auto"/>
          <w:sz w:val="24"/>
          <w:szCs w:val="24"/>
          <w:highlight w:val="none"/>
        </w:rPr>
        <w:t>.2有关人员对谈判情况以及在谈判过程中获悉的国家秘密、商业秘密负有保密责任；任何人不得透露与谈判有关的其他谈判供应商的技术资料、价格和其他信息。</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29</w:t>
      </w:r>
      <w:r>
        <w:rPr>
          <w:rFonts w:hint="eastAsia" w:ascii="仿宋_GB2312" w:hAnsi="仿宋_GB2312" w:eastAsia="仿宋_GB2312" w:cs="仿宋_GB2312"/>
          <w:color w:val="auto"/>
          <w:sz w:val="24"/>
          <w:szCs w:val="24"/>
          <w:highlight w:val="none"/>
        </w:rPr>
        <w:t>.3 谈判结束后，参与评审谈判的所有人员不得带走谈判现场的任何资料。</w:t>
      </w:r>
    </w:p>
    <w:p>
      <w:pPr>
        <w:pStyle w:val="76"/>
        <w:snapToGrid w:val="0"/>
        <w:spacing w:line="480" w:lineRule="exact"/>
        <w:ind w:firstLine="475" w:firstLineChars="198"/>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30</w:t>
      </w:r>
      <w:r>
        <w:rPr>
          <w:rFonts w:hint="eastAsia" w:ascii="仿宋_GB2312" w:hAnsi="仿宋_GB2312" w:eastAsia="仿宋_GB2312" w:cs="仿宋_GB2312"/>
          <w:b w:val="0"/>
          <w:color w:val="auto"/>
          <w:sz w:val="24"/>
          <w:szCs w:val="24"/>
          <w:highlight w:val="none"/>
        </w:rPr>
        <w:t>. 关于谈判供应商瑕疵滞后发现的处理规则</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论基于何种原因，各项本应作拒绝或无效处理的情形，即便未被及时发现而使该谈判供应商进入初审、谈判或其它后续程序的，包括已经签约的情形，一旦被发现存在上述情形，导致此前评议结果被取消，其相关的一切损失均由该谈判供应商承担。</w:t>
      </w:r>
    </w:p>
    <w:p>
      <w:pPr>
        <w:pStyle w:val="76"/>
        <w:snapToGrid w:val="0"/>
        <w:spacing w:line="48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rPr>
        <w:t xml:space="preserve">    </w:t>
      </w:r>
      <w:r>
        <w:rPr>
          <w:rFonts w:hint="eastAsia" w:ascii="仿宋_GB2312" w:hAnsi="仿宋_GB2312" w:eastAsia="仿宋_GB2312" w:cs="仿宋_GB2312"/>
          <w:b w:val="0"/>
          <w:bCs w:val="0"/>
          <w:color w:val="auto"/>
          <w:sz w:val="24"/>
          <w:szCs w:val="24"/>
          <w:highlight w:val="none"/>
          <w:lang w:val="en-US" w:eastAsia="zh-CN"/>
        </w:rPr>
        <w:t>31</w:t>
      </w:r>
      <w:r>
        <w:rPr>
          <w:rFonts w:hint="eastAsia" w:ascii="仿宋_GB2312" w:hAnsi="仿宋_GB2312" w:eastAsia="仿宋_GB2312" w:cs="仿宋_GB2312"/>
          <w:b w:val="0"/>
          <w:bCs w:val="0"/>
          <w:color w:val="auto"/>
          <w:sz w:val="24"/>
          <w:szCs w:val="24"/>
          <w:highlight w:val="none"/>
        </w:rPr>
        <w:t>. 采购项目终止</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.1 出现下列情形之一的，终止本次谈判活动：</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A、因情况变化，不再符合规定的竞争性谈判采购方式适用情形的；</w:t>
      </w:r>
    </w:p>
    <w:p>
      <w:pPr>
        <w:pStyle w:val="76"/>
        <w:snapToGrid w:val="0"/>
        <w:spacing w:line="48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B、出现影响采购公正的违法、违规行为的；</w:t>
      </w:r>
    </w:p>
    <w:p>
      <w:pPr>
        <w:pStyle w:val="76"/>
        <w:snapToGrid w:val="0"/>
        <w:spacing w:line="48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C、在采购过程中符合竞争要求的谈判人或者报价未超过采购预算的供应商不足3家的。</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.2项目终止谈判后，</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将在财政部门指定的媒体上发布项目终止公告并说明原因，依法重新组织采购活动。</w:t>
      </w:r>
    </w:p>
    <w:p>
      <w:pPr>
        <w:pStyle w:val="8"/>
        <w:spacing w:line="240" w:lineRule="auto"/>
        <w:rPr>
          <w:rFonts w:hint="eastAsia" w:ascii="宋体" w:hAnsi="宋体" w:eastAsia="宋体" w:cs="宋体"/>
          <w:color w:val="auto"/>
          <w:sz w:val="22"/>
          <w:szCs w:val="22"/>
          <w:highlight w:val="none"/>
        </w:rPr>
      </w:pPr>
      <w:bookmarkStart w:id="66" w:name="_Toc43363076"/>
      <w:bookmarkStart w:id="67" w:name="_Toc26867755"/>
      <w:bookmarkStart w:id="68" w:name="_Toc18805"/>
      <w:bookmarkStart w:id="69" w:name="_Toc44690679"/>
      <w:bookmarkStart w:id="70" w:name="_Toc44690605"/>
      <w:bookmarkStart w:id="71" w:name="_Toc51232712"/>
      <w:r>
        <w:rPr>
          <w:rFonts w:hint="eastAsia" w:ascii="宋体" w:hAnsi="宋体" w:eastAsia="宋体" w:cs="宋体"/>
          <w:color w:val="auto"/>
          <w:sz w:val="22"/>
          <w:szCs w:val="22"/>
          <w:highlight w:val="none"/>
        </w:rPr>
        <w:t>六、签订合同</w:t>
      </w:r>
      <w:bookmarkEnd w:id="66"/>
      <w:bookmarkEnd w:id="67"/>
      <w:bookmarkEnd w:id="68"/>
      <w:bookmarkEnd w:id="69"/>
      <w:bookmarkEnd w:id="70"/>
      <w:bookmarkEnd w:id="71"/>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color w:val="auto"/>
          <w:sz w:val="24"/>
          <w:szCs w:val="24"/>
          <w:highlight w:val="none"/>
        </w:rPr>
        <w:t>3</w:t>
      </w:r>
      <w:r>
        <w:rPr>
          <w:rFonts w:hint="eastAsia" w:ascii="仿宋_GB2312" w:hAnsi="仿宋_GB2312" w:eastAsia="仿宋_GB2312" w:cs="仿宋_GB2312"/>
          <w:b w:val="0"/>
          <w:color w:val="auto"/>
          <w:sz w:val="24"/>
          <w:szCs w:val="24"/>
          <w:highlight w:val="none"/>
          <w:lang w:val="en-US" w:eastAsia="zh-CN"/>
        </w:rPr>
        <w:t>2</w:t>
      </w:r>
      <w:r>
        <w:rPr>
          <w:rFonts w:hint="eastAsia" w:ascii="仿宋_GB2312" w:hAnsi="仿宋_GB2312" w:eastAsia="仿宋_GB2312" w:cs="仿宋_GB2312"/>
          <w:b w:val="0"/>
          <w:color w:val="auto"/>
          <w:sz w:val="24"/>
          <w:szCs w:val="24"/>
          <w:highlight w:val="none"/>
        </w:rPr>
        <w:t>．签订合同</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.1成交供应商确定后，</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将在刊登本次谈判公告的媒体上发布成交公告，成交通知书对采购人和成交供应商具有同等法律效力。成交通知书发出以后，采购人改变成交结果或者成交供应商放弃成交，应当承担相应的法律责任。采购人应当自成交通知书发出之日起30日内与成交供应商签订书面合同。</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.2 成交供应商应按照谈判文件、响应文件及谈判过程中的有关澄清、说明或者补正文件的内容与采购人签订合同。成交供应商不得再与采购人签订背离合同实质性内容的其它协议或声明。</w:t>
      </w:r>
    </w:p>
    <w:p>
      <w:pPr>
        <w:pStyle w:val="76"/>
        <w:snapToGrid w:val="0"/>
        <w:spacing w:line="460" w:lineRule="exact"/>
        <w:textAlignment w:val="auto"/>
        <w:outlineLvl w:val="1"/>
        <w:rPr>
          <w:rFonts w:hint="eastAsia" w:ascii="宋体" w:hAnsi="宋体" w:eastAsia="宋体" w:cs="宋体"/>
          <w:b/>
          <w:color w:val="auto"/>
          <w:spacing w:val="10"/>
          <w:sz w:val="22"/>
          <w:szCs w:val="22"/>
          <w:highlight w:val="none"/>
        </w:rPr>
      </w:pPr>
      <w:bookmarkStart w:id="72" w:name="_Toc13226"/>
      <w:bookmarkStart w:id="73" w:name="_Toc26867756"/>
      <w:bookmarkStart w:id="74" w:name="_Toc44690606"/>
      <w:bookmarkStart w:id="75" w:name="_Toc51232713"/>
      <w:bookmarkStart w:id="76" w:name="_Toc44690680"/>
      <w:bookmarkStart w:id="77" w:name="_Toc43363077"/>
      <w:r>
        <w:rPr>
          <w:rFonts w:hint="eastAsia" w:ascii="宋体" w:hAnsi="宋体" w:eastAsia="宋体" w:cs="宋体"/>
          <w:b/>
          <w:color w:val="auto"/>
          <w:spacing w:val="10"/>
          <w:sz w:val="22"/>
          <w:szCs w:val="22"/>
          <w:highlight w:val="none"/>
        </w:rPr>
        <w:t>七、服务费</w:t>
      </w:r>
      <w:bookmarkEnd w:id="72"/>
      <w:bookmarkEnd w:id="73"/>
      <w:bookmarkEnd w:id="74"/>
      <w:bookmarkEnd w:id="75"/>
      <w:bookmarkEnd w:id="76"/>
      <w:bookmarkEnd w:id="77"/>
      <w:r>
        <w:rPr>
          <w:rFonts w:hint="eastAsia" w:ascii="宋体" w:hAnsi="宋体" w:eastAsia="宋体" w:cs="宋体"/>
          <w:b/>
          <w:color w:val="auto"/>
          <w:spacing w:val="10"/>
          <w:sz w:val="22"/>
          <w:szCs w:val="22"/>
          <w:highlight w:val="none"/>
        </w:rPr>
        <w:t>　　</w:t>
      </w:r>
    </w:p>
    <w:p>
      <w:pPr>
        <w:pStyle w:val="76"/>
        <w:snapToGrid w:val="0"/>
        <w:spacing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w:t>
      </w:r>
      <w:r>
        <w:rPr>
          <w:rFonts w:hint="eastAsia" w:ascii="仿宋_GB2312" w:hAnsi="仿宋_GB2312" w:eastAsia="仿宋_GB2312" w:cs="仿宋_GB2312"/>
          <w:b w:val="0"/>
          <w:color w:val="auto"/>
          <w:sz w:val="24"/>
          <w:szCs w:val="24"/>
          <w:highlight w:val="none"/>
          <w:lang w:val="en-US" w:eastAsia="zh-CN"/>
        </w:rPr>
        <w:t>3</w:t>
      </w:r>
      <w:r>
        <w:rPr>
          <w:rFonts w:hint="eastAsia" w:ascii="仿宋_GB2312" w:hAnsi="仿宋_GB2312" w:eastAsia="仿宋_GB2312" w:cs="仿宋_GB2312"/>
          <w:b w:val="0"/>
          <w:color w:val="auto"/>
          <w:sz w:val="24"/>
          <w:szCs w:val="24"/>
          <w:highlight w:val="none"/>
        </w:rPr>
        <w:t>. 服务费</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作为非营利事业法人，是集中采购项目的执行机构，在政府采购活动中不收取任何服务费。</w:t>
      </w:r>
    </w:p>
    <w:p>
      <w:pPr>
        <w:pStyle w:val="8"/>
        <w:spacing w:line="240" w:lineRule="auto"/>
        <w:rPr>
          <w:rFonts w:hint="eastAsia" w:ascii="宋体" w:hAnsi="宋体" w:eastAsia="宋体" w:cs="宋体"/>
          <w:color w:val="auto"/>
          <w:sz w:val="22"/>
          <w:szCs w:val="22"/>
          <w:highlight w:val="none"/>
        </w:rPr>
      </w:pPr>
      <w:bookmarkStart w:id="78" w:name="_Toc44690681"/>
      <w:bookmarkStart w:id="79" w:name="_Toc43363078"/>
      <w:bookmarkStart w:id="80" w:name="_Toc26867757"/>
      <w:bookmarkStart w:id="81" w:name="_Toc44690607"/>
      <w:bookmarkStart w:id="82" w:name="_Toc51232714"/>
      <w:bookmarkStart w:id="83" w:name="_Toc12892"/>
      <w:r>
        <w:rPr>
          <w:rFonts w:hint="eastAsia" w:ascii="宋体" w:hAnsi="宋体" w:eastAsia="宋体" w:cs="宋体"/>
          <w:color w:val="auto"/>
          <w:sz w:val="22"/>
          <w:szCs w:val="22"/>
          <w:highlight w:val="none"/>
        </w:rPr>
        <w:t>八、保密和披露</w:t>
      </w:r>
      <w:bookmarkEnd w:id="78"/>
      <w:bookmarkEnd w:id="79"/>
      <w:bookmarkEnd w:id="80"/>
      <w:bookmarkEnd w:id="81"/>
      <w:bookmarkEnd w:id="82"/>
      <w:bookmarkEnd w:id="83"/>
    </w:p>
    <w:p>
      <w:pPr>
        <w:pStyle w:val="76"/>
        <w:adjustRightInd/>
        <w:snapToGrid w:val="0"/>
        <w:spacing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 保密</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谈判供应商自领取谈判文件之日起，须承诺承担本采购项目下的保密义务，不得将因本次谈判获得的信息向第三人外传。</w:t>
      </w:r>
    </w:p>
    <w:p>
      <w:pPr>
        <w:pStyle w:val="76"/>
        <w:adjustRightInd/>
        <w:snapToGrid w:val="0"/>
        <w:spacing w:line="460" w:lineRule="exact"/>
        <w:ind w:firstLine="480" w:firstLineChars="200"/>
        <w:textAlignment w:val="auto"/>
        <w:rPr>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 w:val="0"/>
          <w:color w:val="auto"/>
          <w:sz w:val="24"/>
          <w:szCs w:val="24"/>
          <w:highlight w:val="none"/>
        </w:rPr>
        <w:t>3</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 xml:space="preserve"> 披露</w:t>
      </w:r>
    </w:p>
    <w:p>
      <w:pPr>
        <w:pStyle w:val="76"/>
        <w:snapToGrid w:val="0"/>
        <w:spacing w:line="46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 xml:space="preserve">.1 </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有权将谈判供应商提供的所有资料向有关政府部门或评审文件的有关人员披露。</w:t>
      </w:r>
    </w:p>
    <w:p>
      <w:pPr>
        <w:pStyle w:val="76"/>
        <w:snapToGrid w:val="0"/>
        <w:spacing w:line="460" w:lineRule="exact"/>
        <w:ind w:firstLine="480" w:firstLineChars="200"/>
        <w:textAlignment w:val="auto"/>
        <w:rPr>
          <w:rFonts w:hint="eastAsia" w:ascii="宋体" w:hAnsi="宋体" w:eastAsia="宋体" w:cs="宋体"/>
          <w:color w:val="auto"/>
          <w:sz w:val="22"/>
          <w:szCs w:val="22"/>
          <w:highlight w:val="none"/>
        </w:rPr>
      </w:pPr>
      <w:r>
        <w:rPr>
          <w:rFonts w:hint="eastAsia" w:ascii="仿宋_GB2312" w:hAnsi="仿宋_GB2312" w:eastAsia="仿宋_GB2312" w:cs="仿宋_GB2312"/>
          <w:color w:val="auto"/>
          <w:sz w:val="24"/>
          <w:szCs w:val="24"/>
          <w:highlight w:val="none"/>
        </w:rPr>
        <w:t>3</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.2 在</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认为适当时、或国家机关调查、审查、审计时以及其他符合法律法规规定的情形下，</w:t>
      </w:r>
      <w:r>
        <w:rPr>
          <w:rFonts w:hint="eastAsia" w:ascii="仿宋_GB2312" w:hAnsi="仿宋_GB2312" w:eastAsia="仿宋_GB2312" w:cs="仿宋_GB2312"/>
          <w:color w:val="auto"/>
          <w:sz w:val="24"/>
          <w:szCs w:val="24"/>
          <w:highlight w:val="none"/>
          <w:lang w:eastAsia="zh-CN"/>
        </w:rPr>
        <w:t>采购代理机构</w:t>
      </w:r>
      <w:r>
        <w:rPr>
          <w:rFonts w:hint="eastAsia" w:ascii="仿宋_GB2312" w:hAnsi="仿宋_GB2312" w:eastAsia="仿宋_GB2312" w:cs="仿宋_GB2312"/>
          <w:color w:val="auto"/>
          <w:sz w:val="24"/>
          <w:szCs w:val="24"/>
          <w:highlight w:val="none"/>
        </w:rPr>
        <w:t>无须事先征求谈判供应商/成交供应商同意即可披露关于采购过程、合同文本、签署情况的资料、名称及地址、响应文件的有关信息以及补充条款等，但</w:t>
      </w:r>
      <w:r>
        <w:rPr>
          <w:rFonts w:hint="eastAsia" w:ascii="仿宋_GB2312" w:hAnsi="仿宋_GB2312" w:eastAsia="仿宋_GB2312" w:cs="仿宋_GB2312"/>
          <w:b w:val="0"/>
          <w:color w:val="auto"/>
          <w:sz w:val="24"/>
          <w:szCs w:val="24"/>
          <w:highlight w:val="none"/>
        </w:rPr>
        <w:t>必须</w:t>
      </w:r>
      <w:r>
        <w:rPr>
          <w:rFonts w:hint="eastAsia" w:ascii="仿宋_GB2312" w:hAnsi="仿宋_GB2312" w:eastAsia="仿宋_GB2312" w:cs="仿宋_GB2312"/>
          <w:color w:val="auto"/>
          <w:sz w:val="24"/>
          <w:szCs w:val="24"/>
          <w:highlight w:val="none"/>
        </w:rPr>
        <w:t>在合理的必要范围内。对任何已经公布过的内容或与之内容相同的资料，以及谈判供应商/成交供应商已经泄露或公开的，无须再承担保密责任。</w:t>
      </w:r>
    </w:p>
    <w:p>
      <w:pPr>
        <w:pStyle w:val="8"/>
        <w:spacing w:line="240" w:lineRule="auto"/>
        <w:rPr>
          <w:rFonts w:hint="eastAsia" w:ascii="宋体" w:hAnsi="宋体" w:eastAsia="宋体" w:cs="宋体"/>
          <w:color w:val="auto"/>
          <w:sz w:val="22"/>
          <w:szCs w:val="22"/>
          <w:highlight w:val="none"/>
        </w:rPr>
      </w:pPr>
      <w:bookmarkStart w:id="84" w:name="_Toc44690682"/>
      <w:bookmarkStart w:id="85" w:name="_Toc44690608"/>
      <w:bookmarkStart w:id="86" w:name="_Toc26867758"/>
      <w:bookmarkStart w:id="87" w:name="_Toc43363079"/>
      <w:bookmarkStart w:id="88" w:name="_Toc51232715"/>
      <w:bookmarkStart w:id="89" w:name="_Toc11970"/>
      <w:r>
        <w:rPr>
          <w:rFonts w:hint="eastAsia" w:ascii="宋体" w:hAnsi="宋体" w:eastAsia="宋体" w:cs="宋体"/>
          <w:color w:val="auto"/>
          <w:sz w:val="22"/>
          <w:szCs w:val="22"/>
          <w:highlight w:val="none"/>
        </w:rPr>
        <w:t>九、</w:t>
      </w:r>
      <w:bookmarkEnd w:id="84"/>
      <w:bookmarkEnd w:id="85"/>
      <w:bookmarkEnd w:id="86"/>
      <w:bookmarkEnd w:id="87"/>
      <w:bookmarkEnd w:id="88"/>
      <w:r>
        <w:rPr>
          <w:rFonts w:hint="eastAsia" w:ascii="宋体" w:hAnsi="宋体" w:eastAsia="宋体" w:cs="宋体"/>
          <w:color w:val="auto"/>
          <w:sz w:val="22"/>
          <w:szCs w:val="22"/>
          <w:highlight w:val="none"/>
        </w:rPr>
        <w:t>询问、质疑、投诉</w:t>
      </w:r>
      <w:bookmarkEnd w:id="89"/>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 xml:space="preserve">36. 询问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36.1供应商对政府采购活动事项（谈判文件、采购过程、成交或者成交结果）有疑问的，可以向采购人或者采购代理机构提出询问，询问以书面方式提出。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36.2 采购人在三个工作日内对供应商依法提出的询问作出答复。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b w:val="0"/>
          <w:bCs w:val="0"/>
          <w:color w:val="auto"/>
          <w:kern w:val="0"/>
          <w:sz w:val="24"/>
          <w:szCs w:val="24"/>
          <w:highlight w:val="none"/>
          <w:lang w:val="en-US" w:eastAsia="zh-CN" w:bidi="ar-SA"/>
        </w:rPr>
      </w:pPr>
      <w:r>
        <w:rPr>
          <w:rFonts w:hint="eastAsia" w:ascii="仿宋_GB2312" w:hAnsi="仿宋_GB2312" w:eastAsia="仿宋_GB2312" w:cs="仿宋_GB2312"/>
          <w:b w:val="0"/>
          <w:bCs w:val="0"/>
          <w:color w:val="auto"/>
          <w:kern w:val="0"/>
          <w:sz w:val="24"/>
          <w:szCs w:val="24"/>
          <w:highlight w:val="none"/>
          <w:lang w:val="en-US" w:eastAsia="zh-CN" w:bidi="ar-SA"/>
        </w:rPr>
        <w:t>37 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37.1 提出质疑的供应商应当是参与所质疑项目采购活动的供应商。潜在供应商依法获取其可质疑的采购文件的，可以对采购文件提出质疑。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37.2 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37.2.1 对可以质疑的采购文件提出质疑的，为收到采购文件之日或者采购文件公告期限届满之日；</w:t>
      </w:r>
      <w:r>
        <w:rPr>
          <w:rFonts w:hint="eastAsia" w:ascii="仿宋_GB2312" w:hAnsi="仿宋_GB2312" w:eastAsia="仿宋_GB2312" w:cs="仿宋_GB2312"/>
          <w:color w:val="auto"/>
          <w:kern w:val="0"/>
          <w:sz w:val="24"/>
          <w:szCs w:val="24"/>
          <w:highlight w:val="none"/>
          <w:lang w:val="en-US" w:eastAsia="zh-CN" w:bidi="ar-SA"/>
        </w:rPr>
        <w:br w:type="textWrapping"/>
      </w:r>
      <w:r>
        <w:rPr>
          <w:rFonts w:hint="eastAsia" w:ascii="仿宋_GB2312" w:hAnsi="仿宋_GB2312" w:eastAsia="仿宋_GB2312" w:cs="仿宋_GB2312"/>
          <w:color w:val="auto"/>
          <w:kern w:val="0"/>
          <w:sz w:val="24"/>
          <w:szCs w:val="24"/>
          <w:highlight w:val="none"/>
          <w:lang w:val="en-US" w:eastAsia="zh-CN" w:bidi="ar-SA"/>
        </w:rPr>
        <w:t>　　37.2.2 对采购过程提出质疑的，为各采购程序环节结束之日；</w:t>
      </w:r>
      <w:r>
        <w:rPr>
          <w:rFonts w:hint="eastAsia" w:ascii="仿宋_GB2312" w:hAnsi="仿宋_GB2312" w:eastAsia="仿宋_GB2312" w:cs="仿宋_GB2312"/>
          <w:color w:val="auto"/>
          <w:kern w:val="0"/>
          <w:sz w:val="24"/>
          <w:szCs w:val="24"/>
          <w:highlight w:val="none"/>
          <w:lang w:val="en-US" w:eastAsia="zh-CN" w:bidi="ar-SA"/>
        </w:rPr>
        <w:br w:type="textWrapping"/>
      </w:r>
      <w:r>
        <w:rPr>
          <w:rFonts w:hint="eastAsia" w:ascii="仿宋_GB2312" w:hAnsi="仿宋_GB2312" w:eastAsia="仿宋_GB2312" w:cs="仿宋_GB2312"/>
          <w:color w:val="auto"/>
          <w:kern w:val="0"/>
          <w:sz w:val="24"/>
          <w:szCs w:val="24"/>
          <w:highlight w:val="none"/>
          <w:lang w:val="en-US" w:eastAsia="zh-CN" w:bidi="ar-SA"/>
        </w:rPr>
        <w:t>　　37.2.3 对中标或者成交结果提出质疑的，为中标或者成交结果公告期限届满之日。</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供应商应当在法定质疑期内一次性提出针对同一采购程序环节的质疑。供应商如在法定期限内对同一采购程序环节提出多次质疑的，采购代理机构、采购人将只对供应商第一次质疑作出答复。</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37.3 质疑函必须按照本谈判文件中《质疑函范本》要求的格式和内容进行填写。供应商如组成联合体参加投标，则《质疑函范本》中要求签字、盖章、加盖公章之处，联合体各方均须按要求签字、盖章、加盖公章。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37.4 采购人只接收以纸质原件形式送达的质疑。质疑由采购人负责回复答疑。</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质疑接收人：</w:t>
      </w:r>
      <w:r>
        <w:rPr>
          <w:rFonts w:hint="eastAsia" w:ascii="仿宋_GB2312" w:hAnsi="仿宋_GB2312" w:eastAsia="仿宋_GB2312" w:cs="仿宋_GB2312"/>
          <w:color w:val="auto"/>
          <w:kern w:val="0"/>
          <w:sz w:val="24"/>
          <w:szCs w:val="24"/>
          <w:highlight w:val="none"/>
          <w:lang w:val="en-US" w:eastAsia="zh-CN" w:bidi="ar-SA"/>
        </w:rPr>
        <w:t>吐鲁番市高昌区卫生健康委员会</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联系地址：</w:t>
      </w:r>
      <w:r>
        <w:rPr>
          <w:rFonts w:hint="eastAsia" w:ascii="仿宋_GB2312" w:hAnsi="仿宋_GB2312" w:eastAsia="仿宋_GB2312" w:cs="仿宋_GB2312"/>
          <w:color w:val="auto"/>
          <w:kern w:val="0"/>
          <w:sz w:val="24"/>
          <w:szCs w:val="24"/>
          <w:highlight w:val="none"/>
          <w:lang w:val="en-US" w:eastAsia="zh-CN" w:bidi="ar-SA"/>
        </w:rPr>
        <w:t>吐鲁番市高昌区文化中路（组织部大院）</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联系电话：</w:t>
      </w:r>
      <w:r>
        <w:rPr>
          <w:rFonts w:hint="eastAsia" w:ascii="仿宋_GB2312" w:hAnsi="仿宋_GB2312" w:eastAsia="仿宋_GB2312" w:cs="仿宋_GB2312"/>
          <w:b w:val="0"/>
          <w:bCs w:val="0"/>
          <w:color w:val="auto"/>
          <w:kern w:val="0"/>
          <w:sz w:val="24"/>
          <w:szCs w:val="24"/>
          <w:highlight w:val="none"/>
          <w:lang w:val="en-US" w:eastAsia="zh-CN" w:bidi="ar-SA"/>
        </w:rPr>
        <w:t>13699914921</w:t>
      </w:r>
      <w:r>
        <w:rPr>
          <w:rFonts w:hint="eastAsia" w:ascii="仿宋_GB2312" w:hAnsi="仿宋_GB2312" w:eastAsia="仿宋_GB2312" w:cs="仿宋_GB2312"/>
          <w:color w:val="auto"/>
          <w:kern w:val="0"/>
          <w:sz w:val="24"/>
          <w:szCs w:val="24"/>
          <w:highlight w:val="none"/>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 以下情形的质疑不予受理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37.5.1 内容不符合《政府采购质疑和投诉办法》第十二条规定的质疑。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37.5.2 超出政府采购法定期限的质疑。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37.5.3 以传真、电子邮件等方式递交的非原件形式的质疑。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37.5.4 未参加投标活动的供应商或在投标活动中自身权益未受到损害的供应商所提出的质疑。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37.5.5 供应商组成联合体参加投标，联合体中任何一方或多方未按要求签字、盖章、加盖公章的质疑。</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37.5.6  供应商提出书面质疑必须有理、有据，不得捏造事实、提供虚假材料进行恶意质疑。否则，一经查实，</w:t>
      </w:r>
      <w:r>
        <w:rPr>
          <w:rFonts w:hint="eastAsia" w:ascii="仿宋_GB2312" w:hAnsi="仿宋_GB2312" w:eastAsia="仿宋_GB2312" w:cs="仿宋_GB2312"/>
          <w:color w:val="auto"/>
          <w:sz w:val="24"/>
          <w:szCs w:val="24"/>
          <w:highlight w:val="none"/>
          <w:lang w:val="en-US" w:eastAsia="zh-CN" w:bidi="ar-SA"/>
        </w:rPr>
        <w:t>采购代理机构</w:t>
      </w:r>
      <w:r>
        <w:rPr>
          <w:rFonts w:hint="eastAsia" w:ascii="仿宋_GB2312" w:hAnsi="仿宋_GB2312" w:eastAsia="仿宋_GB2312" w:cs="仿宋_GB2312"/>
          <w:color w:val="auto"/>
          <w:kern w:val="0"/>
          <w:sz w:val="24"/>
          <w:szCs w:val="24"/>
          <w:highlight w:val="none"/>
          <w:lang w:val="en-US" w:eastAsia="zh-CN" w:bidi="ar-SA"/>
        </w:rPr>
        <w:t>有权依据政府采购的有关规定，报请政府采购监管部门对该供应商进行相应的行政处罚和记录该供应商的失信信息。</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仿宋_GB2312" w:hAnsi="仿宋_GB2312" w:eastAsia="仿宋_GB2312" w:cs="仿宋_GB2312"/>
          <w:b/>
          <w:bCs/>
          <w:color w:val="auto"/>
          <w:kern w:val="0"/>
          <w:sz w:val="24"/>
          <w:szCs w:val="24"/>
          <w:highlight w:val="none"/>
          <w:lang w:val="en-US" w:eastAsia="zh-CN" w:bidi="ar-SA"/>
        </w:rPr>
      </w:pPr>
      <w:r>
        <w:rPr>
          <w:rFonts w:hint="eastAsia" w:ascii="仿宋_GB2312" w:hAnsi="仿宋_GB2312" w:eastAsia="仿宋_GB2312" w:cs="仿宋_GB2312"/>
          <w:b/>
          <w:bCs/>
          <w:color w:val="auto"/>
          <w:kern w:val="0"/>
          <w:sz w:val="24"/>
          <w:szCs w:val="24"/>
          <w:highlight w:val="none"/>
          <w:lang w:val="en-US" w:eastAsia="zh-CN" w:bidi="ar-SA"/>
        </w:rPr>
        <w:t xml:space="preserve">38 投诉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39.1 质疑供应商对采购人的答复不满意，或者未在规定时间内作出答复的，可以在答复期满后十五个工作日内向同级财政部门提起投诉。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39.2 投诉人在全国范围12个月内三次以上投诉查无实据的，由财政部门列入不良行为记录名单。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39.3 投诉人有下列行为之一的，属于虚假、恶意投诉，由财政部门列入不良行为记录名单，禁止其1 至3年内参加政府采购活动：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39.3.1 捏造事实；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 xml:space="preserve">39.3.2 提供虚假材料；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kern w:val="0"/>
          <w:sz w:val="22"/>
          <w:szCs w:val="22"/>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39.3.3 以非法手段取得证明材料。证据来源的合法性存在明显疑问，投诉人无法证明其取得方式合法的，视为以非法手段取得证明材料。</w:t>
      </w:r>
      <w:r>
        <w:rPr>
          <w:rFonts w:hint="eastAsia" w:ascii="宋体" w:hAnsi="宋体" w:eastAsia="宋体" w:cs="宋体"/>
          <w:color w:val="auto"/>
          <w:kern w:val="0"/>
          <w:sz w:val="22"/>
          <w:szCs w:val="22"/>
          <w:highlight w:val="none"/>
          <w:lang w:val="en-US" w:eastAsia="zh-CN" w:bidi="ar-SA"/>
        </w:rPr>
        <w:t xml:space="preserve"> </w:t>
      </w:r>
    </w:p>
    <w:p>
      <w:pPr>
        <w:rPr>
          <w:rFonts w:hint="eastAsia" w:ascii="宋体" w:hAnsi="宋体" w:eastAsia="宋体" w:cs="宋体"/>
          <w:color w:val="auto"/>
          <w:sz w:val="22"/>
          <w:szCs w:val="22"/>
          <w:highlight w:val="none"/>
        </w:rPr>
      </w:pPr>
    </w:p>
    <w:p>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bookmarkStart w:id="90" w:name="_Toc278543498"/>
      <w:bookmarkStart w:id="91" w:name="_Toc13460"/>
      <w:bookmarkStart w:id="92" w:name="_Toc175644026"/>
    </w:p>
    <w:p>
      <w:pPr>
        <w:pStyle w:val="7"/>
        <w:jc w:val="center"/>
        <w:rPr>
          <w:rFonts w:hint="eastAsia" w:ascii="宋体" w:hAnsi="宋体" w:eastAsia="宋体" w:cs="宋体"/>
          <w:b/>
          <w:bCs/>
          <w:color w:val="auto"/>
          <w:kern w:val="0"/>
          <w:sz w:val="32"/>
          <w:szCs w:val="32"/>
          <w:highlight w:val="none"/>
          <w:lang w:val="en-US" w:eastAsia="zh-CN"/>
        </w:rPr>
      </w:pPr>
      <w:bookmarkStart w:id="93" w:name="_Toc32462"/>
      <w:bookmarkStart w:id="94" w:name="_Toc44690609"/>
      <w:r>
        <w:rPr>
          <w:rFonts w:hint="eastAsia" w:ascii="宋体" w:hAnsi="宋体" w:eastAsia="宋体" w:cs="宋体"/>
          <w:b/>
          <w:bCs/>
          <w:color w:val="auto"/>
          <w:kern w:val="0"/>
          <w:sz w:val="32"/>
          <w:szCs w:val="32"/>
          <w:highlight w:val="none"/>
          <w:lang w:val="en-US" w:eastAsia="zh-CN"/>
        </w:rPr>
        <w:t>第四部分   采购项目需求</w:t>
      </w:r>
      <w:bookmarkEnd w:id="93"/>
    </w:p>
    <w:p>
      <w:pPr>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2" w:firstLineChars="200"/>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I 商务要求</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tbl>
      <w:tblPr>
        <w:tblStyle w:val="42"/>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1" w:firstLineChars="1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序号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1" w:firstLineChars="1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条款名称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650" w:firstLineChars="1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说   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详见本项目</w:t>
            </w:r>
            <w:r>
              <w:rPr>
                <w:rFonts w:hint="eastAsia" w:ascii="宋体" w:hAnsi="宋体" w:eastAsia="宋体" w:cs="宋体"/>
                <w:color w:val="auto"/>
                <w:sz w:val="22"/>
                <w:szCs w:val="22"/>
                <w:highlight w:val="none"/>
                <w:lang w:eastAsia="zh-CN"/>
              </w:rPr>
              <w:t>谈判文件</w:t>
            </w:r>
            <w:r>
              <w:rPr>
                <w:rFonts w:hint="eastAsia" w:ascii="宋体" w:hAnsi="宋体" w:eastAsia="宋体" w:cs="宋体"/>
                <w:color w:val="auto"/>
                <w:sz w:val="22"/>
                <w:szCs w:val="22"/>
                <w:highlight w:val="none"/>
              </w:rPr>
              <w:t>第一部分</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邀请“</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 xml:space="preserve">资格要求”。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★完工期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合同签订生效后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45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val="en-US" w:eastAsia="zh-CN"/>
              </w:rPr>
              <w:t>日历日</w:t>
            </w:r>
            <w:r>
              <w:rPr>
                <w:rFonts w:hint="eastAsia" w:ascii="宋体" w:hAnsi="宋体" w:eastAsia="宋体" w:cs="宋体"/>
                <w:color w:val="auto"/>
                <w:sz w:val="22"/>
                <w:szCs w:val="22"/>
                <w:highlight w:val="none"/>
              </w:rPr>
              <w:t>内完成</w:t>
            </w:r>
            <w:r>
              <w:rPr>
                <w:rFonts w:hint="eastAsia" w:ascii="宋体" w:hAnsi="宋体" w:eastAsia="宋体" w:cs="宋体"/>
                <w:color w:val="auto"/>
                <w:sz w:val="22"/>
                <w:szCs w:val="22"/>
                <w:highlight w:val="none"/>
                <w:lang w:val="en-US" w:eastAsia="zh-CN"/>
              </w:rPr>
              <w:t>竣工验收</w:t>
            </w:r>
            <w:r>
              <w:rPr>
                <w:rFonts w:hint="eastAsia" w:ascii="宋体" w:hAnsi="宋体" w:eastAsia="宋体" w:cs="宋体"/>
                <w:color w:val="auto"/>
                <w:sz w:val="22"/>
                <w:szCs w:val="22"/>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★质保期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按国务院《建设工程质量管理条例》第四十条相关规定执行。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施工地点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采购人指定地点。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5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报价要求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1、本项目的报价和结算支付均以人民币为货币单位。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2、供应商报价应包括设计、采购、运输、安装、相关部门验收及保修期内的维护保养等所有含税费用，以及供应商认为必要的其他货物、材料、工程、服务。</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3、如出现任何遗漏内容需产生额外费用，均由成交供应商自行承担，采购人将不再另支付任何费用。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5、供应商应被认为在填报报价之前，已经仔细阅读了本</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文件的所有有关章节以及审查了所有相关资料，已确保本次</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的所有</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范围内的各种价格风险均已包含在</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 xml:space="preserve">的报价内。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6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质量要求和质量保修期</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1、质量：符合国家有关施工质量验收标准的合格工程或合同约定。工程规范以现行的或承担具体施工任务期间国家和行业新颁布施行的规范、规程为准。</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2、材料、设备、施工须达到现行中华人民共和国或行业的工程建设标准、规范的要求及验收标准及有关规范为质量评定验收标准。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3、质量保修期：</w:t>
            </w:r>
            <w:r>
              <w:rPr>
                <w:rFonts w:hint="eastAsia" w:ascii="宋体" w:hAnsi="宋体" w:eastAsia="宋体" w:cs="宋体"/>
                <w:color w:val="auto"/>
                <w:sz w:val="22"/>
                <w:szCs w:val="22"/>
                <w:highlight w:val="none"/>
                <w:lang w:val="en-US" w:eastAsia="zh-CN"/>
              </w:rPr>
              <w:t>按</w:t>
            </w:r>
            <w:r>
              <w:rPr>
                <w:rFonts w:hint="eastAsia" w:ascii="宋体" w:hAnsi="宋体" w:eastAsia="宋体" w:cs="宋体"/>
                <w:color w:val="auto"/>
                <w:sz w:val="22"/>
                <w:szCs w:val="22"/>
                <w:highlight w:val="none"/>
              </w:rPr>
              <w:t>国务院《建设工程质量管理条例》第四十</w:t>
            </w:r>
            <w:r>
              <w:rPr>
                <w:rFonts w:hint="eastAsia" w:ascii="宋体" w:hAnsi="宋体" w:eastAsia="宋体" w:cs="宋体"/>
                <w:color w:val="auto"/>
                <w:sz w:val="22"/>
                <w:szCs w:val="22"/>
                <w:highlight w:val="none"/>
                <w:lang w:val="en-US" w:eastAsia="zh-CN"/>
              </w:rPr>
              <w:t>条相关</w:t>
            </w:r>
            <w:r>
              <w:rPr>
                <w:rFonts w:hint="eastAsia" w:ascii="宋体" w:hAnsi="宋体" w:eastAsia="宋体" w:cs="宋体"/>
                <w:color w:val="auto"/>
                <w:sz w:val="22"/>
                <w:szCs w:val="22"/>
                <w:highlight w:val="none"/>
              </w:rPr>
              <w:t>规定</w:t>
            </w:r>
            <w:r>
              <w:rPr>
                <w:rFonts w:hint="eastAsia" w:ascii="宋体" w:hAnsi="宋体" w:eastAsia="宋体" w:cs="宋体"/>
                <w:color w:val="auto"/>
                <w:sz w:val="22"/>
                <w:szCs w:val="22"/>
                <w:highlight w:val="none"/>
                <w:lang w:val="en-US" w:eastAsia="zh-CN"/>
              </w:rPr>
              <w:t>执行。</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7"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7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验收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2、采购人在收到成交供应商提交的竣工报告后不组织验收，或验收后不提出修改意见，视为竣工报告已被认可。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4、竣工报告被认可，则表明已完成合同工程，并视为通过竣工验收，采购人应向成交供应商颁发工程竣工验收证书。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8</w:t>
            </w:r>
          </w:p>
        </w:tc>
        <w:tc>
          <w:tcPr>
            <w:tcW w:w="147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both"/>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付款方式</w:t>
            </w:r>
          </w:p>
        </w:tc>
        <w:tc>
          <w:tcPr>
            <w:tcW w:w="754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u w:val="none"/>
                <w:lang w:val="en-US" w:eastAsia="zh-CN"/>
              </w:rPr>
              <w:t>合同签订后，支付合同价的20%预付款，随后按进度进行支付</w:t>
            </w:r>
            <w:r>
              <w:rPr>
                <w:rFonts w:hint="eastAsia" w:ascii="宋体" w:hAnsi="宋体" w:eastAsia="宋体" w:cs="宋体"/>
                <w:color w:val="auto"/>
                <w:sz w:val="22"/>
                <w:szCs w:val="22"/>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 xml:space="preserve">9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 xml:space="preserve">项目要求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1、成交人必须遵照采购人的管理及安排，按采购人的内容、质量、时间要求制作,所有的服务必须达到采购人的要求。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2、项目建设工作完成后应按要求及时清理现场工作。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3、★成交供应商必须在施工过程中注意自身及周边安全，负责施工过程中的所有事故处理和费用。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w:t>
            </w: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 xml:space="preserve">中详细列出参与本项目的人员名单。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836"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 xml:space="preserve">10.  </w:t>
            </w:r>
          </w:p>
        </w:tc>
        <w:tc>
          <w:tcPr>
            <w:tcW w:w="1471"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220" w:firstLineChars="100"/>
              <w:jc w:val="lef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 xml:space="preserve">其它要求 </w:t>
            </w:r>
          </w:p>
        </w:tc>
        <w:tc>
          <w:tcPr>
            <w:tcW w:w="7549" w:type="dxa"/>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1、成交供应商施工前后，需负责原有地面拆旧，杂物清理及外运；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2、成交供应商需严格按照采购人需求及设计效果图保质保量施工，不得偷工减料；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 xml:space="preserve">3、施工中使用的原材料必须为原厂全新材料，不得翻旧利旧，保证设计效果质量。 </w:t>
            </w:r>
          </w:p>
        </w:tc>
      </w:tr>
    </w:tbl>
    <w:p>
      <w:pPr>
        <w:tabs>
          <w:tab w:val="left" w:pos="562"/>
        </w:tabs>
        <w:bidi w:val="0"/>
        <w:jc w:val="left"/>
        <w:rPr>
          <w:rFonts w:hint="eastAsia" w:ascii="宋体" w:hAnsi="宋体" w:eastAsia="宋体" w:cs="宋体"/>
          <w:color w:val="auto"/>
          <w:sz w:val="22"/>
          <w:szCs w:val="22"/>
          <w:highlight w:val="none"/>
          <w:lang w:val="zh-CN" w:eastAsia="zh-CN"/>
        </w:rPr>
      </w:pPr>
    </w:p>
    <w:p>
      <w:pPr>
        <w:pStyle w:val="21"/>
        <w:ind w:left="0"/>
        <w:rPr>
          <w:rFonts w:hint="eastAsia" w:ascii="宋体" w:hAnsi="宋体" w:eastAsia="宋体" w:cs="宋体"/>
          <w:color w:val="auto"/>
          <w:sz w:val="22"/>
          <w:szCs w:val="22"/>
          <w:highlight w:val="none"/>
          <w:lang w:val="zh-CN" w:eastAsia="zh-CN"/>
        </w:rPr>
      </w:pPr>
    </w:p>
    <w:p>
      <w:pPr>
        <w:pStyle w:val="21"/>
        <w:ind w:left="0"/>
        <w:rPr>
          <w:rFonts w:hint="eastAsia" w:ascii="宋体" w:hAnsi="宋体" w:eastAsia="宋体" w:cs="宋体"/>
          <w:color w:val="auto"/>
          <w:sz w:val="22"/>
          <w:szCs w:val="22"/>
          <w:highlight w:val="none"/>
          <w:lang w:val="zh-CN" w:eastAsia="zh-CN"/>
        </w:rPr>
      </w:pPr>
    </w:p>
    <w:p>
      <w:pPr>
        <w:pStyle w:val="21"/>
        <w:ind w:left="0"/>
        <w:rPr>
          <w:rFonts w:hint="eastAsia" w:ascii="宋体" w:hAnsi="宋体" w:eastAsia="宋体" w:cs="宋体"/>
          <w:color w:val="auto"/>
          <w:sz w:val="22"/>
          <w:szCs w:val="22"/>
          <w:highlight w:val="none"/>
          <w:lang w:val="zh-CN" w:eastAsia="zh-CN"/>
        </w:rPr>
      </w:pPr>
    </w:p>
    <w:p>
      <w:pPr>
        <w:pStyle w:val="21"/>
        <w:ind w:left="0"/>
        <w:rPr>
          <w:rFonts w:hint="eastAsia" w:ascii="宋体" w:hAnsi="宋体" w:eastAsia="宋体" w:cs="宋体"/>
          <w:color w:val="auto"/>
          <w:sz w:val="22"/>
          <w:szCs w:val="22"/>
          <w:highlight w:val="none"/>
          <w:lang w:val="zh-CN" w:eastAsia="zh-CN"/>
        </w:rPr>
        <w:sectPr>
          <w:footerReference r:id="rId6" w:type="default"/>
          <w:pgSz w:w="11910" w:h="16840"/>
          <w:pgMar w:top="1984" w:right="1531" w:bottom="2098" w:left="1531" w:header="670" w:footer="1041" w:gutter="0"/>
          <w:pgNumType w:fmt="numberInDash" w:chapStyle="1"/>
          <w:cols w:space="720" w:num="1"/>
          <w:rtlGutter w:val="0"/>
          <w:docGrid w:linePitch="1" w:charSpace="0"/>
        </w:sectPr>
      </w:pPr>
      <w:r>
        <w:rPr>
          <w:rFonts w:hint="eastAsia" w:ascii="宋体" w:hAnsi="宋体" w:eastAsia="宋体" w:cs="宋体"/>
          <w:color w:val="auto"/>
          <w:sz w:val="22"/>
          <w:szCs w:val="22"/>
          <w:highlight w:val="none"/>
          <w:lang w:val="zh-CN" w:eastAsia="zh-CN"/>
        </w:rPr>
        <w:t>注：采购项目需求中标注“★部分”条款为实质性条款，供应商如在任何一条负偏离则导致响应无效。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42" w:firstLineChars="20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II  技术要求 </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numPr>
          <w:ilvl w:val="0"/>
          <w:numId w:val="3"/>
        </w:numPr>
        <w:autoSpaceDE w:val="0"/>
        <w:autoSpaceDN w:val="0"/>
        <w:snapToGrid/>
        <w:spacing w:line="44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 xml:space="preserve">工程量清单 </w:t>
      </w:r>
    </w:p>
    <w:p>
      <w:pPr>
        <w:pStyle w:val="8"/>
        <w:spacing w:line="240" w:lineRule="auto"/>
        <w:ind w:left="0" w:leftChars="0" w:firstLine="0" w:firstLineChars="0"/>
        <w:rPr>
          <w:rFonts w:hint="eastAsia" w:ascii="宋体" w:hAnsi="宋体" w:eastAsia="宋体" w:cs="宋体"/>
          <w:color w:val="auto"/>
          <w:sz w:val="22"/>
          <w:szCs w:val="22"/>
          <w:highlight w:val="none"/>
        </w:rPr>
      </w:pPr>
      <w:bookmarkStart w:id="95" w:name="_Toc495501809"/>
      <w:bookmarkStart w:id="96" w:name="_Toc247085856"/>
      <w:bookmarkStart w:id="97" w:name="_Toc246996341"/>
      <w:bookmarkStart w:id="98" w:name="_Toc29412"/>
      <w:bookmarkStart w:id="99" w:name="_Toc152045773"/>
      <w:bookmarkStart w:id="100" w:name="_Toc144974835"/>
      <w:bookmarkStart w:id="101" w:name="_Toc418164814"/>
      <w:bookmarkStart w:id="102" w:name="_Toc179632790"/>
      <w:bookmarkStart w:id="103" w:name="_Toc246997084"/>
      <w:bookmarkStart w:id="104" w:name="_Toc152042555"/>
      <w:r>
        <w:rPr>
          <w:rFonts w:hint="eastAsia" w:ascii="宋体" w:hAnsi="宋体" w:eastAsia="宋体" w:cs="宋体"/>
          <w:color w:val="auto"/>
          <w:sz w:val="22"/>
          <w:szCs w:val="22"/>
          <w:highlight w:val="none"/>
        </w:rPr>
        <w:t>1. 工程量清单说明</w:t>
      </w:r>
      <w:bookmarkEnd w:id="95"/>
      <w:bookmarkEnd w:id="96"/>
      <w:bookmarkEnd w:id="97"/>
      <w:bookmarkEnd w:id="98"/>
      <w:bookmarkEnd w:id="99"/>
      <w:bookmarkEnd w:id="100"/>
      <w:bookmarkEnd w:id="101"/>
      <w:bookmarkEnd w:id="102"/>
      <w:bookmarkEnd w:id="103"/>
      <w:bookmarkEnd w:id="104"/>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本工程量清单是根据</w:t>
      </w:r>
      <w:r>
        <w:rPr>
          <w:rFonts w:hint="eastAsia" w:ascii="宋体" w:hAnsi="宋体" w:eastAsia="宋体" w:cs="宋体"/>
          <w:color w:val="auto"/>
          <w:sz w:val="22"/>
          <w:szCs w:val="22"/>
          <w:highlight w:val="none"/>
          <w:lang w:eastAsia="zh-CN"/>
        </w:rPr>
        <w:t>谈判文件</w:t>
      </w:r>
      <w:r>
        <w:rPr>
          <w:rFonts w:hint="eastAsia" w:ascii="宋体" w:hAnsi="宋体" w:eastAsia="宋体" w:cs="宋体"/>
          <w:color w:val="auto"/>
          <w:sz w:val="22"/>
          <w:szCs w:val="22"/>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本工程量清单应与</w:t>
      </w:r>
      <w:r>
        <w:rPr>
          <w:rFonts w:hint="eastAsia" w:ascii="宋体" w:hAnsi="宋体" w:eastAsia="宋体" w:cs="宋体"/>
          <w:color w:val="auto"/>
          <w:sz w:val="22"/>
          <w:szCs w:val="22"/>
          <w:highlight w:val="none"/>
          <w:lang w:eastAsia="zh-CN"/>
        </w:rPr>
        <w:t>谈判文件</w:t>
      </w:r>
      <w:r>
        <w:rPr>
          <w:rFonts w:hint="eastAsia" w:ascii="宋体" w:hAnsi="宋体" w:eastAsia="宋体" w:cs="宋体"/>
          <w:color w:val="auto"/>
          <w:sz w:val="22"/>
          <w:szCs w:val="22"/>
          <w:highlight w:val="none"/>
        </w:rPr>
        <w:t>中的</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须知、通用合同条款、专用合同条款、技术标准和要求及图纸等一起阅读和理解。</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本工程量清单仅是投标报价的共同基础，实际工程计量和工程价款的支付应遵循合同条款的约定和第七章“技术标准和要求”的有关规定。</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补充子目工程量计算规则及子目工作内容说明：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8"/>
        <w:spacing w:line="360" w:lineRule="exact"/>
        <w:ind w:left="0" w:leftChars="0" w:firstLine="0" w:firstLineChars="0"/>
        <w:rPr>
          <w:rFonts w:hint="eastAsia" w:ascii="宋体" w:hAnsi="宋体" w:eastAsia="宋体" w:cs="宋体"/>
          <w:color w:val="auto"/>
          <w:sz w:val="22"/>
          <w:szCs w:val="22"/>
          <w:highlight w:val="none"/>
        </w:rPr>
      </w:pPr>
      <w:bookmarkStart w:id="105" w:name="_Toc152042556"/>
      <w:bookmarkStart w:id="106" w:name="_Toc144974836"/>
      <w:bookmarkStart w:id="107" w:name="_Toc179632791"/>
      <w:bookmarkStart w:id="108" w:name="_Toc247085857"/>
      <w:bookmarkStart w:id="109" w:name="_Toc3616"/>
      <w:bookmarkStart w:id="110" w:name="_Toc246997085"/>
      <w:bookmarkStart w:id="111" w:name="_Toc418164815"/>
      <w:bookmarkStart w:id="112" w:name="_Toc495501810"/>
      <w:bookmarkStart w:id="113" w:name="_Toc246996342"/>
      <w:bookmarkStart w:id="114" w:name="_Toc152045774"/>
      <w:r>
        <w:rPr>
          <w:rFonts w:hint="eastAsia" w:ascii="宋体" w:hAnsi="宋体" w:eastAsia="宋体" w:cs="宋体"/>
          <w:color w:val="auto"/>
          <w:sz w:val="22"/>
          <w:szCs w:val="22"/>
          <w:highlight w:val="none"/>
        </w:rPr>
        <w:t>2. 投标报价说明</w:t>
      </w:r>
      <w:bookmarkEnd w:id="105"/>
      <w:bookmarkEnd w:id="106"/>
      <w:bookmarkEnd w:id="107"/>
      <w:bookmarkEnd w:id="108"/>
      <w:bookmarkEnd w:id="109"/>
      <w:bookmarkEnd w:id="110"/>
      <w:bookmarkEnd w:id="111"/>
      <w:bookmarkEnd w:id="112"/>
      <w:bookmarkEnd w:id="113"/>
      <w:bookmarkEnd w:id="114"/>
    </w:p>
    <w:p>
      <w:pPr>
        <w:spacing w:line="360" w:lineRule="exact"/>
        <w:rPr>
          <w:rFonts w:hint="eastAsia" w:ascii="宋体" w:hAnsi="宋体" w:eastAsia="宋体" w:cs="宋体"/>
          <w:color w:val="auto"/>
          <w:sz w:val="22"/>
          <w:szCs w:val="22"/>
          <w:highlight w:val="none"/>
        </w:rPr>
      </w:pPr>
      <w:bookmarkStart w:id="115" w:name="_Toc144974837"/>
      <w:bookmarkStart w:id="116" w:name="_Toc144974838"/>
      <w:bookmarkStart w:id="117" w:name="_Toc247085859"/>
      <w:bookmarkStart w:id="118" w:name="_Toc152042557"/>
      <w:bookmarkStart w:id="119" w:name="_Toc152042558"/>
      <w:bookmarkStart w:id="120" w:name="_Toc152045775"/>
      <w:bookmarkStart w:id="121" w:name="_Toc246997087"/>
      <w:bookmarkStart w:id="122" w:name="_Toc152045776"/>
      <w:bookmarkStart w:id="123" w:name="_Toc246996344"/>
      <w:bookmarkStart w:id="124" w:name="_Toc179632793"/>
      <w:r>
        <w:rPr>
          <w:rFonts w:hint="eastAsia" w:ascii="宋体" w:hAnsi="宋体" w:eastAsia="宋体" w:cs="宋体"/>
          <w:color w:val="auto"/>
          <w:sz w:val="22"/>
          <w:szCs w:val="22"/>
          <w:highlight w:val="none"/>
        </w:rPr>
        <w:t>2.1</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投标报价应根据</w:t>
      </w:r>
      <w:r>
        <w:rPr>
          <w:rFonts w:hint="eastAsia" w:ascii="宋体" w:hAnsi="宋体" w:eastAsia="宋体" w:cs="宋体"/>
          <w:color w:val="auto"/>
          <w:sz w:val="22"/>
          <w:szCs w:val="22"/>
          <w:highlight w:val="none"/>
          <w:lang w:eastAsia="zh-CN"/>
        </w:rPr>
        <w:t>谈判文件</w:t>
      </w:r>
      <w:r>
        <w:rPr>
          <w:rFonts w:hint="eastAsia" w:ascii="宋体" w:hAnsi="宋体" w:eastAsia="宋体" w:cs="宋体"/>
          <w:color w:val="auto"/>
          <w:sz w:val="22"/>
          <w:szCs w:val="22"/>
          <w:highlight w:val="none"/>
        </w:rPr>
        <w:t>中的有关计价要求，并按照下列依据自主报价（另附）</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工程量清单中的每一子目须填入单价或价格，且只允许有一个报价。工程量清单中</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没有填入单价或价格的子目，其费用视为已分摊在工程量清单中其他相关子目的单价或价格之中。</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 工程量清单中标价的单价或金额，应包括所需的人工费、材料和施工机具使用费和企业管理费、利润以及一定范围内的风险费用等。</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投标总报价为</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完成招标范围所述的全部工程内容的体现和完成该工程项目的成本、管理费、技术措施费、利润、风险费及政策性文件规定的不可竞争费用、规费和税金等所有费用，以及所有根据合同或其它原因由</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支付的税金和其它应缴纳的费用。</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2.5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暂列金额的数量及拟用子目的说明：（另附）</w:t>
      </w:r>
    </w:p>
    <w:p>
      <w:pPr>
        <w:pStyle w:val="8"/>
        <w:spacing w:line="360" w:lineRule="exact"/>
        <w:ind w:left="0" w:leftChars="0" w:firstLine="0" w:firstLineChars="0"/>
        <w:rPr>
          <w:rFonts w:hint="eastAsia" w:ascii="宋体" w:hAnsi="宋体" w:eastAsia="宋体" w:cs="宋体"/>
          <w:color w:val="auto"/>
          <w:sz w:val="22"/>
          <w:szCs w:val="22"/>
          <w:highlight w:val="none"/>
        </w:rPr>
      </w:pPr>
      <w:bookmarkStart w:id="125" w:name="_Toc179632792"/>
      <w:bookmarkStart w:id="126" w:name="_Toc246996343"/>
      <w:bookmarkStart w:id="127" w:name="_Toc247085858"/>
      <w:bookmarkStart w:id="128" w:name="_Toc411795051"/>
      <w:bookmarkStart w:id="129" w:name="_Toc418164816"/>
      <w:bookmarkStart w:id="130" w:name="_Toc10595"/>
      <w:bookmarkStart w:id="131" w:name="_Toc246997086"/>
      <w:bookmarkStart w:id="132" w:name="_Toc495501811"/>
      <w:r>
        <w:rPr>
          <w:rFonts w:hint="eastAsia" w:ascii="宋体" w:hAnsi="宋体" w:eastAsia="宋体" w:cs="宋体"/>
          <w:color w:val="auto"/>
          <w:sz w:val="22"/>
          <w:szCs w:val="22"/>
          <w:highlight w:val="none"/>
        </w:rPr>
        <w:t>3. 其他说明</w:t>
      </w:r>
      <w:bookmarkEnd w:id="125"/>
      <w:bookmarkEnd w:id="126"/>
      <w:bookmarkEnd w:id="127"/>
      <w:bookmarkEnd w:id="128"/>
      <w:bookmarkEnd w:id="129"/>
      <w:bookmarkEnd w:id="130"/>
      <w:bookmarkEnd w:id="131"/>
      <w:bookmarkEnd w:id="132"/>
    </w:p>
    <w:p>
      <w:pPr>
        <w:pStyle w:val="8"/>
        <w:spacing w:line="360" w:lineRule="exact"/>
        <w:ind w:left="0" w:leftChars="0" w:firstLine="0" w:firstLineChars="0"/>
        <w:rPr>
          <w:rFonts w:hint="eastAsia" w:ascii="宋体" w:hAnsi="宋体" w:eastAsia="宋体" w:cs="宋体"/>
          <w:color w:val="auto"/>
          <w:sz w:val="22"/>
          <w:szCs w:val="22"/>
          <w:highlight w:val="none"/>
        </w:rPr>
      </w:pPr>
    </w:p>
    <w:p>
      <w:pPr>
        <w:pStyle w:val="8"/>
        <w:spacing w:line="360" w:lineRule="exact"/>
        <w:ind w:left="0" w:leftChars="0" w:firstLine="0" w:firstLineChars="0"/>
        <w:rPr>
          <w:rFonts w:hint="eastAsia" w:ascii="宋体" w:hAnsi="宋体" w:eastAsia="宋体" w:cs="宋体"/>
          <w:color w:val="auto"/>
          <w:sz w:val="22"/>
          <w:szCs w:val="22"/>
          <w:highlight w:val="none"/>
        </w:rPr>
      </w:pPr>
      <w:bookmarkStart w:id="133" w:name="_Toc418164817"/>
      <w:bookmarkStart w:id="134" w:name="_Toc495501812"/>
      <w:bookmarkStart w:id="135" w:name="_Toc22121"/>
      <w:r>
        <w:rPr>
          <w:rFonts w:hint="eastAsia" w:ascii="宋体" w:hAnsi="宋体" w:eastAsia="宋体" w:cs="宋体"/>
          <w:color w:val="auto"/>
          <w:sz w:val="22"/>
          <w:szCs w:val="22"/>
          <w:highlight w:val="none"/>
        </w:rPr>
        <w:t>4. 工程量清单</w:t>
      </w:r>
      <w:bookmarkEnd w:id="115"/>
      <w:bookmarkEnd w:id="116"/>
      <w:bookmarkEnd w:id="117"/>
      <w:bookmarkEnd w:id="118"/>
      <w:bookmarkEnd w:id="119"/>
      <w:bookmarkEnd w:id="120"/>
      <w:bookmarkEnd w:id="121"/>
      <w:bookmarkEnd w:id="122"/>
      <w:bookmarkEnd w:id="123"/>
      <w:bookmarkEnd w:id="124"/>
      <w:bookmarkEnd w:id="133"/>
      <w:r>
        <w:rPr>
          <w:rFonts w:hint="eastAsia" w:ascii="宋体" w:hAnsi="宋体" w:eastAsia="宋体" w:cs="宋体"/>
          <w:color w:val="auto"/>
          <w:sz w:val="22"/>
          <w:szCs w:val="22"/>
          <w:highlight w:val="none"/>
        </w:rPr>
        <w:t xml:space="preserve"> （以电子版格式作为附件另附）</w:t>
      </w:r>
      <w:bookmarkEnd w:id="134"/>
      <w:bookmarkEnd w:id="135"/>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二、图纸（</w:t>
      </w:r>
      <w:r>
        <w:rPr>
          <w:rFonts w:hint="eastAsia" w:ascii="宋体" w:hAnsi="宋体" w:eastAsia="宋体" w:cs="宋体"/>
          <w:b/>
          <w:bCs/>
          <w:color w:val="auto"/>
          <w:sz w:val="22"/>
          <w:szCs w:val="22"/>
          <w:highlight w:val="none"/>
          <w:lang w:val="en-US" w:eastAsia="zh-CN"/>
        </w:rPr>
        <w:t>如有，</w:t>
      </w:r>
      <w:r>
        <w:rPr>
          <w:rFonts w:hint="eastAsia" w:ascii="宋体" w:hAnsi="宋体" w:eastAsia="宋体" w:cs="宋体"/>
          <w:b/>
          <w:bCs/>
          <w:color w:val="auto"/>
          <w:sz w:val="22"/>
          <w:szCs w:val="22"/>
          <w:highlight w:val="none"/>
        </w:rPr>
        <w:t>另附）</w:t>
      </w:r>
    </w:p>
    <w:p>
      <w:pPr>
        <w:keepNext w:val="0"/>
        <w:keepLines w:val="0"/>
        <w:pageBreakBefore w:val="0"/>
        <w:widowControl w:val="0"/>
        <w:kinsoku/>
        <w:wordWrap/>
        <w:overflowPunct/>
        <w:topLinePunct w:val="0"/>
        <w:autoSpaceDE w:val="0"/>
        <w:autoSpaceDN w:val="0"/>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sectPr>
          <w:headerReference r:id="rId7" w:type="default"/>
          <w:pgSz w:w="11910" w:h="16840"/>
          <w:pgMar w:top="1984" w:right="1531" w:bottom="2098" w:left="1531" w:header="670" w:footer="1041" w:gutter="0"/>
          <w:pgNumType w:fmt="numberInDash" w:chapStyle="1"/>
          <w:cols w:space="720" w:num="1"/>
          <w:rtlGutter w:val="0"/>
          <w:docGrid w:linePitch="1" w:charSpace="0"/>
        </w:sectPr>
      </w:pPr>
    </w:p>
    <w:p>
      <w:pPr>
        <w:pStyle w:val="7"/>
        <w:jc w:val="center"/>
        <w:rPr>
          <w:rFonts w:hint="eastAsia" w:ascii="宋体" w:hAnsi="宋体" w:eastAsia="宋体" w:cs="宋体"/>
          <w:b/>
          <w:bCs/>
          <w:color w:val="auto"/>
          <w:kern w:val="0"/>
          <w:sz w:val="32"/>
          <w:szCs w:val="32"/>
          <w:highlight w:val="none"/>
          <w:lang w:val="en-US" w:eastAsia="zh-CN" w:bidi="ar-SA"/>
        </w:rPr>
      </w:pPr>
      <w:bookmarkStart w:id="136" w:name="_Toc16858"/>
      <w:r>
        <w:rPr>
          <w:rFonts w:hint="eastAsia" w:ascii="宋体" w:hAnsi="宋体" w:eastAsia="宋体" w:cs="宋体"/>
          <w:b/>
          <w:bCs/>
          <w:color w:val="auto"/>
          <w:kern w:val="0"/>
          <w:sz w:val="32"/>
          <w:szCs w:val="32"/>
          <w:highlight w:val="none"/>
          <w:lang w:val="en-US" w:eastAsia="zh-CN" w:bidi="ar-SA"/>
        </w:rPr>
        <w:t xml:space="preserve">第五部分  </w:t>
      </w:r>
      <w:bookmarkEnd w:id="90"/>
      <w:bookmarkEnd w:id="91"/>
      <w:bookmarkEnd w:id="92"/>
      <w:bookmarkEnd w:id="94"/>
      <w:r>
        <w:rPr>
          <w:rFonts w:hint="eastAsia" w:ascii="宋体" w:hAnsi="宋体" w:eastAsia="宋体" w:cs="宋体"/>
          <w:b/>
          <w:bCs/>
          <w:color w:val="auto"/>
          <w:kern w:val="0"/>
          <w:sz w:val="32"/>
          <w:szCs w:val="32"/>
          <w:highlight w:val="none"/>
          <w:lang w:val="en-US" w:eastAsia="zh-CN" w:bidi="ar-SA"/>
        </w:rPr>
        <w:t>评定和成交标准</w:t>
      </w:r>
      <w:bookmarkEnd w:id="136"/>
    </w:p>
    <w:p>
      <w:pPr>
        <w:overflowPunct w:val="0"/>
        <w:topLinePunct/>
        <w:autoSpaceDN w:val="0"/>
        <w:adjustRightInd w:val="0"/>
        <w:snapToGrid w:val="0"/>
        <w:spacing w:line="360" w:lineRule="auto"/>
        <w:jc w:val="left"/>
        <w:outlineLvl w:val="0"/>
        <w:rPr>
          <w:rFonts w:hint="eastAsia" w:ascii="宋体" w:hAnsi="宋体" w:eastAsia="宋体" w:cs="宋体"/>
          <w:b/>
          <w:bCs/>
          <w:snapToGrid w:val="0"/>
          <w:color w:val="auto"/>
          <w:kern w:val="0"/>
          <w:sz w:val="22"/>
          <w:szCs w:val="22"/>
          <w:highlight w:val="none"/>
          <w:lang w:eastAsia="zh-CN"/>
        </w:rPr>
      </w:pPr>
      <w:bookmarkStart w:id="137" w:name="_Toc44690684"/>
      <w:bookmarkStart w:id="138" w:name="_Toc43363081"/>
      <w:bookmarkStart w:id="139" w:name="_Toc44690610"/>
      <w:bookmarkStart w:id="140" w:name="_Toc51232717"/>
      <w:bookmarkStart w:id="141" w:name="_Toc6956"/>
      <w:r>
        <w:rPr>
          <w:rFonts w:hint="eastAsia" w:ascii="宋体" w:hAnsi="宋体" w:eastAsia="宋体" w:cs="宋体"/>
          <w:b/>
          <w:bCs/>
          <w:snapToGrid w:val="0"/>
          <w:color w:val="auto"/>
          <w:kern w:val="0"/>
          <w:sz w:val="22"/>
          <w:szCs w:val="22"/>
          <w:highlight w:val="none"/>
        </w:rPr>
        <w:t>一、</w:t>
      </w:r>
      <w:bookmarkEnd w:id="137"/>
      <w:bookmarkEnd w:id="138"/>
      <w:bookmarkEnd w:id="139"/>
      <w:r>
        <w:rPr>
          <w:rFonts w:hint="eastAsia" w:ascii="宋体" w:hAnsi="宋体" w:eastAsia="宋体" w:cs="宋体"/>
          <w:b/>
          <w:bCs/>
          <w:snapToGrid w:val="0"/>
          <w:color w:val="auto"/>
          <w:kern w:val="0"/>
          <w:sz w:val="22"/>
          <w:szCs w:val="22"/>
          <w:highlight w:val="none"/>
        </w:rPr>
        <w:t>资格</w:t>
      </w:r>
      <w:r>
        <w:rPr>
          <w:rFonts w:hint="eastAsia" w:ascii="宋体" w:hAnsi="宋体" w:eastAsia="宋体" w:cs="宋体"/>
          <w:b/>
          <w:bCs/>
          <w:snapToGrid w:val="0"/>
          <w:color w:val="auto"/>
          <w:kern w:val="0"/>
          <w:sz w:val="22"/>
          <w:szCs w:val="22"/>
          <w:highlight w:val="none"/>
          <w:lang w:val="en-US" w:eastAsia="zh-CN"/>
        </w:rPr>
        <w:t>审查</w:t>
      </w:r>
      <w:bookmarkEnd w:id="140"/>
      <w:r>
        <w:rPr>
          <w:rFonts w:hint="eastAsia" w:ascii="宋体" w:hAnsi="宋体" w:eastAsia="宋体" w:cs="宋体"/>
          <w:b/>
          <w:bCs/>
          <w:snapToGrid w:val="0"/>
          <w:color w:val="auto"/>
          <w:kern w:val="0"/>
          <w:sz w:val="22"/>
          <w:szCs w:val="22"/>
          <w:highlight w:val="none"/>
          <w:lang w:val="en-US" w:eastAsia="zh-CN"/>
        </w:rPr>
        <w:t>表</w:t>
      </w:r>
      <w:bookmarkEnd w:id="141"/>
    </w:p>
    <w:tbl>
      <w:tblPr>
        <w:tblStyle w:val="42"/>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法人或者其他组织的营业执照等证明文件，自然人的身份证明（身份证为正、反面）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2023年度或2024年度的财务状况报告或银行资信证明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具备履行合同所必需的设备和专业技术能力的书面声明（</w:t>
            </w:r>
            <w:r>
              <w:rPr>
                <w:rFonts w:hint="eastAsia" w:ascii="宋体" w:hAnsi="宋体" w:eastAsia="宋体" w:cs="宋体"/>
                <w:color w:val="auto"/>
                <w:sz w:val="22"/>
                <w:szCs w:val="22"/>
                <w:highlight w:val="none"/>
                <w:lang w:val="en-US"/>
              </w:rPr>
              <w:t>格式见</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文件第五部分响应文件格式</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参加政府采购活动前 3 年内在经营活动中没有重大违法记录的书面声明（</w:t>
            </w:r>
            <w:r>
              <w:rPr>
                <w:rFonts w:hint="eastAsia" w:ascii="宋体" w:hAnsi="宋体" w:eastAsia="宋体" w:cs="宋体"/>
                <w:color w:val="auto"/>
                <w:sz w:val="22"/>
                <w:szCs w:val="22"/>
                <w:highlight w:val="none"/>
                <w:lang w:val="en-US"/>
              </w:rPr>
              <w:t>格式见</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文件第五部分响应文件格式</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6</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本项目特定资格要求证明文件：</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lang w:val="en-US"/>
              </w:rPr>
              <w:t>供应商须具有由住房和城乡建设部门颁发并在有效期内的建筑装修装饰工程专业承包</w:t>
            </w:r>
            <w:r>
              <w:rPr>
                <w:rFonts w:hint="eastAsia" w:ascii="宋体" w:hAnsi="宋体" w:eastAsia="宋体" w:cs="宋体"/>
                <w:b/>
                <w:color w:val="auto"/>
                <w:sz w:val="22"/>
                <w:szCs w:val="22"/>
                <w:highlight w:val="none"/>
                <w:lang w:val="en-US" w:eastAsia="zh-CN"/>
              </w:rPr>
              <w:t>二级及以上</w:t>
            </w:r>
            <w:r>
              <w:rPr>
                <w:rFonts w:hint="eastAsia" w:ascii="宋体" w:hAnsi="宋体" w:eastAsia="宋体" w:cs="宋体"/>
                <w:b/>
                <w:color w:val="auto"/>
                <w:sz w:val="22"/>
                <w:szCs w:val="22"/>
                <w:highlight w:val="none"/>
                <w:lang w:val="en-US"/>
              </w:rPr>
              <w:t xml:space="preserve">资质； </w:t>
            </w:r>
          </w:p>
          <w:p>
            <w:pPr>
              <w:snapToGrid w:val="0"/>
              <w:spacing w:beforeLines="0" w:afterLine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 xml:space="preserve">（2） </w:t>
            </w:r>
            <w:r>
              <w:rPr>
                <w:rFonts w:hint="eastAsia" w:ascii="宋体" w:hAnsi="宋体" w:eastAsia="宋体" w:cs="宋体"/>
                <w:b/>
                <w:color w:val="auto"/>
                <w:sz w:val="22"/>
                <w:szCs w:val="22"/>
                <w:highlight w:val="none"/>
                <w:lang w:val="en-US"/>
              </w:rPr>
              <w:t xml:space="preserve">供应商须具有由住房和城乡建设部门颁发并在有效期内的《安全生产许可证》。 </w:t>
            </w:r>
          </w:p>
          <w:p>
            <w:pPr>
              <w:snapToGrid w:val="0"/>
              <w:spacing w:beforeLines="0" w:afterLine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lang w:val="en-US"/>
              </w:rPr>
              <w:t>项目负责人资质类别及等级：</w:t>
            </w:r>
            <w:r>
              <w:rPr>
                <w:rFonts w:hint="eastAsia" w:ascii="宋体" w:hAnsi="宋体" w:eastAsia="宋体" w:cs="宋体"/>
                <w:b/>
                <w:color w:val="auto"/>
                <w:sz w:val="22"/>
                <w:szCs w:val="22"/>
                <w:highlight w:val="none"/>
                <w:lang w:val="en-US" w:eastAsia="zh-CN"/>
              </w:rPr>
              <w:t>供应商</w:t>
            </w:r>
            <w:r>
              <w:rPr>
                <w:rFonts w:hint="eastAsia" w:ascii="宋体" w:hAnsi="宋体" w:eastAsia="宋体" w:cs="宋体"/>
                <w:b/>
                <w:color w:val="auto"/>
                <w:sz w:val="22"/>
                <w:szCs w:val="22"/>
                <w:highlight w:val="none"/>
                <w:lang w:val="en-US"/>
              </w:rPr>
              <w:t>拟派项目经理须具备</w:t>
            </w:r>
            <w:r>
              <w:rPr>
                <w:rFonts w:hint="eastAsia" w:ascii="宋体" w:hAnsi="宋体" w:eastAsia="宋体" w:cs="宋体"/>
                <w:b/>
                <w:color w:val="auto"/>
                <w:sz w:val="22"/>
                <w:szCs w:val="22"/>
                <w:highlight w:val="none"/>
                <w:lang w:val="en-US" w:eastAsia="zh-CN"/>
              </w:rPr>
              <w:t>建筑工程</w:t>
            </w:r>
            <w:r>
              <w:rPr>
                <w:rFonts w:hint="eastAsia" w:ascii="宋体" w:hAnsi="宋体" w:eastAsia="宋体" w:cs="宋体"/>
                <w:b/>
                <w:color w:val="auto"/>
                <w:sz w:val="22"/>
                <w:szCs w:val="22"/>
                <w:highlight w:val="none"/>
                <w:lang w:val="en-US"/>
              </w:rPr>
              <w:t>二级及以上注册建造师执业资格，具备有效的安全生产考核合格证书（B类），且未担任其他在建设工程项目的项目经理</w:t>
            </w:r>
            <w:r>
              <w:rPr>
                <w:rFonts w:hint="eastAsia" w:ascii="宋体" w:hAnsi="宋体" w:eastAsia="宋体" w:cs="宋体"/>
                <w:b/>
                <w:color w:val="auto"/>
                <w:sz w:val="22"/>
                <w:szCs w:val="22"/>
                <w:highlight w:val="none"/>
                <w:lang w:val="en-US" w:eastAsia="zh-CN"/>
              </w:rPr>
              <w:t>的书面声明</w:t>
            </w:r>
            <w:r>
              <w:rPr>
                <w:rFonts w:hint="eastAsia" w:ascii="宋体" w:hAnsi="宋体" w:eastAsia="宋体" w:cs="宋体"/>
                <w:b/>
                <w:color w:val="auto"/>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7</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法人授权书（</w:t>
            </w:r>
            <w:r>
              <w:rPr>
                <w:rFonts w:hint="eastAsia" w:ascii="宋体" w:hAnsi="宋体" w:eastAsia="宋体" w:cs="宋体"/>
                <w:color w:val="auto"/>
                <w:sz w:val="22"/>
                <w:szCs w:val="22"/>
                <w:highlight w:val="none"/>
                <w:lang w:val="en-US"/>
              </w:rPr>
              <w:t>格式见</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文件第</w:t>
            </w:r>
            <w:r>
              <w:rPr>
                <w:rFonts w:hint="eastAsia" w:ascii="宋体" w:hAnsi="宋体" w:eastAsia="宋体" w:cs="宋体"/>
                <w:color w:val="auto"/>
                <w:sz w:val="22"/>
                <w:szCs w:val="22"/>
                <w:highlight w:val="none"/>
                <w:lang w:val="en-US" w:eastAsia="zh-CN"/>
              </w:rPr>
              <w:t>七</w:t>
            </w:r>
            <w:r>
              <w:rPr>
                <w:rFonts w:hint="eastAsia" w:ascii="宋体" w:hAnsi="宋体" w:eastAsia="宋体" w:cs="宋体"/>
                <w:color w:val="auto"/>
                <w:sz w:val="22"/>
                <w:szCs w:val="22"/>
                <w:highlight w:val="none"/>
                <w:lang w:val="en-US"/>
              </w:rPr>
              <w:t>部分响应文件</w:t>
            </w:r>
            <w:r>
              <w:rPr>
                <w:rFonts w:hint="eastAsia" w:ascii="宋体" w:hAnsi="宋体" w:eastAsia="宋体" w:cs="宋体"/>
                <w:color w:val="auto"/>
                <w:sz w:val="22"/>
                <w:szCs w:val="22"/>
                <w:highlight w:val="none"/>
                <w:lang w:val="en-US" w:eastAsia="zh-CN"/>
              </w:rPr>
              <w:t>内容要求及</w:t>
            </w:r>
            <w:r>
              <w:rPr>
                <w:rFonts w:hint="eastAsia" w:ascii="宋体" w:hAnsi="宋体" w:eastAsia="宋体" w:cs="宋体"/>
                <w:color w:val="auto"/>
                <w:sz w:val="22"/>
                <w:szCs w:val="22"/>
                <w:highlight w:val="none"/>
                <w:lang w:val="en-US"/>
              </w:rPr>
              <w:t>格式</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ins w:id="0" w:author="user" w:date="2025-06-03T12:55:59Z"/>
        </w:trPr>
        <w:tc>
          <w:tcPr>
            <w:tcW w:w="77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84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保证金汇款凭证或保函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说明：</w:t>
            </w:r>
            <w:r>
              <w:rPr>
                <w:rFonts w:hint="eastAsia" w:ascii="宋体" w:hAnsi="宋体" w:eastAsia="宋体" w:cs="宋体"/>
                <w:b/>
                <w:color w:val="auto"/>
                <w:sz w:val="22"/>
                <w:szCs w:val="22"/>
                <w:highlight w:val="none"/>
                <w:lang w:val="en-US"/>
              </w:rPr>
              <w:t>以上资格证明文件</w:t>
            </w:r>
            <w:r>
              <w:rPr>
                <w:rFonts w:hint="eastAsia" w:ascii="宋体" w:hAnsi="宋体" w:eastAsia="宋体" w:cs="宋体"/>
                <w:b/>
                <w:color w:val="auto"/>
                <w:sz w:val="22"/>
                <w:szCs w:val="22"/>
                <w:highlight w:val="none"/>
                <w:lang w:val="en-US" w:eastAsia="zh-CN"/>
              </w:rPr>
              <w:t>请按</w:t>
            </w:r>
            <w:r>
              <w:rPr>
                <w:rFonts w:hint="eastAsia" w:ascii="宋体" w:hAnsi="宋体" w:eastAsia="宋体" w:cs="宋体"/>
                <w:b/>
                <w:color w:val="auto"/>
                <w:sz w:val="22"/>
                <w:szCs w:val="22"/>
                <w:highlight w:val="none"/>
                <w:lang w:val="en-US"/>
              </w:rPr>
              <w:t>要求提交，</w:t>
            </w:r>
            <w:r>
              <w:rPr>
                <w:rFonts w:hint="eastAsia" w:ascii="宋体" w:hAnsi="宋体" w:eastAsia="宋体" w:cs="宋体"/>
                <w:b/>
                <w:color w:val="auto"/>
                <w:sz w:val="22"/>
                <w:szCs w:val="22"/>
                <w:highlight w:val="none"/>
              </w:rPr>
              <w:t>供应商必须满足资格</w:t>
            </w:r>
            <w:r>
              <w:rPr>
                <w:rFonts w:hint="eastAsia" w:ascii="宋体" w:hAnsi="宋体" w:eastAsia="宋体" w:cs="宋体"/>
                <w:b/>
                <w:color w:val="auto"/>
                <w:sz w:val="22"/>
                <w:szCs w:val="22"/>
                <w:highlight w:val="none"/>
                <w:lang w:val="en-US"/>
              </w:rPr>
              <w:t>性</w:t>
            </w:r>
            <w:r>
              <w:rPr>
                <w:rFonts w:hint="eastAsia" w:ascii="宋体" w:hAnsi="宋体" w:eastAsia="宋体" w:cs="宋体"/>
                <w:b/>
                <w:color w:val="auto"/>
                <w:sz w:val="22"/>
                <w:szCs w:val="22"/>
                <w:highlight w:val="none"/>
              </w:rPr>
              <w:t xml:space="preserve">审查表内所有条款，否则被认定为无效响应。 </w:t>
            </w:r>
          </w:p>
        </w:tc>
      </w:tr>
    </w:tbl>
    <w:p>
      <w:pPr>
        <w:overflowPunct w:val="0"/>
        <w:topLinePunct/>
        <w:autoSpaceDN w:val="0"/>
        <w:adjustRightInd w:val="0"/>
        <w:snapToGrid w:val="0"/>
        <w:spacing w:line="360" w:lineRule="auto"/>
        <w:rPr>
          <w:rFonts w:hint="eastAsia" w:ascii="宋体" w:hAnsi="宋体" w:eastAsia="宋体" w:cs="宋体"/>
          <w:b/>
          <w:bCs/>
          <w:snapToGrid w:val="0"/>
          <w:color w:val="auto"/>
          <w:kern w:val="0"/>
          <w:sz w:val="22"/>
          <w:szCs w:val="22"/>
          <w:highlight w:val="none"/>
        </w:rPr>
      </w:pPr>
    </w:p>
    <w:p>
      <w:pPr>
        <w:pStyle w:val="21"/>
        <w:rPr>
          <w:rFonts w:hint="eastAsia" w:ascii="宋体" w:hAnsi="宋体" w:eastAsia="宋体" w:cs="宋体"/>
          <w:b/>
          <w:bCs/>
          <w:snapToGrid w:val="0"/>
          <w:color w:val="auto"/>
          <w:kern w:val="0"/>
          <w:sz w:val="22"/>
          <w:szCs w:val="22"/>
          <w:highlight w:val="none"/>
        </w:rPr>
      </w:pPr>
    </w:p>
    <w:p>
      <w:pPr>
        <w:rPr>
          <w:rFonts w:hint="eastAsia" w:ascii="宋体" w:hAnsi="宋体" w:eastAsia="宋体" w:cs="宋体"/>
          <w:b/>
          <w:bCs/>
          <w:snapToGrid w:val="0"/>
          <w:color w:val="auto"/>
          <w:kern w:val="0"/>
          <w:sz w:val="22"/>
          <w:szCs w:val="22"/>
          <w:highlight w:val="none"/>
        </w:rPr>
      </w:pPr>
    </w:p>
    <w:p>
      <w:pPr>
        <w:pStyle w:val="21"/>
        <w:rPr>
          <w:rFonts w:hint="eastAsia" w:ascii="宋体" w:hAnsi="宋体" w:eastAsia="宋体" w:cs="宋体"/>
          <w:b/>
          <w:bCs/>
          <w:snapToGrid w:val="0"/>
          <w:color w:val="auto"/>
          <w:kern w:val="0"/>
          <w:sz w:val="22"/>
          <w:szCs w:val="22"/>
          <w:highlight w:val="none"/>
        </w:rPr>
      </w:pPr>
    </w:p>
    <w:p>
      <w:pPr>
        <w:overflowPunct w:val="0"/>
        <w:topLinePunct/>
        <w:autoSpaceDN w:val="0"/>
        <w:adjustRightInd w:val="0"/>
        <w:snapToGrid w:val="0"/>
        <w:spacing w:line="360" w:lineRule="auto"/>
        <w:rPr>
          <w:rFonts w:hint="eastAsia" w:ascii="宋体" w:hAnsi="宋体" w:eastAsia="宋体" w:cs="宋体"/>
          <w:b/>
          <w:bCs/>
          <w:snapToGrid w:val="0"/>
          <w:color w:val="auto"/>
          <w:kern w:val="0"/>
          <w:sz w:val="22"/>
          <w:szCs w:val="22"/>
          <w:highlight w:val="none"/>
          <w:lang w:eastAsia="zh-CN"/>
        </w:rPr>
      </w:pPr>
      <w:r>
        <w:rPr>
          <w:rFonts w:hint="eastAsia" w:ascii="宋体" w:hAnsi="宋体" w:eastAsia="宋体" w:cs="宋体"/>
          <w:b/>
          <w:bCs/>
          <w:snapToGrid w:val="0"/>
          <w:color w:val="auto"/>
          <w:kern w:val="0"/>
          <w:sz w:val="22"/>
          <w:szCs w:val="22"/>
          <w:highlight w:val="none"/>
        </w:rPr>
        <w:t>二、</w:t>
      </w:r>
      <w:r>
        <w:rPr>
          <w:rFonts w:hint="eastAsia" w:ascii="宋体" w:hAnsi="宋体" w:eastAsia="宋体" w:cs="宋体"/>
          <w:b/>
          <w:bCs/>
          <w:snapToGrid w:val="0"/>
          <w:color w:val="auto"/>
          <w:kern w:val="0"/>
          <w:sz w:val="22"/>
          <w:szCs w:val="22"/>
          <w:highlight w:val="none"/>
          <w:lang w:val="en-US" w:eastAsia="zh-CN"/>
        </w:rPr>
        <w:t>符合性审查表</w:t>
      </w:r>
    </w:p>
    <w:p>
      <w:pPr>
        <w:overflowPunct w:val="0"/>
        <w:topLinePunct/>
        <w:autoSpaceDN w:val="0"/>
        <w:adjustRightInd w:val="0"/>
        <w:snapToGrid w:val="0"/>
        <w:spacing w:line="360" w:lineRule="auto"/>
        <w:rPr>
          <w:rFonts w:hint="eastAsia" w:ascii="宋体" w:hAnsi="宋体" w:eastAsia="宋体" w:cs="宋体"/>
          <w:b/>
          <w:bCs/>
          <w:snapToGrid w:val="0"/>
          <w:color w:val="auto"/>
          <w:kern w:val="0"/>
          <w:sz w:val="22"/>
          <w:szCs w:val="22"/>
          <w:highlight w:val="none"/>
        </w:rPr>
      </w:pPr>
    </w:p>
    <w:p>
      <w:pPr>
        <w:overflowPunct w:val="0"/>
        <w:topLinePunct/>
        <w:autoSpaceDN w:val="0"/>
        <w:adjustRightInd w:val="0"/>
        <w:snapToGrid w:val="0"/>
        <w:spacing w:line="360" w:lineRule="auto"/>
        <w:rPr>
          <w:rFonts w:hint="eastAsia" w:ascii="宋体" w:hAnsi="宋体" w:eastAsia="宋体" w:cs="宋体"/>
          <w:b/>
          <w:bCs/>
          <w:snapToGrid w:val="0"/>
          <w:color w:val="auto"/>
          <w:kern w:val="0"/>
          <w:sz w:val="22"/>
          <w:szCs w:val="22"/>
          <w:highlight w:val="none"/>
        </w:rPr>
      </w:pPr>
    </w:p>
    <w:tbl>
      <w:tblPr>
        <w:tblStyle w:val="42"/>
        <w:tblpPr w:leftFromText="180" w:rightFromText="180" w:vertAnchor="page" w:horzAnchor="page" w:tblpX="994" w:tblpY="3307"/>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81" w:right="68"/>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序号 </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right="4062" w:firstLine="3313" w:firstLineChars="1500"/>
              <w:jc w:val="both"/>
              <w:rPr>
                <w:rFonts w:hint="eastAsia" w:ascii="宋体" w:hAnsi="宋体" w:eastAsia="宋体" w:cs="宋体"/>
                <w:b/>
                <w:color w:val="auto"/>
                <w:sz w:val="22"/>
                <w:szCs w:val="22"/>
                <w:highlight w:val="none"/>
              </w:rPr>
            </w:pPr>
            <w:r>
              <w:rPr>
                <w:rFonts w:hint="eastAsia" w:ascii="宋体" w:hAnsi="宋体" w:eastAsia="宋体" w:cs="宋体"/>
                <w:b/>
                <w:bCs/>
                <w:snapToGrid w:val="0"/>
                <w:color w:val="auto"/>
                <w:kern w:val="0"/>
                <w:sz w:val="22"/>
                <w:szCs w:val="22"/>
                <w:highlight w:val="none"/>
                <w:lang w:val="en-US" w:eastAsia="zh-CN"/>
              </w:rPr>
              <w:t>符合性审查</w:t>
            </w:r>
            <w:r>
              <w:rPr>
                <w:rFonts w:hint="eastAsia" w:ascii="宋体" w:hAnsi="宋体" w:eastAsia="宋体" w:cs="宋体"/>
                <w:b/>
                <w:bCs/>
                <w:snapToGrid w:val="0"/>
                <w:color w:val="auto"/>
                <w:kern w:val="0"/>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1</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响应文件的份数、编制、签署及盖章是否符合</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报价（首次报价或最后报价）是否固定唯一价且是否超过</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文件中规定的预算金额的。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5"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响应文件是否含有采购人不能接受的附加条件的。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4</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响应</w:t>
            </w:r>
            <w:r>
              <w:rPr>
                <w:rFonts w:hint="eastAsia" w:ascii="宋体" w:hAnsi="宋体" w:eastAsia="宋体" w:cs="宋体"/>
                <w:color w:val="auto"/>
                <w:sz w:val="22"/>
                <w:szCs w:val="22"/>
                <w:highlight w:val="none"/>
              </w:rPr>
              <w:t>有效期是否满足</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5</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1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清单结构性检查、规费税金检查及其他不可竞争性费用检查是否符合清单计价规范相关规定。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6"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6</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响应文件是否完全满足</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文件的</w:t>
            </w:r>
            <w:r>
              <w:rPr>
                <w:rFonts w:hint="eastAsia" w:ascii="宋体" w:hAnsi="宋体" w:eastAsia="宋体" w:cs="宋体"/>
                <w:color w:val="auto"/>
                <w:sz w:val="22"/>
                <w:szCs w:val="22"/>
                <w:highlight w:val="none"/>
                <w:lang w:val="en-US"/>
              </w:rPr>
              <w:t>实质性条款</w:t>
            </w:r>
            <w:r>
              <w:rPr>
                <w:rFonts w:hint="eastAsia" w:ascii="宋体" w:hAnsi="宋体" w:eastAsia="宋体" w:cs="宋体"/>
                <w:color w:val="auto"/>
                <w:sz w:val="22"/>
                <w:szCs w:val="22"/>
                <w:highlight w:val="none"/>
              </w:rPr>
              <w:t xml:space="preserve">（即标注★部分条款）且无负偏离的。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6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3" w:beforeLines="0" w:afterLines="0" w:line="600" w:lineRule="auto"/>
              <w:ind w:left="1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7</w:t>
            </w:r>
          </w:p>
        </w:tc>
        <w:tc>
          <w:tcPr>
            <w:tcW w:w="903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9" w:beforeLines="0" w:afterLines="0" w:line="600" w:lineRule="auto"/>
              <w:ind w:left="1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响应文件是否存在法律、法规和</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文件规定的其他无效情形。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94" w:beforeLines="0" w:afterLines="0" w:line="600" w:lineRule="auto"/>
              <w:ind w:left="107"/>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说明：供应商必须满足符合性审查表内所有条款，否则被认定为无效响应。 </w:t>
            </w:r>
          </w:p>
        </w:tc>
      </w:tr>
    </w:tbl>
    <w:p>
      <w:pPr>
        <w:pStyle w:val="76"/>
        <w:snapToGrid w:val="0"/>
        <w:spacing w:line="480" w:lineRule="exact"/>
        <w:ind w:firstLine="0" w:firstLineChars="0"/>
        <w:rPr>
          <w:rFonts w:hint="eastAsia" w:ascii="宋体" w:hAnsi="宋体" w:eastAsia="宋体" w:cs="宋体"/>
          <w:b/>
          <w:bCs/>
          <w:snapToGrid w:val="0"/>
          <w:color w:val="auto"/>
          <w:sz w:val="22"/>
          <w:szCs w:val="22"/>
          <w:highlight w:val="none"/>
        </w:rPr>
      </w:pPr>
    </w:p>
    <w:p>
      <w:pPr>
        <w:pStyle w:val="76"/>
        <w:snapToGrid w:val="0"/>
        <w:spacing w:line="48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snapToGrid w:val="0"/>
          <w:color w:val="auto"/>
          <w:sz w:val="22"/>
          <w:szCs w:val="22"/>
          <w:highlight w:val="none"/>
        </w:rPr>
        <w:t>三、</w:t>
      </w:r>
      <w:r>
        <w:rPr>
          <w:rFonts w:hint="eastAsia" w:ascii="宋体" w:hAnsi="宋体" w:eastAsia="宋体" w:cs="宋体"/>
          <w:b/>
          <w:color w:val="auto"/>
          <w:sz w:val="22"/>
          <w:szCs w:val="22"/>
          <w:highlight w:val="none"/>
        </w:rPr>
        <w:t>落实政府采购政策性要求的评审内容及标准</w:t>
      </w:r>
    </w:p>
    <w:p>
      <w:pPr>
        <w:spacing w:beforeLines="0" w:afterLines="0" w:line="360" w:lineRule="exact"/>
        <w:ind w:firstLine="420" w:firstLineChars="200"/>
        <w:rPr>
          <w:rFonts w:hint="eastAsia" w:ascii="华文中宋" w:hAnsi="华文中宋" w:eastAsia="华文中宋"/>
          <w:color w:val="auto"/>
          <w:sz w:val="21"/>
          <w:szCs w:val="22"/>
          <w:highlight w:val="none"/>
          <w:lang w:val="zh-CN"/>
        </w:rPr>
      </w:pPr>
      <w:r>
        <w:rPr>
          <w:rFonts w:hint="eastAsia" w:ascii="华文中宋" w:hAnsi="华文中宋" w:eastAsia="华文中宋"/>
          <w:color w:val="auto"/>
          <w:sz w:val="21"/>
          <w:szCs w:val="22"/>
          <w:highlight w:val="none"/>
          <w:lang w:val="zh-CN"/>
        </w:rPr>
        <w:t>1、工程内容中含《节能产品政府采购品目清单》中的产品，属于国家强制性采购的，必须符合要求，并单独做出承诺（格式投标人自拟）。</w:t>
      </w:r>
    </w:p>
    <w:p>
      <w:pPr>
        <w:spacing w:beforeLines="0" w:afterLines="0" w:line="360" w:lineRule="exact"/>
        <w:ind w:firstLine="420" w:firstLineChars="200"/>
        <w:rPr>
          <w:rFonts w:hint="eastAsia" w:ascii="华文中宋" w:hAnsi="华文中宋" w:eastAsia="华文中宋"/>
          <w:color w:val="auto"/>
          <w:sz w:val="21"/>
          <w:szCs w:val="22"/>
          <w:highlight w:val="none"/>
          <w:lang w:val="zh-CN"/>
        </w:rPr>
      </w:pPr>
      <w:r>
        <w:rPr>
          <w:rFonts w:hint="eastAsia" w:ascii="华文中宋" w:hAnsi="华文中宋" w:eastAsia="华文中宋"/>
          <w:color w:val="auto"/>
          <w:sz w:val="21"/>
          <w:szCs w:val="22"/>
          <w:highlight w:val="none"/>
          <w:lang w:val="zh-CN"/>
        </w:rPr>
        <w:t>2、工程内容中含《环境标志产品政府采购品目清单》中的产品，要求优先选用，并单独做出承诺（格式投标人自拟）。</w:t>
      </w:r>
    </w:p>
    <w:p>
      <w:pPr>
        <w:spacing w:beforeLines="0" w:afterLines="0" w:line="360" w:lineRule="exact"/>
        <w:ind w:firstLine="420" w:firstLineChars="200"/>
        <w:rPr>
          <w:rFonts w:hint="eastAsia" w:ascii="华文中宋" w:hAnsi="华文中宋" w:eastAsia="华文中宋"/>
          <w:color w:val="auto"/>
          <w:sz w:val="21"/>
          <w:szCs w:val="22"/>
          <w:highlight w:val="none"/>
        </w:rPr>
      </w:pPr>
      <w:r>
        <w:rPr>
          <w:rFonts w:hint="eastAsia" w:ascii="华文中宋" w:hAnsi="华文中宋" w:eastAsia="华文中宋" w:cs="华文中宋"/>
          <w:color w:val="auto"/>
          <w:sz w:val="21"/>
          <w:szCs w:val="22"/>
          <w:highlight w:val="none"/>
        </w:rPr>
        <w:t>3、小型、微型</w:t>
      </w:r>
      <w:r>
        <w:rPr>
          <w:rFonts w:hint="eastAsia" w:ascii="华文中宋" w:hAnsi="华文中宋" w:eastAsia="华文中宋"/>
          <w:color w:val="auto"/>
          <w:sz w:val="21"/>
          <w:szCs w:val="22"/>
          <w:highlight w:val="none"/>
        </w:rPr>
        <w:t>企业参加本项目要求：</w:t>
      </w:r>
    </w:p>
    <w:p>
      <w:pPr>
        <w:spacing w:beforeLines="0" w:afterLines="0" w:line="360" w:lineRule="exact"/>
        <w:ind w:firstLine="420" w:firstLineChars="200"/>
        <w:rPr>
          <w:rFonts w:hint="eastAsia" w:ascii="华文中宋" w:hAnsi="华文中宋" w:eastAsia="华文中宋"/>
          <w:color w:val="auto"/>
          <w:sz w:val="21"/>
          <w:szCs w:val="22"/>
          <w:highlight w:val="none"/>
          <w:lang w:val="zh-CN"/>
        </w:rPr>
      </w:pPr>
      <w:r>
        <w:rPr>
          <w:rFonts w:hint="eastAsia" w:ascii="华文中宋" w:hAnsi="华文中宋" w:eastAsia="华文中宋"/>
          <w:color w:val="auto"/>
          <w:sz w:val="21"/>
          <w:szCs w:val="22"/>
          <w:highlight w:val="none"/>
          <w:lang w:val="en-US" w:eastAsia="zh-CN"/>
        </w:rPr>
        <w:t xml:space="preserve">3.1 </w:t>
      </w:r>
      <w:r>
        <w:rPr>
          <w:rFonts w:hint="eastAsia" w:ascii="华文中宋" w:hAnsi="华文中宋" w:eastAsia="华文中宋"/>
          <w:color w:val="auto"/>
          <w:sz w:val="21"/>
          <w:szCs w:val="22"/>
          <w:highlight w:val="none"/>
          <w:lang w:val="zh-CN"/>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ascii="华文中宋" w:hAnsi="华文中宋" w:eastAsia="华文中宋"/>
          <w:color w:val="auto"/>
          <w:sz w:val="21"/>
          <w:szCs w:val="22"/>
          <w:highlight w:val="none"/>
          <w:u w:val="single"/>
          <w:lang w:val="en-US" w:eastAsia="zh-CN"/>
        </w:rPr>
        <w:t>3</w:t>
      </w:r>
      <w:r>
        <w:rPr>
          <w:rFonts w:hint="eastAsia" w:ascii="华文中宋" w:hAnsi="华文中宋" w:eastAsia="华文中宋"/>
          <w:color w:val="auto"/>
          <w:sz w:val="21"/>
          <w:szCs w:val="22"/>
          <w:highlight w:val="none"/>
          <w:u w:val="single"/>
          <w:lang w:val="zh-CN"/>
        </w:rPr>
        <w:t>%</w:t>
      </w:r>
      <w:r>
        <w:rPr>
          <w:rFonts w:hint="eastAsia" w:ascii="华文中宋" w:hAnsi="华文中宋" w:eastAsia="华文中宋"/>
          <w:color w:val="auto"/>
          <w:sz w:val="21"/>
          <w:szCs w:val="22"/>
          <w:highlight w:val="none"/>
          <w:lang w:val="zh-CN"/>
        </w:rPr>
        <w:t>的扣除，用扣除后的价格参加评审。</w:t>
      </w:r>
    </w:p>
    <w:p>
      <w:pPr>
        <w:spacing w:beforeLines="0" w:afterLines="0" w:line="360" w:lineRule="exact"/>
        <w:ind w:firstLine="420" w:firstLineChars="200"/>
        <w:rPr>
          <w:rFonts w:hint="eastAsia" w:ascii="华文中宋" w:hAnsi="华文中宋" w:eastAsia="华文中宋"/>
          <w:color w:val="auto"/>
          <w:sz w:val="21"/>
          <w:szCs w:val="22"/>
          <w:highlight w:val="none"/>
          <w:lang w:val="zh-CN"/>
        </w:rPr>
      </w:pPr>
      <w:r>
        <w:rPr>
          <w:rFonts w:hint="eastAsia" w:ascii="华文中宋" w:hAnsi="华文中宋" w:eastAsia="华文中宋"/>
          <w:color w:val="auto"/>
          <w:sz w:val="21"/>
          <w:szCs w:val="22"/>
          <w:highlight w:val="none"/>
          <w:lang w:val="en-US" w:eastAsia="zh-CN"/>
        </w:rPr>
        <w:t xml:space="preserve">3.2 </w:t>
      </w:r>
      <w:r>
        <w:rPr>
          <w:rFonts w:hint="eastAsia" w:ascii="华文中宋" w:hAnsi="华文中宋" w:eastAsia="华文中宋"/>
          <w:color w:val="auto"/>
          <w:sz w:val="21"/>
          <w:szCs w:val="22"/>
          <w:highlight w:val="none"/>
          <w:lang w:val="zh-CN"/>
        </w:rPr>
        <w:t>参加政府采购活动的中小企业应当提供《中小企业声明函》原件。监狱企业应当提供监狱企业证明复印件。残疾人福利性单位应当提供《残疾人福利性单位声明函》原件。</w:t>
      </w:r>
      <w:r>
        <w:rPr>
          <w:rFonts w:hint="eastAsia" w:ascii="华文中宋" w:hAnsi="华文中宋" w:eastAsia="华文中宋"/>
          <w:color w:val="auto"/>
          <w:sz w:val="21"/>
          <w:szCs w:val="22"/>
          <w:highlight w:val="none"/>
          <w:lang w:val="en-US" w:eastAsia="zh-CN"/>
        </w:rPr>
        <w:t>以上</w:t>
      </w:r>
      <w:r>
        <w:rPr>
          <w:rFonts w:hint="eastAsia" w:ascii="华文中宋" w:hAnsi="华文中宋" w:eastAsia="华文中宋"/>
          <w:color w:val="auto"/>
          <w:sz w:val="21"/>
          <w:szCs w:val="22"/>
          <w:highlight w:val="none"/>
          <w:lang w:val="zh-CN"/>
        </w:rPr>
        <w:t>格式详见</w:t>
      </w:r>
      <w:r>
        <w:rPr>
          <w:rFonts w:hint="eastAsia" w:ascii="华文中宋" w:hAnsi="华文中宋" w:eastAsia="华文中宋"/>
          <w:color w:val="auto"/>
          <w:sz w:val="21"/>
          <w:szCs w:val="22"/>
          <w:highlight w:val="none"/>
          <w:lang w:val="en-US" w:eastAsia="zh-CN"/>
        </w:rPr>
        <w:t>谈判文件</w:t>
      </w:r>
      <w:r>
        <w:rPr>
          <w:rFonts w:hint="eastAsia" w:ascii="华文中宋" w:hAnsi="华文中宋" w:eastAsia="华文中宋"/>
          <w:color w:val="auto"/>
          <w:sz w:val="21"/>
          <w:szCs w:val="22"/>
          <w:highlight w:val="none"/>
          <w:lang w:val="zh-CN"/>
        </w:rPr>
        <w:t>第</w:t>
      </w:r>
      <w:r>
        <w:rPr>
          <w:rFonts w:hint="eastAsia" w:ascii="华文中宋" w:hAnsi="华文中宋" w:eastAsia="华文中宋"/>
          <w:color w:val="auto"/>
          <w:sz w:val="21"/>
          <w:szCs w:val="22"/>
          <w:highlight w:val="none"/>
          <w:lang w:val="en-US" w:eastAsia="zh-CN"/>
        </w:rPr>
        <w:t>七</w:t>
      </w:r>
      <w:r>
        <w:rPr>
          <w:rFonts w:hint="eastAsia" w:ascii="华文中宋" w:hAnsi="华文中宋" w:eastAsia="华文中宋"/>
          <w:color w:val="auto"/>
          <w:sz w:val="21"/>
          <w:szCs w:val="22"/>
          <w:highlight w:val="none"/>
          <w:lang w:val="zh-CN"/>
        </w:rPr>
        <w:t>部分响应文件格式，未提供的视为放弃享受小微企业价格扣除优惠政策。</w:t>
      </w:r>
    </w:p>
    <w:p>
      <w:pPr>
        <w:spacing w:beforeLines="0" w:afterLines="0" w:line="360" w:lineRule="exact"/>
        <w:ind w:firstLine="420" w:firstLineChars="200"/>
        <w:rPr>
          <w:rFonts w:hint="eastAsia" w:ascii="华文中宋" w:hAnsi="华文中宋" w:eastAsia="华文中宋"/>
          <w:color w:val="auto"/>
          <w:sz w:val="21"/>
          <w:szCs w:val="22"/>
          <w:highlight w:val="none"/>
          <w:lang w:val="zh-CN"/>
        </w:rPr>
      </w:pPr>
      <w:r>
        <w:rPr>
          <w:rFonts w:hint="eastAsia" w:ascii="华文中宋" w:hAnsi="华文中宋" w:eastAsia="华文中宋"/>
          <w:color w:val="auto"/>
          <w:sz w:val="21"/>
          <w:szCs w:val="22"/>
          <w:highlight w:val="none"/>
          <w:lang w:val="en-US" w:eastAsia="zh-CN"/>
        </w:rPr>
        <w:t>3.3</w:t>
      </w:r>
      <w:r>
        <w:rPr>
          <w:rFonts w:hint="eastAsia" w:ascii="华文中宋" w:hAnsi="华文中宋" w:eastAsia="华文中宋"/>
          <w:color w:val="auto"/>
          <w:sz w:val="21"/>
          <w:szCs w:val="22"/>
          <w:highlight w:val="none"/>
          <w:lang w:val="zh-CN"/>
        </w:rPr>
        <w:t>组成联合体或者接受分包的小微企业与联合体内其他企业、分包企业之间存在直接控股、管理关系的，不享受价格扣除优惠政策。</w:t>
      </w:r>
    </w:p>
    <w:p>
      <w:pPr>
        <w:pStyle w:val="76"/>
        <w:snapToGrid w:val="0"/>
        <w:spacing w:line="480" w:lineRule="exact"/>
        <w:ind w:firstLine="420" w:firstLineChars="200"/>
        <w:rPr>
          <w:rFonts w:hint="eastAsia" w:ascii="宋体" w:hAnsi="宋体" w:eastAsia="宋体" w:cs="宋体"/>
          <w:color w:val="auto"/>
          <w:sz w:val="22"/>
          <w:szCs w:val="22"/>
          <w:highlight w:val="none"/>
        </w:rPr>
      </w:pPr>
      <w:r>
        <w:rPr>
          <w:rFonts w:hint="eastAsia" w:ascii="华文中宋" w:hAnsi="华文中宋" w:eastAsia="华文中宋"/>
          <w:color w:val="auto"/>
          <w:sz w:val="21"/>
          <w:szCs w:val="22"/>
          <w:highlight w:val="none"/>
          <w:lang w:val="en-US" w:eastAsia="zh-CN"/>
        </w:rPr>
        <w:t xml:space="preserve">3.4 </w:t>
      </w:r>
      <w:r>
        <w:rPr>
          <w:rFonts w:hint="eastAsia" w:ascii="华文中宋" w:hAnsi="华文中宋" w:eastAsia="华文中宋"/>
          <w:color w:val="auto"/>
          <w:sz w:val="21"/>
          <w:szCs w:val="22"/>
          <w:highlight w:val="none"/>
          <w:lang w:val="zh-CN"/>
        </w:rPr>
        <w:t>依据《政府采购促进中小企业发展管理办法》（财库〔2020〕46 号）规定享受扶持政策的小微企业，不得将合同分包给大中型企业。</w:t>
      </w:r>
    </w:p>
    <w:p>
      <w:pPr>
        <w:pStyle w:val="76"/>
        <w:snapToGrid w:val="0"/>
        <w:spacing w:line="48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snapToGrid w:val="0"/>
          <w:color w:val="auto"/>
          <w:sz w:val="22"/>
          <w:szCs w:val="22"/>
          <w:highlight w:val="none"/>
        </w:rPr>
        <w:t>四、</w:t>
      </w:r>
      <w:r>
        <w:rPr>
          <w:rFonts w:hint="eastAsia" w:ascii="宋体" w:hAnsi="宋体" w:eastAsia="宋体" w:cs="宋体"/>
          <w:b/>
          <w:color w:val="auto"/>
          <w:sz w:val="22"/>
          <w:szCs w:val="22"/>
          <w:highlight w:val="none"/>
        </w:rPr>
        <w:t>无效响应的情形</w:t>
      </w:r>
    </w:p>
    <w:p>
      <w:pPr>
        <w:pStyle w:val="76"/>
        <w:snapToGrid w:val="0"/>
        <w:spacing w:line="48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未通过资格性、符合性审查的响应文件为无效响应。</w:t>
      </w:r>
    </w:p>
    <w:p>
      <w:pPr>
        <w:spacing w:line="48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bCs/>
          <w:snapToGrid w:val="0"/>
          <w:color w:val="auto"/>
          <w:kern w:val="0"/>
          <w:sz w:val="22"/>
          <w:szCs w:val="22"/>
          <w:highlight w:val="none"/>
        </w:rPr>
        <w:t>五、</w:t>
      </w:r>
      <w:r>
        <w:rPr>
          <w:rFonts w:hint="eastAsia" w:ascii="宋体" w:hAnsi="宋体" w:eastAsia="宋体" w:cs="宋体"/>
          <w:b/>
          <w:color w:val="auto"/>
          <w:sz w:val="22"/>
          <w:szCs w:val="22"/>
          <w:highlight w:val="none"/>
        </w:rPr>
        <w:t>成交标准</w:t>
      </w:r>
    </w:p>
    <w:p>
      <w:pPr>
        <w:overflowPunct w:val="0"/>
        <w:topLinePunct/>
        <w:autoSpaceDN w:val="0"/>
        <w:adjustRightInd w:val="0"/>
        <w:snapToGrid w:val="0"/>
        <w:spacing w:line="360" w:lineRule="auto"/>
        <w:ind w:firstLine="440" w:firstLineChars="200"/>
        <w:rPr>
          <w:rFonts w:hint="eastAsia" w:ascii="宋体" w:hAnsi="宋体" w:eastAsia="宋体" w:cs="宋体"/>
          <w:b/>
          <w:bCs/>
          <w:snapToGrid w:val="0"/>
          <w:color w:val="auto"/>
          <w:kern w:val="0"/>
          <w:sz w:val="22"/>
          <w:szCs w:val="22"/>
          <w:highlight w:val="none"/>
        </w:rPr>
      </w:pPr>
      <w:r>
        <w:rPr>
          <w:rFonts w:hint="eastAsia" w:ascii="宋体" w:hAnsi="宋体" w:eastAsia="宋体" w:cs="宋体"/>
          <w:color w:val="auto"/>
          <w:sz w:val="22"/>
          <w:szCs w:val="22"/>
          <w:highlight w:val="none"/>
        </w:rPr>
        <w:t>质量和服务均能满足谈判文件实质性响应要求的谈判人中，最终报价最低的谈判人为成交候选人。</w:t>
      </w:r>
    </w:p>
    <w:p>
      <w:pPr>
        <w:rPr>
          <w:rFonts w:hint="eastAsia" w:ascii="宋体" w:hAnsi="宋体" w:eastAsia="宋体" w:cs="宋体"/>
          <w:color w:val="auto"/>
          <w:sz w:val="22"/>
          <w:szCs w:val="22"/>
          <w:highlight w:val="none"/>
        </w:rPr>
      </w:pPr>
      <w:bookmarkStart w:id="142" w:name="_Toc40954053"/>
      <w:bookmarkStart w:id="143" w:name="_Toc40877995"/>
      <w:bookmarkStart w:id="144" w:name="_Toc44690611"/>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color w:val="auto"/>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color w:val="auto"/>
          <w:highlight w:val="none"/>
        </w:rPr>
      </w:pPr>
    </w:p>
    <w:bookmarkEnd w:id="142"/>
    <w:bookmarkEnd w:id="143"/>
    <w:bookmarkEnd w:id="144"/>
    <w:p>
      <w:pPr>
        <w:pStyle w:val="7"/>
        <w:jc w:val="center"/>
        <w:rPr>
          <w:rFonts w:hint="eastAsia" w:ascii="宋体" w:hAnsi="宋体" w:eastAsia="宋体" w:cs="宋体"/>
          <w:b w:val="0"/>
          <w:color w:val="auto"/>
          <w:spacing w:val="20"/>
          <w:sz w:val="22"/>
          <w:szCs w:val="22"/>
          <w:highlight w:val="none"/>
          <w:lang w:eastAsia="zh-CN"/>
        </w:rPr>
      </w:pPr>
      <w:bookmarkStart w:id="145" w:name="_Toc44690617"/>
      <w:bookmarkStart w:id="146" w:name="_Toc8882"/>
      <w:r>
        <w:rPr>
          <w:rFonts w:hint="eastAsia" w:ascii="宋体" w:hAnsi="宋体" w:eastAsia="宋体" w:cs="宋体"/>
          <w:color w:val="auto"/>
          <w:spacing w:val="20"/>
          <w:sz w:val="28"/>
          <w:szCs w:val="28"/>
          <w:highlight w:val="none"/>
        </w:rPr>
        <w:t>第</w:t>
      </w:r>
      <w:r>
        <w:rPr>
          <w:rFonts w:hint="eastAsia" w:ascii="宋体" w:hAnsi="宋体" w:eastAsia="宋体" w:cs="宋体"/>
          <w:color w:val="auto"/>
          <w:spacing w:val="20"/>
          <w:sz w:val="28"/>
          <w:szCs w:val="28"/>
          <w:highlight w:val="none"/>
          <w:lang w:val="en-US" w:eastAsia="zh-CN"/>
        </w:rPr>
        <w:t>六</w:t>
      </w:r>
      <w:r>
        <w:rPr>
          <w:rFonts w:hint="eastAsia" w:ascii="宋体" w:hAnsi="宋体" w:eastAsia="宋体" w:cs="宋体"/>
          <w:color w:val="auto"/>
          <w:spacing w:val="20"/>
          <w:sz w:val="28"/>
          <w:szCs w:val="28"/>
          <w:highlight w:val="none"/>
        </w:rPr>
        <w:t>部分 合同</w:t>
      </w:r>
      <w:bookmarkEnd w:id="145"/>
      <w:r>
        <w:rPr>
          <w:rFonts w:hint="eastAsia" w:ascii="宋体" w:hAnsi="宋体" w:eastAsia="宋体" w:cs="宋体"/>
          <w:color w:val="auto"/>
          <w:spacing w:val="20"/>
          <w:sz w:val="28"/>
          <w:szCs w:val="28"/>
          <w:highlight w:val="none"/>
          <w:lang w:val="en-US" w:eastAsia="zh-CN"/>
        </w:rPr>
        <w:t>格式</w:t>
      </w:r>
      <w:bookmarkEnd w:id="146"/>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20"/>
          <w:sz w:val="28"/>
          <w:szCs w:val="28"/>
          <w:highlight w:val="none"/>
          <w:lang w:eastAsia="zh-CN"/>
        </w:rPr>
        <w:t>（</w:t>
      </w:r>
      <w:r>
        <w:rPr>
          <w:rFonts w:hint="eastAsia" w:ascii="宋体" w:hAnsi="宋体" w:eastAsia="宋体" w:cs="宋体"/>
          <w:color w:val="auto"/>
          <w:spacing w:val="20"/>
          <w:sz w:val="28"/>
          <w:szCs w:val="28"/>
          <w:highlight w:val="none"/>
          <w:lang w:val="en-US" w:eastAsia="zh-CN"/>
        </w:rPr>
        <w:t>参考</w:t>
      </w:r>
      <w:r>
        <w:rPr>
          <w:rFonts w:hint="eastAsia" w:ascii="宋体" w:hAnsi="宋体" w:eastAsia="宋体" w:cs="宋体"/>
          <w:color w:val="auto"/>
          <w:spacing w:val="20"/>
          <w:sz w:val="28"/>
          <w:szCs w:val="28"/>
          <w:highlight w:val="none"/>
          <w:lang w:eastAsia="zh-CN"/>
        </w:rPr>
        <w:t>）</w:t>
      </w:r>
    </w:p>
    <w:p>
      <w:pPr>
        <w:pStyle w:val="8"/>
        <w:numPr>
          <w:ilvl w:val="0"/>
          <w:numId w:val="0"/>
        </w:numPr>
        <w:spacing w:beforeLines="0" w:afterLines="0" w:line="360" w:lineRule="exact"/>
        <w:jc w:val="center"/>
        <w:rPr>
          <w:rFonts w:hint="eastAsia" w:ascii="宋体" w:hAnsi="宋体" w:eastAsia="宋体" w:cs="宋体"/>
          <w:color w:val="auto"/>
          <w:sz w:val="22"/>
          <w:szCs w:val="22"/>
          <w:highlight w:val="none"/>
        </w:rPr>
      </w:pPr>
      <w:bookmarkStart w:id="147" w:name="_Toc495501805"/>
      <w:bookmarkStart w:id="148" w:name="_Toc24159"/>
      <w:bookmarkStart w:id="149" w:name="_Toc418164810"/>
      <w:r>
        <w:rPr>
          <w:rFonts w:hint="eastAsia" w:ascii="宋体" w:hAnsi="宋体" w:eastAsia="宋体" w:cs="宋体"/>
          <w:color w:val="auto"/>
          <w:sz w:val="22"/>
          <w:szCs w:val="22"/>
          <w:highlight w:val="none"/>
          <w:lang w:val="en-US"/>
        </w:rPr>
        <w:t xml:space="preserve">第一节 </w:t>
      </w:r>
      <w:r>
        <w:rPr>
          <w:rFonts w:hint="eastAsia" w:ascii="宋体" w:hAnsi="宋体" w:eastAsia="宋体" w:cs="宋体"/>
          <w:color w:val="auto"/>
          <w:sz w:val="22"/>
          <w:szCs w:val="22"/>
          <w:highlight w:val="none"/>
        </w:rPr>
        <w:t xml:space="preserve"> 合同条款</w:t>
      </w:r>
      <w:bookmarkEnd w:id="147"/>
      <w:bookmarkEnd w:id="148"/>
      <w:bookmarkEnd w:id="149"/>
    </w:p>
    <w:p>
      <w:pPr>
        <w:numPr>
          <w:ilvl w:val="0"/>
          <w:numId w:val="0"/>
        </w:numPr>
        <w:spacing w:beforeLines="0" w:afterLines="0"/>
        <w:rPr>
          <w:rFonts w:hint="eastAsia" w:ascii="宋体" w:hAnsi="宋体" w:eastAsia="宋体" w:cs="宋体"/>
          <w:color w:val="auto"/>
          <w:sz w:val="22"/>
          <w:szCs w:val="22"/>
          <w:highlight w:val="none"/>
        </w:rPr>
      </w:pPr>
    </w:p>
    <w:p>
      <w:pPr>
        <w:spacing w:beforeLines="0" w:afterLines="0" w:line="460" w:lineRule="exact"/>
        <w:ind w:firstLine="440" w:firstLineChars="200"/>
        <w:rPr>
          <w:rFonts w:hint="eastAsia" w:ascii="宋体" w:hAnsi="宋体" w:eastAsia="宋体" w:cs="宋体"/>
          <w:color w:val="auto"/>
          <w:sz w:val="22"/>
          <w:szCs w:val="22"/>
          <w:highlight w:val="none"/>
        </w:rPr>
      </w:pPr>
      <w:bookmarkStart w:id="150" w:name="_Toc144974826"/>
      <w:bookmarkStart w:id="151" w:name="_Toc152045767"/>
      <w:bookmarkStart w:id="152" w:name="_Toc179632785"/>
      <w:bookmarkStart w:id="153" w:name="_Toc152042546"/>
      <w:r>
        <w:rPr>
          <w:rFonts w:hint="eastAsia" w:ascii="宋体" w:hAnsi="宋体" w:eastAsia="宋体" w:cs="宋体"/>
          <w:color w:val="auto"/>
          <w:sz w:val="22"/>
          <w:szCs w:val="22"/>
          <w:highlight w:val="none"/>
        </w:rPr>
        <w:t>通用合同条款直接引用住房城乡建设部、国家工商行政管理总局</w:t>
      </w:r>
      <w:r>
        <w:rPr>
          <w:rFonts w:hint="eastAsia" w:ascii="宋体" w:hAnsi="宋体" w:eastAsia="宋体" w:cs="宋体"/>
          <w:color w:val="auto"/>
          <w:sz w:val="22"/>
          <w:szCs w:val="22"/>
          <w:highlight w:val="none"/>
          <w:lang w:val="en-US"/>
        </w:rPr>
        <w:t>修订的</w:t>
      </w:r>
      <w:r>
        <w:rPr>
          <w:rFonts w:hint="eastAsia" w:ascii="宋体" w:hAnsi="宋体" w:eastAsia="宋体" w:cs="宋体"/>
          <w:color w:val="auto"/>
          <w:sz w:val="22"/>
          <w:szCs w:val="22"/>
          <w:highlight w:val="none"/>
        </w:rPr>
        <w:t>《建设工程施工合同（示范文本）》（GF-201</w:t>
      </w:r>
      <w:r>
        <w:rPr>
          <w:rFonts w:hint="eastAsia" w:ascii="宋体" w:hAnsi="宋体" w:eastAsia="宋体" w:cs="宋体"/>
          <w:color w:val="auto"/>
          <w:sz w:val="22"/>
          <w:szCs w:val="22"/>
          <w:highlight w:val="none"/>
          <w:lang w:val="en-US"/>
        </w:rPr>
        <w:t>7</w:t>
      </w:r>
      <w:r>
        <w:rPr>
          <w:rFonts w:hint="eastAsia" w:ascii="宋体" w:hAnsi="宋体" w:eastAsia="宋体" w:cs="宋体"/>
          <w:color w:val="auto"/>
          <w:sz w:val="22"/>
          <w:szCs w:val="22"/>
          <w:highlight w:val="none"/>
        </w:rPr>
        <w:t>-0201）第二部分“通用合同条款”。</w:t>
      </w:r>
    </w:p>
    <w:p>
      <w:pPr>
        <w:pStyle w:val="112"/>
        <w:spacing w:beforeLines="0" w:afterLines="0"/>
        <w:jc w:val="center"/>
        <w:rPr>
          <w:rFonts w:hint="eastAsia" w:ascii="宋体" w:hAnsi="宋体" w:eastAsia="宋体" w:cs="宋体"/>
          <w:color w:val="auto"/>
          <w:sz w:val="22"/>
          <w:szCs w:val="22"/>
          <w:highlight w:val="none"/>
        </w:rPr>
      </w:pPr>
    </w:p>
    <w:p>
      <w:pPr>
        <w:pStyle w:val="8"/>
        <w:numPr>
          <w:ilvl w:val="0"/>
          <w:numId w:val="0"/>
        </w:numPr>
        <w:spacing w:beforeLines="0" w:afterLines="0" w:line="360" w:lineRule="exact"/>
        <w:jc w:val="center"/>
        <w:rPr>
          <w:rFonts w:hint="eastAsia" w:ascii="宋体" w:hAnsi="宋体" w:eastAsia="宋体" w:cs="宋体"/>
          <w:color w:val="auto"/>
          <w:sz w:val="22"/>
          <w:szCs w:val="22"/>
          <w:highlight w:val="none"/>
        </w:rPr>
      </w:pPr>
      <w:bookmarkStart w:id="154" w:name="_Toc495501806"/>
      <w:bookmarkStart w:id="155" w:name="_Toc20111"/>
      <w:bookmarkStart w:id="156" w:name="_Toc418164811"/>
      <w:r>
        <w:rPr>
          <w:rFonts w:hint="eastAsia" w:ascii="宋体" w:hAnsi="宋体" w:eastAsia="宋体" w:cs="宋体"/>
          <w:color w:val="auto"/>
          <w:sz w:val="22"/>
          <w:szCs w:val="22"/>
          <w:highlight w:val="none"/>
          <w:lang w:val="en-US"/>
        </w:rPr>
        <w:t>第二节  专用合同条款</w:t>
      </w:r>
      <w:bookmarkEnd w:id="154"/>
      <w:bookmarkEnd w:id="155"/>
      <w:bookmarkEnd w:id="156"/>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 一般约定</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词语定义</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1.1.1合同</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1.1.1.10其他合同文件包括：</w:t>
      </w:r>
      <w:r>
        <w:rPr>
          <w:rFonts w:hint="eastAsia" w:ascii="宋体" w:hAnsi="宋体" w:eastAsia="宋体" w:cs="宋体"/>
          <w:color w:val="auto"/>
          <w:sz w:val="22"/>
          <w:szCs w:val="22"/>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合同当事人及其他相关方</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1.1.2.4监理人：</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u w:val="single"/>
        </w:rPr>
        <w:t xml:space="preserve">           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资质类别和等级：</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1.1.2.5 设计人：</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资质类别和等级：</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工程和设备</w:t>
      </w:r>
    </w:p>
    <w:p>
      <w:pPr>
        <w:spacing w:beforeLines="0" w:afterLines="0"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1.1.3.7 作为施工现场组成部分的其他场所包括：</w:t>
      </w:r>
      <w:r>
        <w:rPr>
          <w:rFonts w:hint="eastAsia" w:ascii="宋体" w:hAnsi="宋体" w:eastAsia="宋体" w:cs="宋体"/>
          <w:color w:val="auto"/>
          <w:sz w:val="22"/>
          <w:szCs w:val="22"/>
          <w:highlight w:val="none"/>
          <w:u w:val="single"/>
        </w:rPr>
        <w:t xml:space="preserve"> 通用条款规定的发包方提供的施工场地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1.1.3.9 永久占地包括：</w:t>
      </w:r>
      <w:r>
        <w:rPr>
          <w:rFonts w:hint="eastAsia" w:ascii="宋体" w:hAnsi="宋体" w:eastAsia="宋体" w:cs="宋体"/>
          <w:color w:val="auto"/>
          <w:sz w:val="22"/>
          <w:szCs w:val="22"/>
          <w:highlight w:val="none"/>
          <w:u w:val="single"/>
        </w:rPr>
        <w:t xml:space="preserve">           /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 临时占地包括：</w:t>
      </w:r>
      <w:r>
        <w:rPr>
          <w:rFonts w:hint="eastAsia" w:ascii="宋体" w:hAnsi="宋体" w:eastAsia="宋体" w:cs="宋体"/>
          <w:color w:val="auto"/>
          <w:sz w:val="22"/>
          <w:szCs w:val="22"/>
          <w:highlight w:val="none"/>
          <w:u w:val="single"/>
        </w:rPr>
        <w:t xml:space="preserve">        双方在合同履行过程中确定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1.3法律 </w:t>
      </w:r>
    </w:p>
    <w:p>
      <w:pPr>
        <w:adjustRightInd w:val="0"/>
        <w:spacing w:beforeLines="0" w:afterLines="0" w:line="460" w:lineRule="exact"/>
        <w:ind w:left="568" w:leftChars="284"/>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适用于合同的其他规范性文件：</w:t>
      </w:r>
      <w:r>
        <w:rPr>
          <w:rFonts w:hint="eastAsia" w:ascii="宋体" w:hAnsi="宋体" w:eastAsia="宋体" w:cs="宋体"/>
          <w:color w:val="auto"/>
          <w:sz w:val="22"/>
          <w:szCs w:val="22"/>
          <w:highlight w:val="none"/>
          <w:u w:val="single"/>
        </w:rPr>
        <w:t>需要明示的法律、行政法规：《中华人民共和国</w:t>
      </w:r>
      <w:r>
        <w:rPr>
          <w:rFonts w:hint="eastAsia" w:ascii="宋体" w:hAnsi="宋体" w:eastAsia="宋体" w:cs="宋体"/>
          <w:color w:val="auto"/>
          <w:sz w:val="22"/>
          <w:szCs w:val="22"/>
          <w:highlight w:val="none"/>
          <w:u w:val="single"/>
          <w:lang w:val="en-US" w:eastAsia="zh-CN"/>
        </w:rPr>
        <w:t>民法典</w:t>
      </w:r>
      <w:r>
        <w:rPr>
          <w:rFonts w:hint="eastAsia" w:ascii="宋体" w:hAnsi="宋体" w:eastAsia="宋体" w:cs="宋体"/>
          <w:color w:val="auto"/>
          <w:sz w:val="22"/>
          <w:szCs w:val="22"/>
          <w:highlight w:val="none"/>
          <w:u w:val="single"/>
        </w:rPr>
        <w:t xml:space="preserve">》、《中华人民共和国建筑法》、《中华人民共和国招标投标法》、《中华人民共和国安全生产法》、《建设工程质量管理条例》，以及其他有关法律、法规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 标准和规范</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1.4.1适用于工程的标准规范包括：</w:t>
      </w:r>
      <w:r>
        <w:rPr>
          <w:rFonts w:hint="eastAsia" w:ascii="宋体" w:hAnsi="宋体" w:eastAsia="宋体" w:cs="宋体"/>
          <w:color w:val="auto"/>
          <w:sz w:val="22"/>
          <w:szCs w:val="22"/>
          <w:highlight w:val="none"/>
          <w:u w:val="single"/>
        </w:rPr>
        <w:t>国家和地方现行的有关标准、规范、详细施工图</w:t>
      </w:r>
      <w:r>
        <w:rPr>
          <w:rFonts w:hint="eastAsia" w:ascii="宋体" w:hAnsi="宋体" w:eastAsia="宋体" w:cs="宋体"/>
          <w:color w:val="auto"/>
          <w:sz w:val="22"/>
          <w:szCs w:val="22"/>
          <w:highlight w:val="none"/>
        </w:rPr>
        <w:t xml:space="preserve"> 。</w:t>
      </w:r>
    </w:p>
    <w:p>
      <w:pPr>
        <w:spacing w:beforeLines="0" w:afterLines="0"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1.4.2 发包人提供国外标准、规范的名称：</w:t>
      </w:r>
      <w:r>
        <w:rPr>
          <w:rFonts w:hint="eastAsia" w:ascii="宋体" w:hAnsi="宋体" w:eastAsia="宋体" w:cs="宋体"/>
          <w:color w:val="auto"/>
          <w:sz w:val="22"/>
          <w:szCs w:val="22"/>
          <w:highlight w:val="none"/>
          <w:u w:val="single"/>
        </w:rPr>
        <w:t xml:space="preserve">      不采用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发包人提供国外标准、规范的份数：</w:t>
      </w:r>
      <w:r>
        <w:rPr>
          <w:rFonts w:hint="eastAsia" w:ascii="宋体" w:hAnsi="宋体" w:eastAsia="宋体" w:cs="宋体"/>
          <w:color w:val="auto"/>
          <w:sz w:val="22"/>
          <w:szCs w:val="22"/>
          <w:highlight w:val="none"/>
          <w:u w:val="single"/>
        </w:rPr>
        <w:t xml:space="preserve">          不采用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发包人提供国外标准、规范的名称：</w:t>
      </w:r>
      <w:r>
        <w:rPr>
          <w:rFonts w:hint="eastAsia" w:ascii="宋体" w:hAnsi="宋体" w:eastAsia="宋体" w:cs="宋体"/>
          <w:color w:val="auto"/>
          <w:sz w:val="22"/>
          <w:szCs w:val="22"/>
          <w:highlight w:val="none"/>
          <w:u w:val="single"/>
        </w:rPr>
        <w:t xml:space="preserve">         不采用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1.4.3发包人对工程的技术标准和功能要求的特殊要求：</w:t>
      </w:r>
      <w:r>
        <w:rPr>
          <w:rFonts w:hint="eastAsia" w:ascii="宋体" w:hAnsi="宋体" w:eastAsia="宋体" w:cs="宋体"/>
          <w:color w:val="auto"/>
          <w:sz w:val="22"/>
          <w:szCs w:val="22"/>
          <w:highlight w:val="none"/>
          <w:u w:val="single"/>
        </w:rPr>
        <w:t xml:space="preserve">  详见图纸</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 合同文件的优先顺序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合同文件组成及优先顺序为：</w:t>
      </w:r>
      <w:r>
        <w:rPr>
          <w:rFonts w:hint="eastAsia" w:ascii="宋体" w:hAnsi="宋体" w:eastAsia="宋体" w:cs="宋体"/>
          <w:color w:val="auto"/>
          <w:sz w:val="22"/>
          <w:szCs w:val="22"/>
          <w:highlight w:val="none"/>
          <w:u w:val="single"/>
        </w:rPr>
        <w:t>执行通用条款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 图纸和承包人文件</w:t>
      </w:r>
      <w:r>
        <w:rPr>
          <w:rFonts w:hint="eastAsia" w:ascii="宋体" w:hAnsi="宋体" w:eastAsia="宋体" w:cs="宋体"/>
          <w:color w:val="auto"/>
          <w:sz w:val="22"/>
          <w:szCs w:val="22"/>
          <w:highlight w:val="none"/>
        </w:rPr>
        <w:tab/>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 图纸的提供</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发包人向承包人提供图纸的期限：</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发包人向承包人提供图纸的数量：</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发包人向承包人提供图纸的内容：</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1.6.4 承包人文件</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需要由承包人提供的文件，包括：</w:t>
      </w:r>
      <w:r>
        <w:rPr>
          <w:rFonts w:hint="eastAsia" w:ascii="宋体" w:hAnsi="宋体" w:eastAsia="宋体" w:cs="宋体"/>
          <w:color w:val="auto"/>
          <w:sz w:val="22"/>
          <w:szCs w:val="22"/>
          <w:highlight w:val="none"/>
          <w:u w:val="single"/>
        </w:rPr>
        <w:t>实施性施工组织设计及方案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承包人提供的文件的期限为：</w:t>
      </w:r>
      <w:r>
        <w:rPr>
          <w:rFonts w:hint="eastAsia" w:ascii="宋体" w:hAnsi="宋体" w:eastAsia="宋体" w:cs="宋体"/>
          <w:color w:val="auto"/>
          <w:sz w:val="22"/>
          <w:szCs w:val="22"/>
          <w:highlight w:val="none"/>
          <w:u w:val="single"/>
        </w:rPr>
        <w:t>   开工前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承包人提供的文件的数量为：</w:t>
      </w:r>
      <w:r>
        <w:rPr>
          <w:rFonts w:hint="eastAsia" w:ascii="宋体" w:hAnsi="宋体" w:eastAsia="宋体" w:cs="宋体"/>
          <w:color w:val="auto"/>
          <w:sz w:val="22"/>
          <w:szCs w:val="22"/>
          <w:highlight w:val="none"/>
          <w:u w:val="single"/>
        </w:rPr>
        <w:t>肆份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承包人提供的文件的形式为：</w:t>
      </w:r>
      <w:r>
        <w:rPr>
          <w:rFonts w:hint="eastAsia" w:ascii="宋体" w:hAnsi="宋体" w:eastAsia="宋体" w:cs="宋体"/>
          <w:color w:val="auto"/>
          <w:sz w:val="22"/>
          <w:szCs w:val="22"/>
          <w:highlight w:val="none"/>
          <w:u w:val="single"/>
        </w:rPr>
        <w:t> 书面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发包人审批承包人文件的期限：</w:t>
      </w:r>
      <w:r>
        <w:rPr>
          <w:rFonts w:hint="eastAsia" w:ascii="宋体" w:hAnsi="宋体" w:eastAsia="宋体" w:cs="宋体"/>
          <w:color w:val="auto"/>
          <w:sz w:val="22"/>
          <w:szCs w:val="22"/>
          <w:highlight w:val="none"/>
          <w:u w:val="single"/>
        </w:rPr>
        <w:t>收到文件后7天内审查完毕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1.6.5 现场图纸准备</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关于现场图纸准备的约定：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 联络</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1.7.1发包人和承包人应当在</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天内将与合同有关的通知、批准、证明、证书、指示、指令、要求、请求、同意、意见、确定和决定等书面函件送达对方当事人。</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 发包人接收文件的地点：</w:t>
      </w:r>
      <w:r>
        <w:rPr>
          <w:rFonts w:hint="eastAsia" w:ascii="宋体" w:hAnsi="宋体" w:eastAsia="宋体" w:cs="宋体"/>
          <w:color w:val="auto"/>
          <w:sz w:val="22"/>
          <w:szCs w:val="22"/>
          <w:highlight w:val="none"/>
          <w:u w:val="single"/>
        </w:rPr>
        <w:t>项目所在地发包人办公室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发包人指定的接收人为：</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承包人接收文件的地点：</w:t>
      </w:r>
      <w:r>
        <w:rPr>
          <w:rFonts w:hint="eastAsia" w:ascii="宋体" w:hAnsi="宋体" w:eastAsia="宋体" w:cs="宋体"/>
          <w:color w:val="auto"/>
          <w:sz w:val="22"/>
          <w:szCs w:val="22"/>
          <w:highlight w:val="none"/>
          <w:u w:val="single"/>
        </w:rPr>
        <w:t>项目所在地承包人项目部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承包人指定的接收人为：</w:t>
      </w:r>
      <w:r>
        <w:rPr>
          <w:rFonts w:hint="eastAsia" w:ascii="宋体" w:hAnsi="宋体" w:eastAsia="宋体" w:cs="宋体"/>
          <w:color w:val="auto"/>
          <w:sz w:val="22"/>
          <w:szCs w:val="22"/>
          <w:highlight w:val="none"/>
          <w:u w:val="single"/>
        </w:rPr>
        <w:t>承包方项目经理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监理人接收文件的地点：</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监理人指定的接收人为：</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 交通运输</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 出入现场的权利</w:t>
      </w:r>
    </w:p>
    <w:p>
      <w:pPr>
        <w:spacing w:beforeLines="0" w:afterLines="0" w:line="460" w:lineRule="exact"/>
        <w:ind w:left="568" w:leftChars="284"/>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关于出入现场的权利的约定：</w:t>
      </w:r>
      <w:r>
        <w:rPr>
          <w:rFonts w:hint="eastAsia" w:ascii="宋体" w:hAnsi="宋体" w:eastAsia="宋体" w:cs="宋体"/>
          <w:color w:val="auto"/>
          <w:sz w:val="22"/>
          <w:szCs w:val="22"/>
          <w:highlight w:val="none"/>
          <w:u w:val="single"/>
        </w:rPr>
        <w:t xml:space="preserve">由承包人按发包人要求取得出入现场所需的批准手续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1.10.3 场内交通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关于场外交通和场内交通的边界的约定：</w:t>
      </w:r>
      <w:r>
        <w:rPr>
          <w:rFonts w:hint="eastAsia" w:ascii="宋体" w:hAnsi="宋体" w:eastAsia="宋体" w:cs="宋体"/>
          <w:color w:val="auto"/>
          <w:sz w:val="22"/>
          <w:szCs w:val="22"/>
          <w:highlight w:val="none"/>
          <w:u w:val="single"/>
        </w:rPr>
        <w:t xml:space="preserve">本项目施工现场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关于发包人向承包人免费提供满足工程施工需要的场内道路和交通设施的约定：</w:t>
      </w:r>
      <w:r>
        <w:rPr>
          <w:rFonts w:hint="eastAsia" w:ascii="宋体" w:hAnsi="宋体" w:eastAsia="宋体" w:cs="宋体"/>
          <w:color w:val="auto"/>
          <w:sz w:val="22"/>
          <w:szCs w:val="22"/>
          <w:highlight w:val="none"/>
          <w:u w:val="single"/>
        </w:rPr>
        <w:t xml:space="preserve">以现场实际施工条件为准   </w:t>
      </w:r>
      <w:r>
        <w:rPr>
          <w:rFonts w:hint="eastAsia" w:ascii="宋体" w:hAnsi="宋体" w:eastAsia="宋体" w:cs="宋体"/>
          <w:color w:val="auto"/>
          <w:sz w:val="22"/>
          <w:szCs w:val="22"/>
          <w:highlight w:val="none"/>
        </w:rPr>
        <w:t xml:space="preserve">。  </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1.10.4超大件和超重件的运输</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运输超大件或超重件所需的道路和桥梁临时加固改造费用和其他有关费用由</w:t>
      </w:r>
      <w:r>
        <w:rPr>
          <w:rFonts w:hint="eastAsia" w:ascii="宋体" w:hAnsi="宋体" w:eastAsia="宋体" w:cs="宋体"/>
          <w:color w:val="auto"/>
          <w:sz w:val="22"/>
          <w:szCs w:val="22"/>
          <w:highlight w:val="none"/>
          <w:u w:val="single"/>
        </w:rPr>
        <w:t xml:space="preserve">承包人  </w:t>
      </w:r>
      <w:r>
        <w:rPr>
          <w:rFonts w:hint="eastAsia" w:ascii="宋体" w:hAnsi="宋体" w:eastAsia="宋体" w:cs="宋体"/>
          <w:color w:val="auto"/>
          <w:sz w:val="22"/>
          <w:szCs w:val="22"/>
          <w:highlight w:val="none"/>
        </w:rPr>
        <w:t>承担。</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知识产权</w:t>
      </w:r>
    </w:p>
    <w:p>
      <w:pPr>
        <w:spacing w:beforeLines="0" w:afterLines="0"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2"/>
          <w:szCs w:val="22"/>
          <w:highlight w:val="none"/>
          <w:u w:val="single"/>
        </w:rPr>
        <w:t xml:space="preserve">执行通用条款         </w:t>
      </w:r>
      <w:r>
        <w:rPr>
          <w:rFonts w:hint="eastAsia" w:ascii="宋体" w:hAnsi="宋体" w:eastAsia="宋体" w:cs="宋体"/>
          <w:color w:val="auto"/>
          <w:sz w:val="22"/>
          <w:szCs w:val="22"/>
          <w:highlight w:val="none"/>
        </w:rPr>
        <w:t>。</w:t>
      </w:r>
    </w:p>
    <w:p>
      <w:pPr>
        <w:spacing w:beforeLines="0" w:afterLines="0" w:line="460" w:lineRule="exact"/>
        <w:ind w:left="568" w:leftChars="28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关于发包人提供的上述文件的使用限制的要求：</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1.11.2 关于承包人为实施工程所编制文件的著作权的归属：</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关于承包人提供的上述文件的使用限制的要求：</w:t>
      </w:r>
      <w:r>
        <w:rPr>
          <w:rFonts w:hint="eastAsia" w:ascii="宋体" w:hAnsi="宋体" w:eastAsia="宋体" w:cs="宋体"/>
          <w:color w:val="auto"/>
          <w:sz w:val="22"/>
          <w:szCs w:val="22"/>
          <w:highlight w:val="none"/>
          <w:u w:val="single"/>
        </w:rPr>
        <w:t xml:space="preserve">执行通用条款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1.11.4 承包人在施工过程中所采用的专利、专有技术、技术秘密的使用费的承担方式：</w:t>
      </w:r>
      <w:r>
        <w:rPr>
          <w:rFonts w:hint="eastAsia" w:ascii="宋体" w:hAnsi="宋体" w:eastAsia="宋体" w:cs="宋体"/>
          <w:color w:val="auto"/>
          <w:sz w:val="22"/>
          <w:szCs w:val="22"/>
          <w:highlight w:val="none"/>
          <w:u w:val="single"/>
        </w:rPr>
        <w:t xml:space="preserve">执行通用条款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1.13工程量清单错误的修正</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出现工程量清单错误时，是否调整合同价格：</w:t>
      </w:r>
      <w:r>
        <w:rPr>
          <w:rFonts w:hint="eastAsia" w:ascii="宋体" w:hAnsi="宋体" w:eastAsia="宋体" w:cs="宋体"/>
          <w:color w:val="auto"/>
          <w:sz w:val="22"/>
          <w:szCs w:val="22"/>
          <w:highlight w:val="none"/>
          <w:u w:val="single"/>
        </w:rPr>
        <w:t xml:space="preserve">         是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允许调整合同价格的工程量偏差范围：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视实际情况，根据《清单计价规范》和《通用合同条款》的规定，由发包方确认后调整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 发包人</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 发包人代表</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发包人代表：</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发包人对发包人代表的授权范围如下：</w:t>
      </w:r>
      <w:r>
        <w:rPr>
          <w:rFonts w:hint="eastAsia" w:ascii="宋体" w:hAnsi="宋体" w:eastAsia="宋体" w:cs="宋体"/>
          <w:color w:val="auto"/>
          <w:sz w:val="22"/>
          <w:szCs w:val="22"/>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施工现场、施工条件和基础资料的提供</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 提供施工现场</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关于发包人移交施工现场的期限要求：</w:t>
      </w:r>
      <w:r>
        <w:rPr>
          <w:rFonts w:hint="eastAsia" w:ascii="宋体" w:hAnsi="宋体" w:eastAsia="宋体" w:cs="宋体"/>
          <w:color w:val="auto"/>
          <w:sz w:val="22"/>
          <w:szCs w:val="22"/>
          <w:highlight w:val="none"/>
          <w:u w:val="single"/>
        </w:rPr>
        <w:t>开工前</w:t>
      </w:r>
      <w:r>
        <w:rPr>
          <w:rFonts w:hint="eastAsia" w:ascii="宋体" w:hAnsi="宋体" w:eastAsia="宋体" w:cs="宋体"/>
          <w:color w:val="auto"/>
          <w:sz w:val="22"/>
          <w:szCs w:val="22"/>
          <w:highlight w:val="none"/>
          <w:u w:val="single"/>
          <w:lang w:val="en-US" w:eastAsia="zh-CN"/>
        </w:rPr>
        <w:t>批准的施工方案提供施工现场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 提供施工条件</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关于发包人应负责提供施工所需要的条件，包括：</w:t>
      </w:r>
      <w:r>
        <w:rPr>
          <w:rFonts w:hint="eastAsia" w:ascii="宋体" w:hAnsi="宋体" w:eastAsia="宋体" w:cs="宋体"/>
          <w:color w:val="auto"/>
          <w:sz w:val="22"/>
          <w:szCs w:val="22"/>
          <w:highlight w:val="none"/>
          <w:u w:val="single"/>
        </w:rPr>
        <w:t xml:space="preserve"> 执行通用条款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资金来源证明及支付担保</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发包人提供资金来源证明的期限要求：</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发包人是否提供支付担保：</w:t>
      </w:r>
      <w:r>
        <w:rPr>
          <w:rFonts w:hint="eastAsia" w:ascii="宋体" w:hAnsi="宋体" w:eastAsia="宋体" w:cs="宋体"/>
          <w:color w:val="auto"/>
          <w:sz w:val="22"/>
          <w:szCs w:val="22"/>
          <w:highlight w:val="none"/>
          <w:u w:val="single"/>
        </w:rPr>
        <w:t xml:space="preserve">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发包人提供支付担保的形式：</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 承包人</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承包人的一般义务</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（5）承包人提交的竣工资料的内容：</w:t>
      </w:r>
      <w:r>
        <w:rPr>
          <w:rFonts w:hint="eastAsia" w:ascii="宋体" w:hAnsi="宋体" w:eastAsia="宋体" w:cs="宋体"/>
          <w:color w:val="auto"/>
          <w:sz w:val="22"/>
          <w:szCs w:val="22"/>
          <w:highlight w:val="none"/>
          <w:u w:val="single"/>
        </w:rPr>
        <w:t xml:space="preserve">    竣工图及资料                 </w:t>
      </w:r>
      <w:r>
        <w:rPr>
          <w:rFonts w:hint="eastAsia" w:ascii="宋体" w:hAnsi="宋体" w:eastAsia="宋体" w:cs="宋体"/>
          <w:color w:val="auto"/>
          <w:sz w:val="22"/>
          <w:szCs w:val="22"/>
          <w:highlight w:val="none"/>
        </w:rPr>
        <w:t xml:space="preserve"> 。</w:t>
      </w:r>
    </w:p>
    <w:p>
      <w:pPr>
        <w:spacing w:beforeLines="0" w:afterLines="0"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承包人需要提交的竣工资料套数：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四</w:t>
      </w:r>
      <w:r>
        <w:rPr>
          <w:rFonts w:hint="eastAsia" w:ascii="宋体" w:hAnsi="宋体" w:eastAsia="宋体" w:cs="宋体"/>
          <w:color w:val="auto"/>
          <w:sz w:val="22"/>
          <w:szCs w:val="22"/>
          <w:highlight w:val="none"/>
          <w:u w:val="single"/>
        </w:rPr>
        <w:t xml:space="preserve">套                       </w:t>
      </w:r>
      <w:r>
        <w:rPr>
          <w:rFonts w:hint="eastAsia" w:ascii="宋体" w:hAnsi="宋体" w:eastAsia="宋体" w:cs="宋体"/>
          <w:color w:val="auto"/>
          <w:sz w:val="22"/>
          <w:szCs w:val="22"/>
          <w:highlight w:val="none"/>
        </w:rPr>
        <w:t>。</w:t>
      </w:r>
    </w:p>
    <w:p>
      <w:pPr>
        <w:spacing w:beforeLines="0" w:afterLines="0" w:line="460" w:lineRule="exact"/>
        <w:ind w:left="608" w:leftChars="3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承包人提交的竣工资料的费用承担：</w:t>
      </w:r>
      <w:r>
        <w:rPr>
          <w:rFonts w:hint="eastAsia" w:ascii="宋体" w:hAnsi="宋体" w:eastAsia="宋体" w:cs="宋体"/>
          <w:color w:val="auto"/>
          <w:sz w:val="22"/>
          <w:szCs w:val="22"/>
          <w:highlight w:val="none"/>
          <w:u w:val="single"/>
        </w:rPr>
        <w:t xml:space="preserve">  由承包人承担                    </w:t>
      </w:r>
      <w:r>
        <w:rPr>
          <w:rFonts w:hint="eastAsia" w:ascii="宋体" w:hAnsi="宋体" w:eastAsia="宋体" w:cs="宋体"/>
          <w:color w:val="auto"/>
          <w:sz w:val="22"/>
          <w:szCs w:val="22"/>
          <w:highlight w:val="none"/>
        </w:rPr>
        <w:t>。</w:t>
      </w:r>
    </w:p>
    <w:p>
      <w:pPr>
        <w:spacing w:beforeLines="0" w:afterLines="0" w:line="460" w:lineRule="exact"/>
        <w:ind w:left="608" w:leftChars="3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承包人提交的竣工资料移交时间：</w:t>
      </w:r>
      <w:r>
        <w:rPr>
          <w:rFonts w:hint="eastAsia" w:ascii="宋体" w:hAnsi="宋体" w:eastAsia="宋体" w:cs="宋体"/>
          <w:color w:val="auto"/>
          <w:sz w:val="22"/>
          <w:szCs w:val="22"/>
          <w:highlight w:val="none"/>
          <w:u w:val="single"/>
        </w:rPr>
        <w:t xml:space="preserve">   工程竣工后壹个月内                </w:t>
      </w:r>
      <w:r>
        <w:rPr>
          <w:rFonts w:hint="eastAsia" w:ascii="宋体" w:hAnsi="宋体" w:eastAsia="宋体" w:cs="宋体"/>
          <w:color w:val="auto"/>
          <w:sz w:val="22"/>
          <w:szCs w:val="22"/>
          <w:highlight w:val="none"/>
        </w:rPr>
        <w:t>。</w:t>
      </w:r>
    </w:p>
    <w:p>
      <w:pPr>
        <w:spacing w:beforeLines="0" w:afterLines="0"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承包人提交的竣工资料形式要求：</w:t>
      </w:r>
      <w:r>
        <w:rPr>
          <w:rFonts w:hint="eastAsia" w:ascii="宋体" w:hAnsi="宋体" w:eastAsia="宋体" w:cs="宋体"/>
          <w:color w:val="auto"/>
          <w:sz w:val="22"/>
          <w:szCs w:val="22"/>
          <w:highlight w:val="none"/>
          <w:u w:val="single"/>
        </w:rPr>
        <w:t xml:space="preserve">  书面</w:t>
      </w:r>
      <w:r>
        <w:rPr>
          <w:rFonts w:hint="eastAsia" w:ascii="宋体" w:hAnsi="宋体" w:eastAsia="宋体" w:cs="宋体"/>
          <w:color w:val="auto"/>
          <w:sz w:val="22"/>
          <w:szCs w:val="22"/>
          <w:highlight w:val="none"/>
          <w:u w:val="single"/>
          <w:lang w:val="en-US" w:eastAsia="zh-CN"/>
        </w:rPr>
        <w:t>和电子文档</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（6）承包人应履行的其他义务：</w:t>
      </w:r>
      <w:r>
        <w:rPr>
          <w:rFonts w:hint="eastAsia" w:ascii="宋体" w:hAnsi="宋体" w:eastAsia="宋体" w:cs="宋体"/>
          <w:color w:val="auto"/>
          <w:sz w:val="22"/>
          <w:szCs w:val="22"/>
          <w:highlight w:val="none"/>
          <w:u w:val="single"/>
        </w:rPr>
        <w:t xml:space="preserve"> 双方协商确定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项目负责人</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 项目负责人：</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建造师执业资格等级：</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建造师注册证书号：</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建造师执业印章号：</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安全生产考核合格证书号：</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承包人对项目负责人的授权范围如下：</w:t>
      </w:r>
      <w:r>
        <w:rPr>
          <w:rFonts w:hint="eastAsia" w:ascii="宋体" w:hAnsi="宋体" w:eastAsia="宋体" w:cs="宋体"/>
          <w:color w:val="auto"/>
          <w:sz w:val="22"/>
          <w:szCs w:val="22"/>
          <w:highlight w:val="none"/>
          <w:u w:val="single"/>
        </w:rPr>
        <w:t>全面负责项目施工过程中质量、安全、进度管理工作</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关于项目负责人每月在施工现场的时间要求：</w:t>
      </w:r>
      <w:r>
        <w:rPr>
          <w:rFonts w:hint="eastAsia" w:ascii="宋体" w:hAnsi="宋体" w:eastAsia="宋体" w:cs="宋体"/>
          <w:color w:val="auto"/>
          <w:sz w:val="22"/>
          <w:szCs w:val="22"/>
          <w:highlight w:val="none"/>
          <w:u w:val="single"/>
        </w:rPr>
        <w:t xml:space="preserve">       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承包人未提交劳动合同，以及没有为项目负责人缴纳社会保险证明的违约责任：</w:t>
      </w:r>
      <w:r>
        <w:rPr>
          <w:rFonts w:hint="eastAsia" w:ascii="宋体" w:hAnsi="宋体" w:eastAsia="宋体" w:cs="宋体"/>
          <w:color w:val="auto"/>
          <w:sz w:val="22"/>
          <w:szCs w:val="22"/>
          <w:highlight w:val="none"/>
          <w:u w:val="single"/>
        </w:rPr>
        <w:t>承包人承担上述违约责任给发包人造成的损失</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项目负责人未经批准，擅自离开施工现场的违约责任：</w:t>
      </w:r>
      <w:r>
        <w:rPr>
          <w:rFonts w:hint="eastAsia" w:ascii="宋体" w:hAnsi="宋体" w:eastAsia="宋体" w:cs="宋体"/>
          <w:color w:val="auto"/>
          <w:sz w:val="22"/>
          <w:szCs w:val="22"/>
          <w:highlight w:val="none"/>
          <w:u w:val="single"/>
        </w:rPr>
        <w:t xml:space="preserve">  承包人承担上述违约责任给发包人造成的损失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 承包人擅自更换项目负责人的违约责任：</w:t>
      </w:r>
      <w:r>
        <w:rPr>
          <w:rFonts w:hint="eastAsia" w:ascii="宋体" w:hAnsi="宋体" w:eastAsia="宋体" w:cs="宋体"/>
          <w:color w:val="auto"/>
          <w:sz w:val="22"/>
          <w:szCs w:val="22"/>
          <w:highlight w:val="none"/>
          <w:u w:val="single"/>
        </w:rPr>
        <w:t>承包人承担上述违约责任给发包人造成的损失</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3.2.4 承包人无正当理由拒绝更换项目负责人的违约责任：</w:t>
      </w:r>
      <w:r>
        <w:rPr>
          <w:rFonts w:hint="eastAsia" w:ascii="宋体" w:hAnsi="宋体" w:eastAsia="宋体" w:cs="宋体"/>
          <w:color w:val="auto"/>
          <w:sz w:val="22"/>
          <w:szCs w:val="22"/>
          <w:highlight w:val="none"/>
          <w:u w:val="single"/>
        </w:rPr>
        <w:t xml:space="preserve">  承包人承担上述违约责任给发包人造成的损失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承包人人员</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 承包人提交项目管理机构及施工现场管理人员安排报告的期限：</w:t>
      </w:r>
      <w:r>
        <w:rPr>
          <w:rFonts w:hint="eastAsia" w:ascii="宋体" w:hAnsi="宋体" w:eastAsia="宋体" w:cs="宋体"/>
          <w:color w:val="auto"/>
          <w:sz w:val="22"/>
          <w:szCs w:val="22"/>
          <w:highlight w:val="none"/>
          <w:u w:val="single"/>
        </w:rPr>
        <w:t xml:space="preserve">工程开工前2天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 承包人无正当理由拒绝撤换主要施工管理人员的违约责任：</w:t>
      </w:r>
      <w:r>
        <w:rPr>
          <w:rFonts w:hint="eastAsia" w:ascii="宋体" w:hAnsi="宋体" w:eastAsia="宋体" w:cs="宋体"/>
          <w:color w:val="auto"/>
          <w:sz w:val="22"/>
          <w:szCs w:val="22"/>
          <w:highlight w:val="none"/>
          <w:u w:val="single"/>
        </w:rPr>
        <w:t xml:space="preserve"> 承包人承担上述违约责任给发包人造成的损失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3.3.4 承包人主要施工管理人员离开施工现场的批准要求： </w:t>
      </w:r>
      <w:r>
        <w:rPr>
          <w:rFonts w:hint="eastAsia" w:ascii="宋体" w:hAnsi="宋体" w:eastAsia="宋体" w:cs="宋体"/>
          <w:color w:val="auto"/>
          <w:sz w:val="22"/>
          <w:szCs w:val="22"/>
          <w:highlight w:val="none"/>
          <w:u w:val="single"/>
        </w:rPr>
        <w:t xml:space="preserve">由发包人师批准后方可离开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3.3.5承包人擅自更换主要施工管理人员的违约责任：</w:t>
      </w:r>
      <w:r>
        <w:rPr>
          <w:rFonts w:hint="eastAsia" w:ascii="宋体" w:hAnsi="宋体" w:eastAsia="宋体" w:cs="宋体"/>
          <w:color w:val="auto"/>
          <w:sz w:val="22"/>
          <w:szCs w:val="22"/>
          <w:highlight w:val="none"/>
          <w:u w:val="single"/>
        </w:rPr>
        <w:t xml:space="preserve">承包人承担上述违约责任给发包人造成的损失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承包人主要施工管理人员擅自离开施工现场的违约责任：</w:t>
      </w:r>
      <w:r>
        <w:rPr>
          <w:rFonts w:hint="eastAsia" w:ascii="宋体" w:hAnsi="宋体" w:eastAsia="宋体" w:cs="宋体"/>
          <w:color w:val="auto"/>
          <w:sz w:val="22"/>
          <w:szCs w:val="22"/>
          <w:highlight w:val="none"/>
          <w:u w:val="single"/>
        </w:rPr>
        <w:t xml:space="preserve"> 承包人承担上述违约责任给发包人造成的损失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Start w:id="157" w:name="_Toc303539102"/>
      <w:bookmarkStart w:id="158" w:name="_Toc296346660"/>
      <w:bookmarkStart w:id="159" w:name="_Toc296503159"/>
      <w:bookmarkStart w:id="160" w:name="_Toc297216151"/>
      <w:bookmarkStart w:id="161" w:name="_Toc297120459"/>
      <w:bookmarkStart w:id="162" w:name="_Toc296347158"/>
      <w:bookmarkStart w:id="163" w:name="_Toc300934945"/>
      <w:bookmarkStart w:id="164" w:name="_Toc312677988"/>
      <w:bookmarkStart w:id="165" w:name="_Toc304295523"/>
      <w:bookmarkStart w:id="166" w:name="_Toc297048345"/>
      <w:bookmarkStart w:id="167" w:name="_Toc297123492"/>
      <w:bookmarkStart w:id="168" w:name="_Toc292559364"/>
      <w:bookmarkStart w:id="169" w:name="_Toc292559869"/>
      <w:bookmarkStart w:id="170" w:name="_Toc296944498"/>
      <w:bookmarkStart w:id="171" w:name="_Toc296891199"/>
      <w:bookmarkStart w:id="172" w:name="_Toc296890987"/>
      <w:r>
        <w:rPr>
          <w:rFonts w:hint="eastAsia" w:ascii="宋体" w:hAnsi="宋体" w:eastAsia="宋体" w:cs="宋体"/>
          <w:color w:val="auto"/>
          <w:sz w:val="22"/>
          <w:szCs w:val="22"/>
          <w:highlight w:val="none"/>
        </w:rPr>
        <w:t>.5 分包</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Start w:id="173" w:name="_Toc297048346"/>
      <w:bookmarkStart w:id="174" w:name="_Toc292559870"/>
      <w:bookmarkStart w:id="175" w:name="_Toc304295524"/>
      <w:bookmarkStart w:id="176" w:name="_Toc296347159"/>
      <w:bookmarkStart w:id="177" w:name="_Toc297120460"/>
      <w:bookmarkStart w:id="178" w:name="_Toc296346661"/>
      <w:bookmarkStart w:id="179" w:name="_Toc296503160"/>
      <w:bookmarkStart w:id="180" w:name="_Toc300934946"/>
      <w:bookmarkStart w:id="181" w:name="_Toc296891200"/>
      <w:bookmarkStart w:id="182" w:name="_Toc297123493"/>
      <w:bookmarkStart w:id="183" w:name="_Toc296944499"/>
      <w:bookmarkStart w:id="184" w:name="_Toc296890988"/>
      <w:bookmarkStart w:id="185" w:name="_Toc303539103"/>
      <w:bookmarkStart w:id="186" w:name="_Toc292559365"/>
      <w:bookmarkStart w:id="187" w:name="_Toc297216152"/>
      <w:bookmarkStart w:id="188" w:name="_Toc312677989"/>
      <w:bookmarkStart w:id="189" w:name="_Toc318581158"/>
      <w:r>
        <w:rPr>
          <w:rFonts w:hint="eastAsia" w:ascii="宋体" w:hAnsi="宋体" w:eastAsia="宋体" w:cs="宋体"/>
          <w:color w:val="auto"/>
          <w:sz w:val="22"/>
          <w:szCs w:val="22"/>
          <w:highlight w:val="none"/>
        </w:rPr>
        <w:t>.5.1 分包的一般约定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禁止分包的工程包括：</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本工程不得分包</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主体结构、关键性工作的范围：</w:t>
      </w:r>
      <w:r>
        <w:rPr>
          <w:rFonts w:hint="eastAsia" w:ascii="宋体" w:hAnsi="宋体" w:eastAsia="宋体" w:cs="宋体"/>
          <w:color w:val="auto"/>
          <w:sz w:val="22"/>
          <w:szCs w:val="22"/>
          <w:highlight w:val="none"/>
          <w:u w:val="single"/>
        </w:rPr>
        <w:t xml:space="preserve">执行通用条款          </w:t>
      </w:r>
      <w:r>
        <w:rPr>
          <w:rFonts w:hint="eastAsia" w:ascii="宋体" w:hAnsi="宋体" w:eastAsia="宋体" w:cs="宋体"/>
          <w:color w:val="auto"/>
          <w:sz w:val="22"/>
          <w:szCs w:val="22"/>
          <w:highlight w:val="none"/>
        </w:rPr>
        <w: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Start w:id="190" w:name="_Toc296347160"/>
      <w:bookmarkStart w:id="191" w:name="_Toc296891201"/>
      <w:bookmarkStart w:id="192" w:name="_Toc296890989"/>
      <w:bookmarkStart w:id="193" w:name="_Toc296346662"/>
      <w:bookmarkStart w:id="194" w:name="_Toc300934947"/>
      <w:bookmarkStart w:id="195" w:name="_Toc297216153"/>
      <w:bookmarkStart w:id="196" w:name="_Toc296944500"/>
      <w:bookmarkStart w:id="197" w:name="_Toc303539104"/>
      <w:bookmarkStart w:id="198" w:name="_Toc297123494"/>
      <w:bookmarkStart w:id="199" w:name="_Toc297048347"/>
      <w:bookmarkStart w:id="200" w:name="_Toc304295525"/>
      <w:bookmarkStart w:id="201" w:name="_Toc296503161"/>
      <w:bookmarkStart w:id="202" w:name="_Toc297120461"/>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Start w:id="203" w:name="_Toc312677990"/>
      <w:bookmarkStart w:id="204" w:name="_Toc318581159"/>
      <w:r>
        <w:rPr>
          <w:rFonts w:hint="eastAsia" w:ascii="宋体" w:hAnsi="宋体" w:eastAsia="宋体" w:cs="宋体"/>
          <w:color w:val="auto"/>
          <w:sz w:val="22"/>
          <w:szCs w:val="22"/>
          <w:highlight w:val="none"/>
        </w:rPr>
        <w:t>.5.2分包的确定</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允许分包的专业工程包括：</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其他关于分包的约定：</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3.5.4 分包合同价款</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关于分包合同价款支付的约定：</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bookmarkEnd w:id="203"/>
    <w:bookmarkEnd w:id="204"/>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 工程照管与成品、半成品保护</w:t>
      </w:r>
    </w:p>
    <w:p>
      <w:pPr>
        <w:spacing w:before="120" w:beforeLines="0" w:after="12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承包人负责照管工程及工程相关的材料、工程设备的起始时间：</w:t>
      </w:r>
      <w:r>
        <w:rPr>
          <w:rFonts w:hint="eastAsia" w:ascii="宋体" w:hAnsi="宋体" w:eastAsia="宋体" w:cs="宋体"/>
          <w:color w:val="auto"/>
          <w:sz w:val="22"/>
          <w:szCs w:val="22"/>
          <w:highlight w:val="none"/>
          <w:u w:val="single"/>
        </w:rPr>
        <w:t xml:space="preserve"> 材料、设备进场至验交付使用前由承包人负责保修，交付使用后由发包人做成品保护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3.7 履约担保</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承包人是否提供履约担保：</w:t>
      </w:r>
      <w:r>
        <w:rPr>
          <w:rFonts w:hint="eastAsia" w:ascii="宋体" w:hAnsi="宋体" w:eastAsia="宋体" w:cs="宋体"/>
          <w:color w:val="auto"/>
          <w:sz w:val="22"/>
          <w:szCs w:val="22"/>
          <w:highlight w:val="none"/>
          <w:u w:val="single"/>
        </w:rPr>
        <w:t xml:space="preserve">   发包人与承包人协商确定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承包人提供履约担保的形式、金额及期限的：</w:t>
      </w:r>
      <w:r>
        <w:rPr>
          <w:rFonts w:hint="eastAsia" w:ascii="宋体" w:hAnsi="宋体" w:eastAsia="宋体" w:cs="宋体"/>
          <w:color w:val="auto"/>
          <w:sz w:val="22"/>
          <w:szCs w:val="22"/>
          <w:highlight w:val="none"/>
          <w:u w:val="single"/>
        </w:rPr>
        <w:t xml:space="preserve">   发包人与承包人协商确定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 监理人</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4.1监理人的一般规定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关于监理人的监理内容：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关于监理人的监理权限：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关于监理人在施工现场的办公场所、生活场所的提供和费用承担的约定：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 监理人员</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总监理工程师：</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监理工程师执业资格证书号：</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关于监理人的其他约定：</w:t>
      </w:r>
      <w:r>
        <w:rPr>
          <w:rFonts w:hint="eastAsia" w:ascii="宋体" w:hAnsi="宋体" w:eastAsia="宋体" w:cs="宋体"/>
          <w:color w:val="auto"/>
          <w:sz w:val="22"/>
          <w:szCs w:val="22"/>
          <w:highlight w:val="none"/>
          <w:u w:val="single"/>
        </w:rPr>
        <w:t>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 商定或确定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在发包人和承包人不能通过协商达成一致意见时，发包人授权监理人对以下事项进行确定：</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 工程质量</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 质量要求</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 特殊质量标准和要求：</w:t>
      </w:r>
      <w:r>
        <w:rPr>
          <w:rFonts w:hint="eastAsia" w:ascii="宋体" w:hAnsi="宋体" w:eastAsia="宋体" w:cs="宋体"/>
          <w:color w:val="auto"/>
          <w:sz w:val="22"/>
          <w:szCs w:val="22"/>
          <w:highlight w:val="none"/>
          <w:u w:val="single"/>
        </w:rPr>
        <w:t xml:space="preserve">     合格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关于工程奖项的约定：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 隐蔽工程检查</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5.3.2承包人提前通知监理人隐蔽工程检查的期限的约定：</w:t>
      </w:r>
      <w:r>
        <w:rPr>
          <w:rFonts w:hint="eastAsia" w:ascii="宋体" w:hAnsi="宋体" w:eastAsia="宋体" w:cs="宋体"/>
          <w:color w:val="auto"/>
          <w:sz w:val="22"/>
          <w:szCs w:val="22"/>
          <w:highlight w:val="none"/>
          <w:u w:val="single"/>
        </w:rPr>
        <w:t>共同检查前48小时书面通知监理人</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监理人不能按时进行检查时，应提前</w:t>
      </w:r>
      <w:r>
        <w:rPr>
          <w:rFonts w:hint="eastAsia" w:ascii="宋体" w:hAnsi="宋体" w:eastAsia="宋体" w:cs="宋体"/>
          <w:color w:val="auto"/>
          <w:sz w:val="22"/>
          <w:szCs w:val="22"/>
          <w:highlight w:val="none"/>
          <w:u w:val="single"/>
        </w:rPr>
        <w:t xml:space="preserve">    24   </w:t>
      </w:r>
      <w:r>
        <w:rPr>
          <w:rFonts w:hint="eastAsia" w:ascii="宋体" w:hAnsi="宋体" w:eastAsia="宋体" w:cs="宋体"/>
          <w:color w:val="auto"/>
          <w:sz w:val="22"/>
          <w:szCs w:val="22"/>
          <w:highlight w:val="none"/>
        </w:rPr>
        <w:t>小时提交书面延期要求。</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关于延期最长不得超过：</w:t>
      </w:r>
      <w:r>
        <w:rPr>
          <w:rFonts w:hint="eastAsia" w:ascii="宋体" w:hAnsi="宋体" w:eastAsia="宋体" w:cs="宋体"/>
          <w:color w:val="auto"/>
          <w:sz w:val="22"/>
          <w:szCs w:val="22"/>
          <w:highlight w:val="none"/>
          <w:u w:val="single"/>
        </w:rPr>
        <w:t xml:space="preserve">    48     </w:t>
      </w:r>
      <w:r>
        <w:rPr>
          <w:rFonts w:hint="eastAsia" w:ascii="宋体" w:hAnsi="宋体" w:eastAsia="宋体" w:cs="宋体"/>
          <w:color w:val="auto"/>
          <w:sz w:val="22"/>
          <w:szCs w:val="22"/>
          <w:highlight w:val="none"/>
        </w:rPr>
        <w:t>小时。</w:t>
      </w:r>
    </w:p>
    <w:p>
      <w:pPr>
        <w:pStyle w:val="12"/>
        <w:spacing w:before="120" w:beforeLines="0" w:after="120" w:afterLines="0" w:line="46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 安全文明施工与环境保护</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6.1安全文明施工</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 项目安全生产的达标目标及相应事项的约定：</w:t>
      </w:r>
      <w:r>
        <w:rPr>
          <w:rFonts w:hint="eastAsia" w:ascii="宋体" w:hAnsi="宋体" w:eastAsia="宋体" w:cs="宋体"/>
          <w:color w:val="auto"/>
          <w:sz w:val="22"/>
          <w:szCs w:val="22"/>
          <w:highlight w:val="none"/>
          <w:u w:val="single"/>
        </w:rPr>
        <w:t>达到《建筑工程安全检查标准》（JGJ59-2011）标准</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6.1.4 关于治安保卫的特别约定：</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关于编制施工场地治安管理计划的约定：</w:t>
      </w:r>
      <w:r>
        <w:rPr>
          <w:rFonts w:hint="eastAsia" w:ascii="宋体" w:hAnsi="宋体" w:eastAsia="宋体" w:cs="宋体"/>
          <w:color w:val="auto"/>
          <w:sz w:val="22"/>
          <w:szCs w:val="22"/>
          <w:highlight w:val="none"/>
          <w:u w:val="single"/>
        </w:rPr>
        <w:t xml:space="preserve">     开工前提供场地治安管理计划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6.1.5 文明施工</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合同当事人对文明施工的要求：</w:t>
      </w:r>
      <w:r>
        <w:rPr>
          <w:rFonts w:hint="eastAsia" w:ascii="宋体" w:hAnsi="宋体" w:eastAsia="宋体" w:cs="宋体"/>
          <w:color w:val="auto"/>
          <w:sz w:val="22"/>
          <w:szCs w:val="22"/>
          <w:highlight w:val="none"/>
          <w:u w:val="single"/>
        </w:rPr>
        <w:t>达到《建筑施工现场环境与卫生标准》（JGJ146-2004）标准</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6.1.6 关于安全文明施工费支付比例和支付期限的约定：</w:t>
      </w:r>
      <w:r>
        <w:rPr>
          <w:rFonts w:hint="eastAsia" w:ascii="宋体" w:hAnsi="宋体" w:eastAsia="宋体" w:cs="宋体"/>
          <w:color w:val="auto"/>
          <w:sz w:val="22"/>
          <w:szCs w:val="22"/>
          <w:highlight w:val="none"/>
          <w:u w:val="single"/>
        </w:rPr>
        <w:t xml:space="preserve">     纳入合同价格支付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205" w:name="_Toc351203639"/>
      <w:r>
        <w:rPr>
          <w:rFonts w:hint="eastAsia" w:ascii="宋体" w:hAnsi="宋体" w:eastAsia="宋体" w:cs="宋体"/>
          <w:b w:val="0"/>
          <w:color w:val="auto"/>
          <w:sz w:val="22"/>
          <w:szCs w:val="22"/>
          <w:highlight w:val="none"/>
        </w:rPr>
        <w:t>7. 工期和进度</w:t>
      </w:r>
      <w:bookmarkEnd w:id="205"/>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 施工组织设计</w:t>
      </w:r>
    </w:p>
    <w:p>
      <w:pPr>
        <w:adjustRightInd w:val="0"/>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7.1.1 合同当事人约定的施工组织设计应包括的其他内容：</w:t>
      </w:r>
      <w:r>
        <w:rPr>
          <w:rFonts w:hint="eastAsia" w:ascii="宋体" w:hAnsi="宋体" w:eastAsia="宋体" w:cs="宋体"/>
          <w:color w:val="auto"/>
          <w:sz w:val="22"/>
          <w:szCs w:val="22"/>
          <w:highlight w:val="none"/>
          <w:u w:val="single"/>
        </w:rPr>
        <w:t xml:space="preserve">按通用条款执行   </w:t>
      </w:r>
      <w:r>
        <w:rPr>
          <w:rFonts w:hint="eastAsia" w:ascii="宋体" w:hAnsi="宋体" w:eastAsia="宋体" w:cs="宋体"/>
          <w:color w:val="auto"/>
          <w:sz w:val="22"/>
          <w:szCs w:val="22"/>
          <w:highlight w:val="none"/>
        </w:rPr>
        <w:t>。</w:t>
      </w:r>
    </w:p>
    <w:p>
      <w:pPr>
        <w:adjustRightInd w:val="0"/>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7.1.2 施工组织设计的提交和修改</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承包人提交详细施工组织设计的期限的约定：</w:t>
      </w:r>
      <w:r>
        <w:rPr>
          <w:rFonts w:hint="eastAsia" w:ascii="宋体" w:hAnsi="宋体" w:eastAsia="宋体" w:cs="宋体"/>
          <w:color w:val="auto"/>
          <w:sz w:val="22"/>
          <w:szCs w:val="22"/>
          <w:highlight w:val="none"/>
          <w:u w:val="single"/>
        </w:rPr>
        <w:t xml:space="preserve">        开工前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发包人和监理人在收到详细的施工组织设计后确认或提出修改意见的期限：</w:t>
      </w:r>
      <w:r>
        <w:rPr>
          <w:rFonts w:hint="eastAsia" w:ascii="宋体" w:hAnsi="宋体" w:eastAsia="宋体" w:cs="宋体"/>
          <w:color w:val="auto"/>
          <w:sz w:val="22"/>
          <w:szCs w:val="22"/>
          <w:highlight w:val="none"/>
          <w:u w:val="single"/>
        </w:rPr>
        <w:t>收到后7天内</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bookmarkStart w:id="206" w:name="_Toc312678005"/>
      <w:bookmarkStart w:id="207" w:name="_Toc300934966"/>
      <w:bookmarkStart w:id="208" w:name="_Toc303539123"/>
      <w:bookmarkStart w:id="209" w:name="_Toc297123514"/>
      <w:bookmarkStart w:id="210" w:name="_Toc297216173"/>
      <w:bookmarkStart w:id="211" w:name="_Toc304295541"/>
      <w:bookmarkStart w:id="212" w:name="_Toc312677479"/>
      <w:r>
        <w:rPr>
          <w:rFonts w:hint="eastAsia" w:ascii="宋体" w:hAnsi="宋体" w:eastAsia="宋体" w:cs="宋体"/>
          <w:color w:val="auto"/>
          <w:sz w:val="22"/>
          <w:szCs w:val="22"/>
          <w:highlight w:val="none"/>
        </w:rPr>
        <w:t>.2 施工进度计划</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 施工进度计划的修订</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发包人和监理人在收到修订的施工进度计划后确认或提出修改意见的期限：</w:t>
      </w:r>
      <w:r>
        <w:rPr>
          <w:rFonts w:hint="eastAsia" w:ascii="宋体" w:hAnsi="宋体" w:eastAsia="宋体" w:cs="宋体"/>
          <w:color w:val="auto"/>
          <w:sz w:val="22"/>
          <w:szCs w:val="22"/>
          <w:highlight w:val="none"/>
          <w:u w:val="single"/>
        </w:rPr>
        <w:t xml:space="preserve"> 收到后5日内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 开工</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7.3.1 开工准备</w:t>
      </w:r>
    </w:p>
    <w:p>
      <w:pPr>
        <w:spacing w:beforeLines="0" w:afterLines="0" w:line="460" w:lineRule="exact"/>
        <w:ind w:firstLine="64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关于承包人提交工程开工报审表的期限：</w:t>
      </w:r>
      <w:r>
        <w:rPr>
          <w:rFonts w:hint="eastAsia" w:ascii="宋体" w:hAnsi="宋体" w:eastAsia="宋体" w:cs="宋体"/>
          <w:color w:val="auto"/>
          <w:sz w:val="22"/>
          <w:szCs w:val="22"/>
          <w:highlight w:val="none"/>
          <w:u w:val="single"/>
        </w:rPr>
        <w:t xml:space="preserve">  合同签订后、开工前    </w:t>
      </w:r>
      <w:r>
        <w:rPr>
          <w:rFonts w:hint="eastAsia" w:ascii="宋体" w:hAnsi="宋体" w:eastAsia="宋体" w:cs="宋体"/>
          <w:color w:val="auto"/>
          <w:sz w:val="22"/>
          <w:szCs w:val="22"/>
          <w:highlight w:val="none"/>
        </w:rPr>
        <w:t>。</w:t>
      </w:r>
    </w:p>
    <w:p>
      <w:pPr>
        <w:spacing w:beforeLines="0" w:afterLines="0" w:line="460" w:lineRule="exact"/>
        <w:ind w:firstLine="6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关于发包人应完成的其他开工准备工作及期限：</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关于承包人应完成的其他开工准备工作及期限：</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7.3.2开工通知</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因发包人原因造成监理人未能在计划开工日期之日起</w:t>
      </w:r>
      <w:r>
        <w:rPr>
          <w:rFonts w:hint="eastAsia" w:ascii="宋体" w:hAnsi="宋体" w:eastAsia="宋体" w:cs="宋体"/>
          <w:color w:val="auto"/>
          <w:sz w:val="22"/>
          <w:szCs w:val="22"/>
          <w:highlight w:val="none"/>
          <w:u w:val="single"/>
        </w:rPr>
        <w:t xml:space="preserve"> </w:t>
      </w:r>
      <w:ins w:id="1" w:author="xzfw009" w:date="2025-05-28T19:29:59Z">
        <w:r>
          <w:rPr>
            <w:rFonts w:hint="eastAsia" w:ascii="宋体" w:hAnsi="宋体" w:eastAsia="宋体" w:cs="宋体"/>
            <w:color w:val="auto"/>
            <w:sz w:val="22"/>
            <w:szCs w:val="22"/>
            <w:highlight w:val="none"/>
            <w:u w:val="single"/>
            <w:lang w:val="en-US" w:eastAsia="zh-CN"/>
          </w:rPr>
          <w:t xml:space="preserve"> </w:t>
        </w:r>
      </w:ins>
      <w:ins w:id="2" w:author="xzfw009" w:date="2025-05-28T19:30:00Z">
        <w:r>
          <w:rPr>
            <w:rFonts w:hint="eastAsia" w:ascii="宋体" w:hAnsi="宋体" w:eastAsia="宋体" w:cs="宋体"/>
            <w:color w:val="auto"/>
            <w:sz w:val="22"/>
            <w:szCs w:val="22"/>
            <w:highlight w:val="none"/>
            <w:u w:val="single"/>
            <w:lang w:val="en-US" w:eastAsia="zh-CN"/>
          </w:rPr>
          <w:t xml:space="preserve"> </w:t>
        </w:r>
      </w:ins>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天内发出开工通知的，承包人有权提出价格调整要求，或者解除合同。</w:t>
      </w:r>
    </w:p>
    <w:bookmarkEnd w:id="206"/>
    <w:bookmarkEnd w:id="207"/>
    <w:bookmarkEnd w:id="208"/>
    <w:bookmarkEnd w:id="209"/>
    <w:bookmarkEnd w:id="210"/>
    <w:bookmarkEnd w:id="211"/>
    <w:bookmarkEnd w:id="212"/>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 测量放线</w:t>
      </w:r>
    </w:p>
    <w:p>
      <w:pPr>
        <w:spacing w:beforeLines="0" w:afterLines="0" w:line="46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7.4.1发包人通过监理人向承包人提供测量基准点、基准线和水准点及其书面资料的期限：</w:t>
      </w:r>
      <w:r>
        <w:rPr>
          <w:rFonts w:hint="eastAsia" w:ascii="宋体" w:hAnsi="宋体" w:eastAsia="宋体" w:cs="宋体"/>
          <w:color w:val="auto"/>
          <w:sz w:val="22"/>
          <w:szCs w:val="22"/>
          <w:highlight w:val="none"/>
          <w:u w:val="single"/>
        </w:rPr>
        <w:t xml:space="preserve">  合同签订后、开工前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bookmarkStart w:id="213" w:name="_Toc297216175"/>
      <w:bookmarkStart w:id="214" w:name="_Toc312677484"/>
      <w:bookmarkStart w:id="215" w:name="_Toc297123516"/>
      <w:bookmarkStart w:id="216" w:name="_Toc303539125"/>
      <w:bookmarkStart w:id="217" w:name="_Toc300934968"/>
      <w:bookmarkStart w:id="218" w:name="_Toc304295546"/>
      <w:bookmarkStart w:id="219" w:name="_Toc312678010"/>
      <w:r>
        <w:rPr>
          <w:rFonts w:hint="eastAsia" w:ascii="宋体" w:hAnsi="宋体" w:eastAsia="宋体" w:cs="宋体"/>
          <w:color w:val="auto"/>
          <w:sz w:val="22"/>
          <w:szCs w:val="22"/>
          <w:highlight w:val="none"/>
        </w:rPr>
        <w:t>.5 工期延误</w:t>
      </w:r>
    </w:p>
    <w:bookmarkEnd w:id="213"/>
    <w:bookmarkEnd w:id="214"/>
    <w:bookmarkEnd w:id="215"/>
    <w:bookmarkEnd w:id="216"/>
    <w:bookmarkEnd w:id="217"/>
    <w:bookmarkEnd w:id="218"/>
    <w:bookmarkEnd w:id="219"/>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7.5.1 因发包人原因导致工期延误</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（7）因发包人原因导致工期延误的其他情形：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bookmarkStart w:id="220" w:name="_Toc312678012"/>
      <w:bookmarkStart w:id="221" w:name="_Toc318581169"/>
      <w:bookmarkStart w:id="222" w:name="_Toc312677486"/>
      <w:bookmarkStart w:id="223" w:name="_Toc297216177"/>
      <w:bookmarkStart w:id="224" w:name="_Toc304295548"/>
      <w:bookmarkStart w:id="225" w:name="_Toc300934970"/>
      <w:bookmarkStart w:id="226" w:name="_Toc297123518"/>
      <w:bookmarkStart w:id="227" w:name="_Toc303539127"/>
      <w:r>
        <w:rPr>
          <w:rFonts w:hint="eastAsia" w:ascii="宋体" w:hAnsi="宋体" w:eastAsia="宋体" w:cs="宋体"/>
          <w:color w:val="auto"/>
          <w:sz w:val="22"/>
          <w:szCs w:val="22"/>
          <w:highlight w:val="none"/>
        </w:rPr>
        <w:t>.5.2 因承包人原因导致工期延误</w:t>
      </w:r>
    </w:p>
    <w:bookmarkEnd w:id="220"/>
    <w:bookmarkEnd w:id="221"/>
    <w:bookmarkEnd w:id="222"/>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因</w:t>
      </w:r>
      <w:bookmarkStart w:id="228" w:name="_Toc312678013"/>
      <w:bookmarkStart w:id="229" w:name="_Toc312677487"/>
      <w:bookmarkStart w:id="230" w:name="_Toc318581170"/>
      <w:r>
        <w:rPr>
          <w:rFonts w:hint="eastAsia" w:ascii="宋体" w:hAnsi="宋体" w:eastAsia="宋体" w:cs="宋体"/>
          <w:color w:val="auto"/>
          <w:sz w:val="22"/>
          <w:szCs w:val="22"/>
          <w:highlight w:val="none"/>
        </w:rPr>
        <w:t>承包人原因造成工期延误，逾期竣工违约金的计算方法为：</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每推延一天，赔偿合同价款的0.1%                 </w:t>
      </w:r>
      <w:r>
        <w:rPr>
          <w:rFonts w:hint="eastAsia" w:ascii="宋体" w:hAnsi="宋体" w:eastAsia="宋体" w:cs="宋体"/>
          <w:color w:val="auto"/>
          <w:sz w:val="22"/>
          <w:szCs w:val="22"/>
          <w:highlight w:val="none"/>
        </w:rPr>
        <w:t>。</w:t>
      </w:r>
      <w:bookmarkEnd w:id="223"/>
      <w:bookmarkEnd w:id="224"/>
      <w:bookmarkEnd w:id="225"/>
      <w:bookmarkEnd w:id="226"/>
      <w:bookmarkEnd w:id="227"/>
      <w:bookmarkEnd w:id="228"/>
      <w:bookmarkEnd w:id="229"/>
    </w:p>
    <w:bookmarkEnd w:id="230"/>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因承包人原因造成工期延误，逾</w:t>
      </w:r>
      <w:bookmarkStart w:id="231" w:name="_Toc312678014"/>
      <w:bookmarkStart w:id="232" w:name="_Toc318581171"/>
      <w:r>
        <w:rPr>
          <w:rFonts w:hint="eastAsia" w:ascii="宋体" w:hAnsi="宋体" w:eastAsia="宋体" w:cs="宋体"/>
          <w:color w:val="auto"/>
          <w:sz w:val="22"/>
          <w:szCs w:val="22"/>
          <w:highlight w:val="none"/>
        </w:rPr>
        <w:t>期竣工违约金的上限：</w:t>
      </w:r>
      <w:r>
        <w:rPr>
          <w:rFonts w:hint="eastAsia" w:ascii="宋体" w:hAnsi="宋体" w:eastAsia="宋体" w:cs="宋体"/>
          <w:color w:val="auto"/>
          <w:sz w:val="22"/>
          <w:szCs w:val="22"/>
          <w:highlight w:val="none"/>
          <w:u w:val="single"/>
        </w:rPr>
        <w:t xml:space="preserve">   合同价款的2％     </w:t>
      </w:r>
      <w:r>
        <w:rPr>
          <w:rFonts w:hint="eastAsia" w:ascii="宋体" w:hAnsi="宋体" w:eastAsia="宋体" w:cs="宋体"/>
          <w:color w:val="auto"/>
          <w:sz w:val="22"/>
          <w:szCs w:val="22"/>
          <w:highlight w:val="none"/>
        </w:rPr>
        <w:t>。</w:t>
      </w:r>
    </w:p>
    <w:bookmarkEnd w:id="231"/>
    <w:bookmarkEnd w:id="232"/>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bookmarkStart w:id="233" w:name="_Toc312678015"/>
      <w:bookmarkStart w:id="234" w:name="_Toc303539128"/>
      <w:bookmarkStart w:id="235" w:name="_Toc300934971"/>
      <w:bookmarkStart w:id="236" w:name="_Toc304295549"/>
      <w:bookmarkStart w:id="237" w:name="_Toc297216178"/>
      <w:bookmarkStart w:id="238" w:name="_Toc297123519"/>
      <w:r>
        <w:rPr>
          <w:rFonts w:hint="eastAsia" w:ascii="宋体" w:hAnsi="宋体" w:eastAsia="宋体" w:cs="宋体"/>
          <w:color w:val="auto"/>
          <w:sz w:val="22"/>
          <w:szCs w:val="22"/>
          <w:highlight w:val="none"/>
        </w:rPr>
        <w:t>.6 不</w:t>
      </w:r>
      <w:bookmarkEnd w:id="233"/>
      <w:bookmarkEnd w:id="234"/>
      <w:bookmarkEnd w:id="235"/>
      <w:bookmarkEnd w:id="236"/>
      <w:bookmarkEnd w:id="237"/>
      <w:bookmarkEnd w:id="238"/>
      <w:r>
        <w:rPr>
          <w:rFonts w:hint="eastAsia" w:ascii="宋体" w:hAnsi="宋体" w:eastAsia="宋体" w:cs="宋体"/>
          <w:color w:val="auto"/>
          <w:sz w:val="22"/>
          <w:szCs w:val="22"/>
          <w:highlight w:val="none"/>
        </w:rPr>
        <w:t>利物质条件</w:t>
      </w:r>
    </w:p>
    <w:p>
      <w:pPr>
        <w:spacing w:beforeLines="0" w:afterLines="0" w:line="460" w:lineRule="exact"/>
        <w:ind w:firstLine="440" w:firstLineChars="200"/>
        <w:rPr>
          <w:rFonts w:hint="eastAsia" w:ascii="宋体" w:hAnsi="宋体" w:eastAsia="宋体" w:cs="宋体"/>
          <w:color w:val="auto"/>
          <w:sz w:val="22"/>
          <w:szCs w:val="22"/>
          <w:highlight w:val="none"/>
        </w:rPr>
      </w:pPr>
      <w:bookmarkStart w:id="239" w:name="_Toc312678016"/>
      <w:bookmarkStart w:id="240" w:name="_Toc318581172"/>
      <w:bookmarkStart w:id="241" w:name="_Toc297216179"/>
      <w:bookmarkStart w:id="242" w:name="_Toc304295550"/>
      <w:bookmarkStart w:id="243" w:name="_Toc303539129"/>
      <w:bookmarkStart w:id="244" w:name="_Toc300934972"/>
      <w:bookmarkStart w:id="245" w:name="_Toc297123520"/>
      <w:r>
        <w:rPr>
          <w:rFonts w:hint="eastAsia" w:ascii="宋体" w:hAnsi="宋体" w:eastAsia="宋体" w:cs="宋体"/>
          <w:color w:val="auto"/>
          <w:sz w:val="22"/>
          <w:szCs w:val="22"/>
          <w:highlight w:val="none"/>
        </w:rPr>
        <w:t>不利物质条件的其他情形和有关约定：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bookmarkEnd w:id="239"/>
    <w:bookmarkEnd w:id="240"/>
    <w:bookmarkEnd w:id="241"/>
    <w:bookmarkEnd w:id="242"/>
    <w:bookmarkEnd w:id="243"/>
    <w:bookmarkEnd w:id="244"/>
    <w:bookmarkEnd w:id="245"/>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bookmarkStart w:id="246" w:name="_Toc297123521"/>
      <w:bookmarkStart w:id="247" w:name="_Toc303539130"/>
      <w:bookmarkStart w:id="248" w:name="_Toc304295551"/>
      <w:bookmarkStart w:id="249" w:name="_Toc312678017"/>
      <w:bookmarkStart w:id="250" w:name="_Toc300934973"/>
      <w:bookmarkStart w:id="251" w:name="_Toc297216180"/>
      <w:r>
        <w:rPr>
          <w:rFonts w:hint="eastAsia" w:ascii="宋体" w:hAnsi="宋体" w:eastAsia="宋体" w:cs="宋体"/>
          <w:color w:val="auto"/>
          <w:sz w:val="22"/>
          <w:szCs w:val="22"/>
          <w:highlight w:val="none"/>
        </w:rPr>
        <w:t>.7异常恶劣的气候条件</w:t>
      </w:r>
    </w:p>
    <w:bookmarkEnd w:id="246"/>
    <w:bookmarkEnd w:id="247"/>
    <w:bookmarkEnd w:id="248"/>
    <w:bookmarkEnd w:id="249"/>
    <w:bookmarkEnd w:id="250"/>
    <w:bookmarkEnd w:id="251"/>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发包人和承包人同意以下情形视为异常恶劣的气候条件：</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地震、暴风雪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7.9 提前竣工的奖励</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7.9.2提前竣工的奖励：</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252" w:name="_Toc351203640"/>
      <w:r>
        <w:rPr>
          <w:rFonts w:hint="eastAsia" w:ascii="宋体" w:hAnsi="宋体" w:eastAsia="宋体" w:cs="宋体"/>
          <w:b w:val="0"/>
          <w:color w:val="auto"/>
          <w:sz w:val="22"/>
          <w:szCs w:val="22"/>
          <w:highlight w:val="none"/>
        </w:rPr>
        <w:t>8. 材料与设备</w:t>
      </w:r>
      <w:bookmarkEnd w:id="252"/>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bookmarkStart w:id="253" w:name="_Toc297216186"/>
      <w:bookmarkStart w:id="254" w:name="_Toc297123527"/>
      <w:bookmarkStart w:id="255" w:name="_Toc296503167"/>
      <w:bookmarkStart w:id="256" w:name="_Toc303539136"/>
      <w:bookmarkStart w:id="257" w:name="_Toc300934979"/>
      <w:bookmarkStart w:id="258" w:name="_Toc312677493"/>
      <w:bookmarkStart w:id="259" w:name="_Toc297048353"/>
      <w:bookmarkStart w:id="260" w:name="_Toc296347166"/>
      <w:bookmarkStart w:id="261" w:name="_Toc280868654"/>
      <w:bookmarkStart w:id="262" w:name="_Toc312678019"/>
      <w:bookmarkStart w:id="263" w:name="_Toc296944506"/>
      <w:bookmarkStart w:id="264" w:name="_Toc296891207"/>
      <w:bookmarkStart w:id="265" w:name="_Toc296346668"/>
      <w:bookmarkStart w:id="266" w:name="_Toc292559877"/>
      <w:bookmarkStart w:id="267" w:name="_Toc297120467"/>
      <w:bookmarkStart w:id="268" w:name="_Toc304295556"/>
      <w:bookmarkStart w:id="269" w:name="_Toc296890995"/>
      <w:bookmarkStart w:id="270" w:name="_Toc292559372"/>
      <w:bookmarkStart w:id="271" w:name="_Toc280868656"/>
      <w:bookmarkStart w:id="272" w:name="_Toc267251424"/>
      <w:bookmarkStart w:id="273" w:name="_Toc280868655"/>
      <w:r>
        <w:rPr>
          <w:rFonts w:hint="eastAsia" w:ascii="宋体" w:hAnsi="宋体" w:eastAsia="宋体" w:cs="宋体"/>
          <w:color w:val="auto"/>
          <w:sz w:val="22"/>
          <w:szCs w:val="22"/>
          <w:highlight w:val="none"/>
        </w:rPr>
        <w:t>.4材料与工程设备的保管与使用</w:t>
      </w:r>
    </w:p>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bookmarkStart w:id="274" w:name="_Toc292559373"/>
      <w:bookmarkStart w:id="275" w:name="_Toc292559878"/>
      <w:bookmarkStart w:id="276" w:name="_Toc296944507"/>
      <w:bookmarkStart w:id="277" w:name="_Toc312677494"/>
      <w:bookmarkStart w:id="278" w:name="_Toc296503168"/>
      <w:bookmarkStart w:id="279" w:name="_Toc296346669"/>
      <w:bookmarkStart w:id="280" w:name="_Toc296891208"/>
      <w:bookmarkStart w:id="281" w:name="_Toc297120468"/>
      <w:bookmarkStart w:id="282" w:name="_Toc312678020"/>
      <w:bookmarkStart w:id="283" w:name="_Toc304295557"/>
      <w:bookmarkStart w:id="284" w:name="_Toc296890996"/>
      <w:bookmarkStart w:id="285" w:name="_Toc300934980"/>
      <w:bookmarkStart w:id="286" w:name="_Toc297123528"/>
      <w:bookmarkStart w:id="287" w:name="_Toc297216187"/>
      <w:bookmarkStart w:id="288" w:name="_Toc318581173"/>
      <w:bookmarkStart w:id="289" w:name="_Toc296347167"/>
      <w:bookmarkStart w:id="290" w:name="_Toc303539137"/>
      <w:bookmarkStart w:id="291" w:name="_Toc297048354"/>
      <w:r>
        <w:rPr>
          <w:rFonts w:hint="eastAsia" w:ascii="宋体" w:hAnsi="宋体" w:eastAsia="宋体" w:cs="宋体"/>
          <w:color w:val="auto"/>
          <w:sz w:val="22"/>
          <w:szCs w:val="22"/>
          <w:highlight w:val="none"/>
        </w:rPr>
        <w:t>.4.1发包人供应的材料设备的保管费用的承担：</w:t>
      </w:r>
      <w:r>
        <w:rPr>
          <w:rFonts w:hint="eastAsia" w:ascii="宋体" w:hAnsi="宋体" w:eastAsia="宋体" w:cs="宋体"/>
          <w:color w:val="auto"/>
          <w:sz w:val="22"/>
          <w:szCs w:val="22"/>
          <w:highlight w:val="none"/>
          <w:u w:val="single"/>
        </w:rPr>
        <w:t xml:space="preserve">   由承包人承担    </w:t>
      </w:r>
      <w:r>
        <w:rPr>
          <w:rFonts w:hint="eastAsia" w:ascii="宋体" w:hAnsi="宋体" w:eastAsia="宋体" w:cs="宋体"/>
          <w:color w:val="auto"/>
          <w:sz w:val="22"/>
          <w:szCs w:val="22"/>
          <w:highlight w:val="none"/>
        </w:rPr>
        <w:t>。</w:t>
      </w:r>
      <w:bookmarkEnd w:id="274"/>
      <w:bookmarkEnd w:id="275"/>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8.6 样品</w:t>
      </w:r>
    </w:p>
    <w:p>
      <w:pPr>
        <w:adjustRightInd w:val="0"/>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8.6.1</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样品的报送与封存</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需要承包人报送样品的材料或工程设备，样品的种类、名称、规格、数量要求：</w:t>
      </w:r>
      <w:r>
        <w:rPr>
          <w:rFonts w:hint="eastAsia" w:ascii="宋体" w:hAnsi="宋体" w:eastAsia="宋体" w:cs="宋体"/>
          <w:color w:val="auto"/>
          <w:sz w:val="22"/>
          <w:szCs w:val="22"/>
          <w:highlight w:val="none"/>
          <w:u w:val="single"/>
        </w:rPr>
        <w:t xml:space="preserve"> 执行通用条款，按发包人需求确定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8.8 施工设备和临时设施</w:t>
      </w:r>
    </w:p>
    <w:p>
      <w:pPr>
        <w:adjustRightInd w:val="0"/>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8.8.1 承包人提供的施工设备和临时设施</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关于修建临时设施费用承担的约定：</w:t>
      </w:r>
      <w:r>
        <w:rPr>
          <w:rFonts w:hint="eastAsia" w:ascii="宋体" w:hAnsi="宋体" w:eastAsia="宋体" w:cs="宋体"/>
          <w:color w:val="auto"/>
          <w:sz w:val="22"/>
          <w:szCs w:val="22"/>
          <w:highlight w:val="none"/>
          <w:u w:val="single"/>
        </w:rPr>
        <w:t xml:space="preserve">   由承包人承担             </w:t>
      </w:r>
      <w:r>
        <w:rPr>
          <w:rFonts w:hint="eastAsia" w:ascii="宋体" w:hAnsi="宋体" w:eastAsia="宋体" w:cs="宋体"/>
          <w:color w:val="auto"/>
          <w:sz w:val="22"/>
          <w:szCs w:val="22"/>
          <w:highlight w:val="none"/>
        </w:rPr>
        <w:t>。</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292" w:name="_Toc351203641"/>
      <w:r>
        <w:rPr>
          <w:rFonts w:hint="eastAsia" w:ascii="宋体" w:hAnsi="宋体" w:eastAsia="宋体" w:cs="宋体"/>
          <w:b w:val="0"/>
          <w:color w:val="auto"/>
          <w:sz w:val="22"/>
          <w:szCs w:val="22"/>
          <w:highlight w:val="none"/>
        </w:rPr>
        <w:t>9</w:t>
      </w:r>
      <w:bookmarkEnd w:id="271"/>
      <w:bookmarkEnd w:id="272"/>
      <w:bookmarkEnd w:id="273"/>
      <w:bookmarkStart w:id="293" w:name="_Toc297123533"/>
      <w:bookmarkStart w:id="294" w:name="_Toc312678021"/>
      <w:bookmarkStart w:id="295" w:name="_Toc304295559"/>
      <w:bookmarkStart w:id="296" w:name="_Toc303539139"/>
      <w:bookmarkStart w:id="297" w:name="_Toc297216192"/>
      <w:bookmarkStart w:id="298" w:name="_Toc300934982"/>
      <w:bookmarkStart w:id="299" w:name="_Toc312677495"/>
      <w:bookmarkStart w:id="300" w:name="_Toc296346674"/>
      <w:bookmarkStart w:id="301" w:name="_Toc296503173"/>
      <w:bookmarkStart w:id="302" w:name="_Toc267251427"/>
      <w:bookmarkStart w:id="303" w:name="_Toc267251428"/>
      <w:bookmarkStart w:id="304" w:name="_Toc296891001"/>
      <w:bookmarkStart w:id="305" w:name="_Toc292559883"/>
      <w:bookmarkStart w:id="306" w:name="_Toc296944512"/>
      <w:bookmarkStart w:id="307" w:name="_Toc297048359"/>
      <w:bookmarkStart w:id="308" w:name="_Toc296891213"/>
      <w:bookmarkStart w:id="309" w:name="_Toc297120473"/>
      <w:bookmarkStart w:id="310" w:name="_Toc292559378"/>
      <w:bookmarkStart w:id="311" w:name="_Toc296347172"/>
      <w:r>
        <w:rPr>
          <w:rFonts w:hint="eastAsia" w:ascii="宋体" w:hAnsi="宋体" w:eastAsia="宋体" w:cs="宋体"/>
          <w:b w:val="0"/>
          <w:color w:val="auto"/>
          <w:sz w:val="22"/>
          <w:szCs w:val="22"/>
          <w:highlight w:val="none"/>
        </w:rPr>
        <w:t>. 试验与检验</w:t>
      </w:r>
      <w:bookmarkEnd w:id="292"/>
    </w:p>
    <w:bookmarkEnd w:id="293"/>
    <w:bookmarkEnd w:id="294"/>
    <w:bookmarkEnd w:id="295"/>
    <w:bookmarkEnd w:id="296"/>
    <w:bookmarkEnd w:id="297"/>
    <w:bookmarkEnd w:id="298"/>
    <w:bookmarkEnd w:id="299"/>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bookmarkStart w:id="312" w:name="_Toc304295560"/>
      <w:bookmarkStart w:id="313" w:name="_Toc312678022"/>
      <w:bookmarkStart w:id="314" w:name="_Toc297216193"/>
      <w:bookmarkStart w:id="315" w:name="_Toc300934983"/>
      <w:bookmarkStart w:id="316" w:name="_Toc303539140"/>
      <w:bookmarkStart w:id="317" w:name="_Toc297123534"/>
      <w:bookmarkStart w:id="318" w:name="_Toc312677496"/>
      <w:r>
        <w:rPr>
          <w:rFonts w:hint="eastAsia" w:ascii="宋体" w:hAnsi="宋体" w:eastAsia="宋体" w:cs="宋体"/>
          <w:color w:val="auto"/>
          <w:sz w:val="22"/>
          <w:szCs w:val="22"/>
          <w:highlight w:val="none"/>
        </w:rPr>
        <w:t>.1试验设备与试验人员</w:t>
      </w:r>
    </w:p>
    <w:bookmarkEnd w:id="312"/>
    <w:bookmarkEnd w:id="313"/>
    <w:bookmarkEnd w:id="314"/>
    <w:bookmarkEnd w:id="315"/>
    <w:bookmarkEnd w:id="316"/>
    <w:bookmarkEnd w:id="317"/>
    <w:bookmarkEnd w:id="318"/>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bookmarkStart w:id="319" w:name="_Toc300934984"/>
      <w:bookmarkStart w:id="320" w:name="_Toc312678023"/>
      <w:bookmarkStart w:id="321" w:name="_Toc312677497"/>
      <w:bookmarkStart w:id="322" w:name="_Toc303539141"/>
      <w:bookmarkStart w:id="323" w:name="_Toc304295561"/>
      <w:bookmarkStart w:id="324" w:name="_Toc297123535"/>
      <w:bookmarkStart w:id="325" w:name="_Toc297216194"/>
      <w:bookmarkStart w:id="326" w:name="_Toc318581174"/>
      <w:r>
        <w:rPr>
          <w:rFonts w:hint="eastAsia" w:ascii="宋体" w:hAnsi="宋体" w:eastAsia="宋体" w:cs="宋体"/>
          <w:color w:val="auto"/>
          <w:sz w:val="22"/>
          <w:szCs w:val="22"/>
          <w:highlight w:val="none"/>
        </w:rPr>
        <w:t>.1.2 试验设备</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施工现场需要配置的试验场所：</w:t>
      </w:r>
      <w:bookmarkEnd w:id="319"/>
      <w:bookmarkEnd w:id="320"/>
      <w:bookmarkEnd w:id="321"/>
      <w:bookmarkEnd w:id="322"/>
      <w:bookmarkEnd w:id="323"/>
      <w:bookmarkEnd w:id="324"/>
      <w:bookmarkEnd w:id="325"/>
      <w:bookmarkStart w:id="327" w:name="_Toc303539142"/>
      <w:bookmarkStart w:id="328" w:name="_Toc297123536"/>
      <w:bookmarkStart w:id="329" w:name="_Toc300934985"/>
      <w:bookmarkStart w:id="330" w:name="_Toc312678024"/>
      <w:bookmarkStart w:id="331" w:name="_Toc297216195"/>
      <w:bookmarkStart w:id="332" w:name="_Toc304295562"/>
      <w:bookmarkStart w:id="333" w:name="_Toc312677498"/>
      <w:r>
        <w:rPr>
          <w:rFonts w:hint="eastAsia" w:ascii="宋体" w:hAnsi="宋体" w:eastAsia="宋体" w:cs="宋体"/>
          <w:color w:val="auto"/>
          <w:sz w:val="22"/>
          <w:szCs w:val="22"/>
          <w:highlight w:val="none"/>
          <w:u w:val="single"/>
        </w:rPr>
        <w:t xml:space="preserve">    按有关规定执行      </w:t>
      </w:r>
      <w:r>
        <w:rPr>
          <w:rFonts w:hint="eastAsia" w:ascii="宋体" w:hAnsi="宋体" w:eastAsia="宋体" w:cs="宋体"/>
          <w:color w:val="auto"/>
          <w:sz w:val="22"/>
          <w:szCs w:val="22"/>
          <w:highlight w:val="none"/>
        </w:rPr>
        <w:t xml:space="preserve">。 </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施工现场需要配备的试验设备：</w:t>
      </w:r>
      <w:r>
        <w:rPr>
          <w:rFonts w:hint="eastAsia" w:ascii="宋体" w:hAnsi="宋体" w:eastAsia="宋体" w:cs="宋体"/>
          <w:color w:val="auto"/>
          <w:sz w:val="22"/>
          <w:szCs w:val="22"/>
          <w:highlight w:val="none"/>
          <w:u w:val="single"/>
        </w:rPr>
        <w:t xml:space="preserve">    按有关规定执行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施工现场需要具备的其他试验条件：</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9.4 现场工艺试验 </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现场工艺试验的有关约定：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bookmarkEnd w:id="326"/>
    <w:bookmarkEnd w:id="327"/>
    <w:bookmarkEnd w:id="328"/>
    <w:bookmarkEnd w:id="329"/>
    <w:bookmarkEnd w:id="330"/>
    <w:bookmarkEnd w:id="331"/>
    <w:bookmarkEnd w:id="332"/>
    <w:bookmarkEnd w:id="333"/>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334" w:name="_Toc351203642"/>
      <w:r>
        <w:rPr>
          <w:rFonts w:hint="eastAsia" w:ascii="宋体" w:hAnsi="宋体" w:eastAsia="宋体" w:cs="宋体"/>
          <w:b w:val="0"/>
          <w:color w:val="auto"/>
          <w:sz w:val="22"/>
          <w:szCs w:val="22"/>
          <w:highlight w:val="none"/>
        </w:rPr>
        <w:t>1</w:t>
      </w:r>
      <w:bookmarkEnd w:id="300"/>
      <w:bookmarkEnd w:id="301"/>
      <w:bookmarkEnd w:id="302"/>
      <w:bookmarkEnd w:id="303"/>
      <w:bookmarkEnd w:id="304"/>
      <w:bookmarkEnd w:id="305"/>
      <w:bookmarkEnd w:id="306"/>
      <w:bookmarkEnd w:id="307"/>
      <w:bookmarkEnd w:id="308"/>
      <w:bookmarkEnd w:id="309"/>
      <w:bookmarkEnd w:id="310"/>
      <w:bookmarkEnd w:id="311"/>
      <w:bookmarkStart w:id="335" w:name="_Toc297216199"/>
      <w:bookmarkStart w:id="336" w:name="_Toc296346694"/>
      <w:bookmarkStart w:id="337" w:name="_Toc296503193"/>
      <w:bookmarkStart w:id="338" w:name="_Toc303539146"/>
      <w:bookmarkStart w:id="339" w:name="_Toc297123540"/>
      <w:bookmarkStart w:id="340" w:name="_Toc296891233"/>
      <w:bookmarkStart w:id="341" w:name="_Toc292559903"/>
      <w:bookmarkStart w:id="342" w:name="_Toc296347192"/>
      <w:bookmarkStart w:id="343" w:name="_Toc292559398"/>
      <w:bookmarkStart w:id="344" w:name="_Toc304295566"/>
      <w:bookmarkStart w:id="345" w:name="_Toc296944532"/>
      <w:bookmarkStart w:id="346" w:name="_Toc300934989"/>
      <w:bookmarkStart w:id="347" w:name="_Toc296891021"/>
      <w:bookmarkStart w:id="348" w:name="_Toc297048379"/>
      <w:bookmarkStart w:id="349" w:name="_Toc297120493"/>
      <w:bookmarkStart w:id="350" w:name="_Toc312678025"/>
      <w:bookmarkStart w:id="351" w:name="_Toc312677499"/>
      <w:bookmarkStart w:id="352" w:name="_Toc267251437"/>
      <w:bookmarkStart w:id="353" w:name="_Toc267251439"/>
      <w:bookmarkStart w:id="354" w:name="_Toc267251440"/>
      <w:bookmarkStart w:id="355" w:name="_Toc267251433"/>
      <w:bookmarkStart w:id="356" w:name="_Toc267251441"/>
      <w:bookmarkStart w:id="357" w:name="_Toc267251435"/>
      <w:bookmarkStart w:id="358" w:name="_Toc267251442"/>
      <w:r>
        <w:rPr>
          <w:rFonts w:hint="eastAsia" w:ascii="宋体" w:hAnsi="宋体" w:eastAsia="宋体" w:cs="宋体"/>
          <w:b w:val="0"/>
          <w:color w:val="auto"/>
          <w:sz w:val="22"/>
          <w:szCs w:val="22"/>
          <w:highlight w:val="none"/>
        </w:rPr>
        <w:t>0. 变更</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bookmarkEnd w:id="350"/>
    <w:bookmarkEnd w:id="351"/>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Start w:id="359" w:name="_Toc304295567"/>
      <w:bookmarkStart w:id="360" w:name="_Toc296503194"/>
      <w:bookmarkStart w:id="361" w:name="_Toc303539147"/>
      <w:bookmarkStart w:id="362" w:name="_Toc312678026"/>
      <w:bookmarkStart w:id="363" w:name="_Toc297216200"/>
      <w:bookmarkStart w:id="364" w:name="_Toc312677500"/>
      <w:bookmarkStart w:id="365" w:name="_Toc296891022"/>
      <w:bookmarkStart w:id="366" w:name="_Toc297120494"/>
      <w:bookmarkStart w:id="367" w:name="_Toc292559904"/>
      <w:bookmarkStart w:id="368" w:name="_Toc297048380"/>
      <w:bookmarkStart w:id="369" w:name="_Toc296944533"/>
      <w:bookmarkStart w:id="370" w:name="_Toc297123541"/>
      <w:bookmarkStart w:id="371" w:name="_Toc296347193"/>
      <w:bookmarkStart w:id="372" w:name="_Toc300934990"/>
      <w:bookmarkStart w:id="373" w:name="_Toc292559399"/>
      <w:bookmarkStart w:id="374" w:name="_Toc296891234"/>
      <w:bookmarkStart w:id="375" w:name="_Toc296346695"/>
      <w:r>
        <w:rPr>
          <w:rFonts w:hint="eastAsia" w:ascii="宋体" w:hAnsi="宋体" w:eastAsia="宋体" w:cs="宋体"/>
          <w:color w:val="auto"/>
          <w:sz w:val="22"/>
          <w:szCs w:val="22"/>
          <w:highlight w:val="none"/>
        </w:rPr>
        <w:t>0.1变更的范围</w:t>
      </w:r>
    </w:p>
    <w:p>
      <w:pPr>
        <w:spacing w:beforeLines="0" w:afterLines="0" w:line="460" w:lineRule="exact"/>
        <w:ind w:firstLine="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关于变更的范围的约定：</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 变更估价</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10.4.1 变更估价原则</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关于变更估价的约定: </w:t>
      </w:r>
      <w:r>
        <w:rPr>
          <w:rFonts w:hint="eastAsia" w:ascii="宋体" w:hAnsi="宋体" w:eastAsia="宋体" w:cs="宋体"/>
          <w:color w:val="auto"/>
          <w:sz w:val="22"/>
          <w:szCs w:val="22"/>
          <w:highlight w:val="none"/>
          <w:u w:val="single"/>
        </w:rPr>
        <w:t xml:space="preserve">       执行通用条款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6" w:name="_Toc296944536"/>
      <w:bookmarkStart w:id="377" w:name="_Toc297123544"/>
      <w:bookmarkStart w:id="378" w:name="_Toc292559402"/>
      <w:bookmarkStart w:id="379" w:name="_Toc297120497"/>
      <w:bookmarkStart w:id="380" w:name="_Toc297048383"/>
      <w:bookmarkStart w:id="381" w:name="_Toc296346698"/>
      <w:bookmarkStart w:id="382" w:name="_Toc296891237"/>
      <w:bookmarkStart w:id="383" w:name="_Toc297216203"/>
      <w:bookmarkStart w:id="384" w:name="_Toc292559907"/>
      <w:bookmarkStart w:id="385" w:name="_Toc296347196"/>
      <w:bookmarkStart w:id="386" w:name="_Toc296891025"/>
      <w:bookmarkStart w:id="387" w:name="_Toc303539150"/>
      <w:bookmarkStart w:id="388" w:name="_Toc300934993"/>
      <w:bookmarkStart w:id="389" w:name="_Toc296503197"/>
      <w:bookmarkStart w:id="390" w:name="_Toc312677503"/>
      <w:bookmarkStart w:id="391" w:name="_Toc304295570"/>
      <w:bookmarkStart w:id="392" w:name="_Toc312678029"/>
      <w:r>
        <w:rPr>
          <w:rFonts w:hint="eastAsia" w:ascii="宋体" w:hAnsi="宋体" w:eastAsia="宋体" w:cs="宋体"/>
          <w:color w:val="auto"/>
          <w:sz w:val="22"/>
          <w:szCs w:val="22"/>
          <w:highlight w:val="none"/>
        </w:rPr>
        <w:t>0.5承</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3" w:name="_Toc296347202"/>
      <w:bookmarkStart w:id="394" w:name="_Toc297048389"/>
      <w:bookmarkStart w:id="395" w:name="_Toc292559408"/>
      <w:bookmarkStart w:id="396" w:name="_Toc296944542"/>
      <w:bookmarkStart w:id="397" w:name="_Toc296891243"/>
      <w:bookmarkStart w:id="398" w:name="_Toc300934994"/>
      <w:bookmarkStart w:id="399" w:name="_Toc296891031"/>
      <w:bookmarkStart w:id="400" w:name="_Toc297120503"/>
      <w:bookmarkStart w:id="401" w:name="_Toc292559913"/>
      <w:bookmarkStart w:id="402" w:name="_Toc296346704"/>
      <w:bookmarkStart w:id="403" w:name="_Toc303539151"/>
      <w:bookmarkStart w:id="404" w:name="_Toc297216204"/>
      <w:bookmarkStart w:id="405" w:name="_Toc296503203"/>
      <w:bookmarkStart w:id="406" w:name="_Toc297123545"/>
      <w:r>
        <w:rPr>
          <w:rFonts w:hint="eastAsia" w:ascii="宋体" w:hAnsi="宋体" w:eastAsia="宋体" w:cs="宋体"/>
          <w:color w:val="auto"/>
          <w:sz w:val="22"/>
          <w:szCs w:val="22"/>
          <w:highlight w:val="none"/>
        </w:rPr>
        <w:t>包人的合理化建议</w:t>
      </w:r>
    </w:p>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监理人审查承包人合理化建议的期限：</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发包人审批承包人合理化建议的期限：</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w:t>
      </w:r>
      <w:bookmarkStart w:id="407" w:name="_Toc296891244"/>
      <w:bookmarkStart w:id="408" w:name="_Toc292559914"/>
      <w:bookmarkStart w:id="409" w:name="_Toc304295571"/>
      <w:bookmarkStart w:id="410" w:name="_Toc296891032"/>
      <w:bookmarkStart w:id="411" w:name="_Toc312678030"/>
      <w:bookmarkStart w:id="412" w:name="_Toc297123546"/>
      <w:bookmarkStart w:id="413" w:name="_Toc296347203"/>
      <w:bookmarkStart w:id="414" w:name="_Toc296503204"/>
      <w:bookmarkStart w:id="415" w:name="_Toc296346705"/>
      <w:bookmarkStart w:id="416" w:name="_Toc297120504"/>
      <w:bookmarkStart w:id="417" w:name="_Toc297048390"/>
      <w:bookmarkStart w:id="418" w:name="_Toc297216205"/>
      <w:bookmarkStart w:id="419" w:name="_Toc312677504"/>
      <w:bookmarkStart w:id="420" w:name="_Toc318581175"/>
      <w:bookmarkStart w:id="421" w:name="_Toc303539152"/>
      <w:bookmarkStart w:id="422" w:name="_Toc292559409"/>
      <w:bookmarkStart w:id="423" w:name="_Toc296944543"/>
      <w:bookmarkStart w:id="424" w:name="_Toc300934995"/>
      <w:r>
        <w:rPr>
          <w:rFonts w:hint="eastAsia" w:ascii="宋体" w:hAnsi="宋体" w:eastAsia="宋体" w:cs="宋体"/>
          <w:color w:val="auto"/>
          <w:sz w:val="22"/>
          <w:szCs w:val="22"/>
          <w:highlight w:val="none"/>
        </w:rPr>
        <w:t>包人提出的合理化建议降低了合同价格或者提高了工程经济效益的奖励的方法和金额为：</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w:t>
      </w:r>
    </w:p>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Start w:id="425" w:name="_Toc297123548"/>
      <w:bookmarkStart w:id="426" w:name="_Toc296891027"/>
      <w:bookmarkStart w:id="427" w:name="_Toc296944538"/>
      <w:bookmarkStart w:id="428" w:name="_Toc297216207"/>
      <w:bookmarkStart w:id="429" w:name="_Toc300934997"/>
      <w:bookmarkStart w:id="430" w:name="_Toc296891239"/>
      <w:bookmarkStart w:id="431" w:name="_Toc312678033"/>
      <w:bookmarkStart w:id="432" w:name="_Toc296503199"/>
      <w:bookmarkStart w:id="433" w:name="_Toc292559404"/>
      <w:bookmarkStart w:id="434" w:name="_Toc296346700"/>
      <w:bookmarkStart w:id="435" w:name="_Toc303539154"/>
      <w:bookmarkStart w:id="436" w:name="_Toc297048385"/>
      <w:bookmarkStart w:id="437" w:name="_Toc297120499"/>
      <w:bookmarkStart w:id="438" w:name="_Toc296347198"/>
      <w:bookmarkStart w:id="439" w:name="_Toc312677507"/>
      <w:bookmarkStart w:id="440" w:name="_Toc292559909"/>
      <w:bookmarkStart w:id="441" w:name="_Toc304295574"/>
      <w:r>
        <w:rPr>
          <w:rFonts w:hint="eastAsia" w:ascii="宋体" w:hAnsi="宋体" w:eastAsia="宋体" w:cs="宋体"/>
          <w:color w:val="auto"/>
          <w:sz w:val="22"/>
          <w:szCs w:val="22"/>
          <w:highlight w:val="none"/>
        </w:rPr>
        <w:t>0.7 暂估价</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暂</w:t>
      </w:r>
      <w:bookmarkStart w:id="442" w:name="_Toc318581176"/>
      <w:bookmarkStart w:id="443" w:name="_Toc312678034"/>
      <w:bookmarkStart w:id="444" w:name="_Toc312677508"/>
      <w:r>
        <w:rPr>
          <w:rFonts w:hint="eastAsia" w:ascii="宋体" w:hAnsi="宋体" w:eastAsia="宋体" w:cs="宋体"/>
          <w:color w:val="auto"/>
          <w:sz w:val="22"/>
          <w:szCs w:val="22"/>
          <w:highlight w:val="none"/>
        </w:rPr>
        <w:t>估价材料和工程设备的明细详见附件11：《暂估价一览表》。</w:t>
      </w:r>
    </w:p>
    <w:bookmarkEnd w:id="442"/>
    <w:bookmarkEnd w:id="443"/>
    <w:bookmarkEnd w:id="444"/>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Start w:id="445" w:name="_Toc318581177"/>
      <w:bookmarkStart w:id="446" w:name="_Toc312677509"/>
      <w:bookmarkStart w:id="447" w:name="_Toc312678035"/>
      <w:r>
        <w:rPr>
          <w:rFonts w:hint="eastAsia" w:ascii="宋体" w:hAnsi="宋体" w:eastAsia="宋体" w:cs="宋体"/>
          <w:color w:val="auto"/>
          <w:sz w:val="22"/>
          <w:szCs w:val="22"/>
          <w:highlight w:val="none"/>
        </w:rPr>
        <w:t>0.7.1 依法必须招标的暂估价项目</w:t>
      </w:r>
    </w:p>
    <w:bookmarkEnd w:id="445"/>
    <w:bookmarkEnd w:id="446"/>
    <w:bookmarkEnd w:id="447"/>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对于依法必须招标的暂估价项目的确认和批准采取第</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种方式确定。</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10.7.2 不属于依法必须招标的暂估价项目</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对于不属于依法必须招标的暂估价项目的确认和批准采取第</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种方式确定。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第3种方式：承包人直接实施的暂估价项目</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承包人直接实施的暂估价项目的约定：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10.8 暂列金额</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合同当事人关于暂列金额使用的约定：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448" w:name="_Toc351203643"/>
      <w:r>
        <w:rPr>
          <w:rFonts w:hint="eastAsia" w:ascii="宋体" w:hAnsi="宋体" w:eastAsia="宋体" w:cs="宋体"/>
          <w:b w:val="0"/>
          <w:color w:val="auto"/>
          <w:sz w:val="22"/>
          <w:szCs w:val="22"/>
          <w:highlight w:val="none"/>
        </w:rPr>
        <w:t>11. 价格调整</w:t>
      </w:r>
      <w:bookmarkEnd w:id="448"/>
    </w:p>
    <w:p>
      <w:pPr>
        <w:spacing w:beforeLines="0" w:after="120" w:afterLines="0" w:line="460" w:lineRule="exact"/>
        <w:rPr>
          <w:rFonts w:hint="eastAsia" w:ascii="宋体" w:hAnsi="宋体" w:eastAsia="宋体" w:cs="宋体"/>
          <w:color w:val="auto"/>
          <w:sz w:val="22"/>
          <w:szCs w:val="22"/>
          <w:highlight w:val="none"/>
        </w:rPr>
      </w:pPr>
      <w:bookmarkStart w:id="449" w:name="_Toc296346702"/>
      <w:bookmarkStart w:id="450" w:name="_Toc296891241"/>
      <w:bookmarkStart w:id="451" w:name="_Toc296891029"/>
      <w:bookmarkStart w:id="452" w:name="_Toc296944540"/>
      <w:bookmarkStart w:id="453" w:name="_Toc292559911"/>
      <w:bookmarkStart w:id="454" w:name="_Toc292559406"/>
      <w:bookmarkStart w:id="455" w:name="_Toc296347200"/>
      <w:bookmarkStart w:id="456" w:name="_Toc297048387"/>
      <w:bookmarkStart w:id="457" w:name="_Toc304295577"/>
      <w:bookmarkStart w:id="458" w:name="_Toc296503201"/>
      <w:bookmarkStart w:id="459" w:name="_Toc312678039"/>
      <w:bookmarkStart w:id="460" w:name="_Toc297123550"/>
      <w:bookmarkStart w:id="461" w:name="_Toc297120501"/>
      <w:bookmarkStart w:id="462" w:name="_Toc303539157"/>
      <w:bookmarkStart w:id="463" w:name="_Toc297216209"/>
      <w:bookmarkStart w:id="464" w:name="_Toc300935000"/>
      <w:r>
        <w:rPr>
          <w:rFonts w:hint="eastAsia" w:ascii="宋体" w:hAnsi="宋体" w:eastAsia="宋体" w:cs="宋体"/>
          <w:color w:val="auto"/>
          <w:sz w:val="22"/>
          <w:szCs w:val="22"/>
          <w:highlight w:val="none"/>
        </w:rPr>
        <w:t>11.1 市场价格波动引起的调整</w:t>
      </w:r>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市场价格波动是否调整合同价格的约定：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否</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因市场价格波动调整合同价格，采用以下第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种方式对合同价格进行调整：</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第1种方式：采用价格指数进行价格调整。</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关于各可调因子、定值和变值权重，以及基本价格指数及其来源的约定：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第2种方式：采用造价信息进行价格调整。</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（2）关于基准价格的约定：</w:t>
      </w:r>
      <w:r>
        <w:rPr>
          <w:rFonts w:hint="eastAsia" w:ascii="宋体" w:hAnsi="宋体" w:eastAsia="宋体" w:cs="宋体"/>
          <w:color w:val="auto"/>
          <w:sz w:val="22"/>
          <w:szCs w:val="22"/>
          <w:highlight w:val="none"/>
          <w:u w:val="single"/>
        </w:rPr>
        <w:t xml:space="preserve"> 根据编制说明中约定的价格信息文件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%时，或材料单价跌幅以已标价工程量清单或预算书中载明材料单价为基础超过</w:t>
      </w:r>
      <w:r>
        <w:rPr>
          <w:rFonts w:hint="eastAsia" w:ascii="宋体" w:hAnsi="宋体" w:eastAsia="宋体" w:cs="宋体"/>
          <w:b/>
          <w:color w:val="auto"/>
          <w:sz w:val="22"/>
          <w:szCs w:val="22"/>
          <w:highlight w:val="none"/>
          <w:u w:val="single"/>
        </w:rPr>
        <w:t>5</w:t>
      </w:r>
      <w:r>
        <w:rPr>
          <w:rFonts w:hint="eastAsia" w:ascii="宋体" w:hAnsi="宋体" w:eastAsia="宋体" w:cs="宋体"/>
          <w:color w:val="auto"/>
          <w:sz w:val="22"/>
          <w:szCs w:val="22"/>
          <w:highlight w:val="none"/>
        </w:rPr>
        <w:t>%时，其超过部分据实调整。</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%时，材料单价涨幅以已标价工程量清单或预算书中载明材料单价为基础超过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%时，其超过部分据实调整。</w:t>
      </w:r>
    </w:p>
    <w:p>
      <w:pPr>
        <w:spacing w:beforeLines="0" w:afterLines="0" w:line="460" w:lineRule="exact"/>
        <w:ind w:firstLine="6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%时，其超过部分据实调整。</w:t>
      </w:r>
    </w:p>
    <w:p>
      <w:pPr>
        <w:spacing w:beforeLines="0" w:afterLines="0" w:line="460" w:lineRule="exact"/>
        <w:ind w:firstLine="6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第3种方式：其他价格调整方式：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bookmarkEnd w:id="352"/>
    <w:bookmarkEnd w:id="353"/>
    <w:bookmarkEnd w:id="354"/>
    <w:bookmarkEnd w:id="355"/>
    <w:bookmarkEnd w:id="356"/>
    <w:bookmarkEnd w:id="357"/>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465" w:name="_Toc292559915"/>
      <w:bookmarkStart w:id="466" w:name="_Toc296347204"/>
      <w:bookmarkStart w:id="467" w:name="_Toc296891245"/>
      <w:bookmarkStart w:id="468" w:name="_Toc296944544"/>
      <w:bookmarkStart w:id="469" w:name="_Toc296346706"/>
      <w:bookmarkStart w:id="470" w:name="_Toc292559410"/>
      <w:bookmarkStart w:id="471" w:name="_Toc297120505"/>
      <w:bookmarkStart w:id="472" w:name="_Toc297048391"/>
      <w:bookmarkStart w:id="473" w:name="_Toc296891033"/>
      <w:bookmarkStart w:id="474" w:name="_Toc296503205"/>
      <w:bookmarkStart w:id="475" w:name="_Toc351203644"/>
      <w:bookmarkStart w:id="476" w:name="_Toc304295579"/>
      <w:bookmarkStart w:id="477" w:name="_Toc303539159"/>
      <w:bookmarkStart w:id="478" w:name="_Toc300935002"/>
      <w:bookmarkStart w:id="479" w:name="_Toc297216211"/>
      <w:bookmarkStart w:id="480" w:name="_Toc312678040"/>
      <w:bookmarkStart w:id="481" w:name="_Toc297123552"/>
      <w:r>
        <w:rPr>
          <w:rFonts w:hint="eastAsia" w:ascii="宋体" w:hAnsi="宋体" w:eastAsia="宋体" w:cs="宋体"/>
          <w:b w:val="0"/>
          <w:color w:val="auto"/>
          <w:sz w:val="22"/>
          <w:szCs w:val="22"/>
          <w:highlight w:val="none"/>
        </w:rPr>
        <w:t xml:space="preserve">12. </w:t>
      </w:r>
      <w:bookmarkEnd w:id="465"/>
      <w:bookmarkEnd w:id="466"/>
      <w:bookmarkEnd w:id="467"/>
      <w:bookmarkEnd w:id="468"/>
      <w:bookmarkEnd w:id="469"/>
      <w:bookmarkEnd w:id="470"/>
      <w:bookmarkEnd w:id="471"/>
      <w:bookmarkEnd w:id="472"/>
      <w:bookmarkEnd w:id="473"/>
      <w:bookmarkEnd w:id="474"/>
      <w:r>
        <w:rPr>
          <w:rFonts w:hint="eastAsia" w:ascii="宋体" w:hAnsi="宋体" w:eastAsia="宋体" w:cs="宋体"/>
          <w:b w:val="0"/>
          <w:color w:val="auto"/>
          <w:sz w:val="22"/>
          <w:szCs w:val="22"/>
          <w:highlight w:val="none"/>
        </w:rPr>
        <w:t>合同价格、计量与支付</w:t>
      </w:r>
      <w:bookmarkEnd w:id="475"/>
    </w:p>
    <w:bookmarkEnd w:id="476"/>
    <w:bookmarkEnd w:id="477"/>
    <w:bookmarkEnd w:id="478"/>
    <w:bookmarkEnd w:id="479"/>
    <w:bookmarkEnd w:id="480"/>
    <w:bookmarkEnd w:id="481"/>
    <w:p>
      <w:pPr>
        <w:spacing w:beforeLines="0" w:after="120" w:afterLines="0" w:line="460" w:lineRule="exact"/>
        <w:rPr>
          <w:rFonts w:hint="eastAsia" w:ascii="宋体" w:hAnsi="宋体" w:eastAsia="宋体" w:cs="宋体"/>
          <w:color w:val="auto"/>
          <w:sz w:val="22"/>
          <w:szCs w:val="22"/>
          <w:highlight w:val="none"/>
        </w:rPr>
      </w:pPr>
      <w:bookmarkStart w:id="482" w:name="_Toc292559411"/>
      <w:bookmarkStart w:id="483" w:name="_Toc267251461"/>
      <w:bookmarkStart w:id="484" w:name="_Toc292559916"/>
      <w:bookmarkStart w:id="485" w:name="_Toc297120506"/>
      <w:bookmarkStart w:id="486" w:name="_Toc296891034"/>
      <w:bookmarkStart w:id="487" w:name="_Toc296503206"/>
      <w:bookmarkStart w:id="488" w:name="_Toc297048392"/>
      <w:bookmarkStart w:id="489" w:name="_Toc296944545"/>
      <w:bookmarkStart w:id="490" w:name="_Toc296346707"/>
      <w:bookmarkStart w:id="491" w:name="_Toc296891246"/>
      <w:bookmarkStart w:id="492" w:name="_Toc296347205"/>
      <w:bookmarkStart w:id="493" w:name="_Toc303539160"/>
      <w:bookmarkStart w:id="494" w:name="_Toc297123553"/>
      <w:bookmarkStart w:id="495" w:name="_Toc304295580"/>
      <w:bookmarkStart w:id="496" w:name="_Toc312678041"/>
      <w:bookmarkStart w:id="497" w:name="_Toc300935003"/>
      <w:bookmarkStart w:id="498" w:name="_Toc297216212"/>
      <w:r>
        <w:rPr>
          <w:rFonts w:hint="eastAsia" w:ascii="宋体" w:hAnsi="宋体" w:eastAsia="宋体" w:cs="宋体"/>
          <w:color w:val="auto"/>
          <w:sz w:val="22"/>
          <w:szCs w:val="22"/>
          <w:highlight w:val="none"/>
        </w:rPr>
        <w:t>12.1 合</w:t>
      </w:r>
      <w:bookmarkEnd w:id="482"/>
      <w:bookmarkEnd w:id="483"/>
      <w:bookmarkEnd w:id="484"/>
      <w:r>
        <w:rPr>
          <w:rFonts w:hint="eastAsia" w:ascii="宋体" w:hAnsi="宋体" w:eastAsia="宋体" w:cs="宋体"/>
          <w:color w:val="auto"/>
          <w:sz w:val="22"/>
          <w:szCs w:val="22"/>
          <w:highlight w:val="none"/>
        </w:rPr>
        <w:t>同价</w:t>
      </w:r>
      <w:bookmarkEnd w:id="485"/>
      <w:bookmarkEnd w:id="486"/>
      <w:bookmarkEnd w:id="487"/>
      <w:bookmarkEnd w:id="488"/>
      <w:bookmarkEnd w:id="489"/>
      <w:bookmarkEnd w:id="490"/>
      <w:bookmarkEnd w:id="491"/>
      <w:bookmarkEnd w:id="492"/>
      <w:r>
        <w:rPr>
          <w:rFonts w:hint="eastAsia" w:ascii="宋体" w:hAnsi="宋体" w:eastAsia="宋体" w:cs="宋体"/>
          <w:color w:val="auto"/>
          <w:sz w:val="22"/>
          <w:szCs w:val="22"/>
          <w:highlight w:val="none"/>
        </w:rPr>
        <w:t>格形式</w:t>
      </w:r>
    </w:p>
    <w:bookmarkEnd w:id="493"/>
    <w:bookmarkEnd w:id="494"/>
    <w:bookmarkEnd w:id="495"/>
    <w:bookmarkEnd w:id="496"/>
    <w:bookmarkEnd w:id="497"/>
    <w:bookmarkEnd w:id="498"/>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1、单价合同。</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综合单价包含的风险范围：</w:t>
      </w:r>
      <w:r>
        <w:rPr>
          <w:rFonts w:hint="eastAsia" w:ascii="宋体" w:hAnsi="宋体" w:eastAsia="宋体" w:cs="宋体"/>
          <w:color w:val="auto"/>
          <w:sz w:val="22"/>
          <w:szCs w:val="22"/>
          <w:highlight w:val="none"/>
          <w:u w:val="single"/>
        </w:rPr>
        <w:t>除经济签证、设计变更、市场因素以外的所有风险</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风险费用的计算方法：</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2、总价合同。</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总价包含的风险范围：</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风险费用的计算方法：</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风险范围以外合同价格的调整方法：</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3、其他价格方式：</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bookmarkStart w:id="499" w:name="_Toc304295581"/>
      <w:bookmarkStart w:id="500" w:name="_Toc312678042"/>
      <w:bookmarkStart w:id="501" w:name="_Toc303539161"/>
      <w:bookmarkStart w:id="502" w:name="_Toc297216213"/>
      <w:bookmarkStart w:id="503" w:name="_Toc300935004"/>
      <w:bookmarkStart w:id="504" w:name="_Toc297123554"/>
      <w:bookmarkStart w:id="505" w:name="_Toc296891247"/>
      <w:bookmarkStart w:id="506" w:name="_Toc296346708"/>
      <w:bookmarkStart w:id="507" w:name="_Toc292559917"/>
      <w:bookmarkStart w:id="508" w:name="_Toc297120507"/>
      <w:bookmarkStart w:id="509" w:name="_Toc297048393"/>
      <w:bookmarkStart w:id="510" w:name="_Toc296503207"/>
      <w:bookmarkStart w:id="511" w:name="_Toc296891035"/>
      <w:bookmarkStart w:id="512" w:name="_Toc296347206"/>
      <w:bookmarkStart w:id="513" w:name="_Toc296944546"/>
      <w:bookmarkStart w:id="514" w:name="_Toc292559412"/>
      <w:r>
        <w:rPr>
          <w:rFonts w:hint="eastAsia" w:ascii="宋体" w:hAnsi="宋体" w:eastAsia="宋体" w:cs="宋体"/>
          <w:color w:val="auto"/>
          <w:sz w:val="22"/>
          <w:szCs w:val="22"/>
          <w:highlight w:val="none"/>
        </w:rPr>
        <w:t>12.2 预付款</w:t>
      </w:r>
    </w:p>
    <w:bookmarkEnd w:id="499"/>
    <w:bookmarkEnd w:id="500"/>
    <w:bookmarkEnd w:id="501"/>
    <w:bookmarkEnd w:id="502"/>
    <w:bookmarkEnd w:id="503"/>
    <w:bookmarkEnd w:id="504"/>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12.2.1 预付款的支付</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预付款支付比例或金额：</w:t>
      </w:r>
      <w:r>
        <w:rPr>
          <w:rFonts w:hint="eastAsia" w:ascii="宋体" w:hAnsi="宋体" w:eastAsia="宋体" w:cs="宋体"/>
          <w:color w:val="auto"/>
          <w:sz w:val="22"/>
          <w:szCs w:val="22"/>
          <w:highlight w:val="none"/>
          <w:u w:val="single"/>
        </w:rPr>
        <w:t xml:space="preserve">  合同价的30%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预付款支付期限：</w:t>
      </w:r>
      <w:r>
        <w:rPr>
          <w:rFonts w:hint="eastAsia" w:ascii="宋体" w:hAnsi="宋体" w:eastAsia="宋体" w:cs="宋体"/>
          <w:color w:val="auto"/>
          <w:sz w:val="22"/>
          <w:szCs w:val="22"/>
          <w:highlight w:val="none"/>
          <w:u w:val="single"/>
        </w:rPr>
        <w:t>签订合同、承包方提交履约保证金，完成后并在开工</w:t>
      </w:r>
      <w:r>
        <w:rPr>
          <w:rFonts w:hint="eastAsia" w:ascii="宋体" w:hAnsi="宋体" w:eastAsia="宋体" w:cs="宋体"/>
          <w:color w:val="auto"/>
          <w:sz w:val="22"/>
          <w:szCs w:val="22"/>
          <w:highlight w:val="none"/>
          <w:u w:val="single"/>
          <w:lang w:val="en-US" w:eastAsia="zh-CN"/>
        </w:rPr>
        <w:t>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预付款扣回的方式：</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12.2.2 预付款担保</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承包人提交预付款担保的期限：</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预付款担保的形式为：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bookmarkEnd w:id="505"/>
    <w:bookmarkEnd w:id="506"/>
    <w:bookmarkEnd w:id="507"/>
    <w:bookmarkEnd w:id="508"/>
    <w:bookmarkEnd w:id="509"/>
    <w:bookmarkEnd w:id="510"/>
    <w:bookmarkEnd w:id="511"/>
    <w:bookmarkEnd w:id="512"/>
    <w:bookmarkEnd w:id="513"/>
    <w:bookmarkEnd w:id="514"/>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 计量</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12.3.1 计量原则</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w:t>
      </w:r>
      <w:r>
        <w:rPr>
          <w:rFonts w:hint="eastAsia" w:ascii="宋体" w:hAnsi="宋体" w:eastAsia="宋体" w:cs="宋体"/>
          <w:color w:val="auto"/>
          <w:sz w:val="22"/>
          <w:szCs w:val="22"/>
          <w:highlight w:val="none"/>
          <w:u w:val="single"/>
        </w:rPr>
        <w:t xml:space="preserve">  按GB50500-2013建设工程工程量清单计价规范工程量计算规则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12.3.2 计量周期</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关于计量周期的约定：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执行通用条款</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12.3.3 单价合同的计量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关于单价合同计量的约定：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执行通用条款</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12.3.4 总价合同的计量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关于总价合同计量的约定：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12.3.5总价合同采用支付分解表计量支付的，是否适用第12.3.4 项〔总价合同的计量〕约定进行计量：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12.3.6 其他价格形式合同的计量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其他价格形式的计量方式和程序：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 工程进度款支付</w:t>
      </w:r>
    </w:p>
    <w:p>
      <w:pPr>
        <w:spacing w:beforeLines="0" w:afterLines="0" w:line="460" w:lineRule="exact"/>
        <w:rPr>
          <w:rFonts w:hint="eastAsia" w:ascii="宋体" w:hAnsi="宋体" w:eastAsia="宋体" w:cs="宋体"/>
          <w:color w:val="auto"/>
          <w:sz w:val="22"/>
          <w:szCs w:val="22"/>
          <w:highlight w:val="none"/>
        </w:rPr>
      </w:pPr>
      <w:bookmarkStart w:id="515" w:name="_Toc292559921"/>
      <w:bookmarkStart w:id="516" w:name="_Toc297123556"/>
      <w:bookmarkStart w:id="517" w:name="_Toc297120511"/>
      <w:bookmarkStart w:id="518" w:name="_Toc296346712"/>
      <w:bookmarkStart w:id="519" w:name="_Toc296891251"/>
      <w:bookmarkStart w:id="520" w:name="_Toc300935006"/>
      <w:bookmarkStart w:id="521" w:name="_Toc296891039"/>
      <w:bookmarkStart w:id="522" w:name="_Toc296503211"/>
      <w:bookmarkStart w:id="523" w:name="_Toc292559416"/>
      <w:bookmarkStart w:id="524" w:name="_Toc297216215"/>
      <w:bookmarkStart w:id="525" w:name="_Toc296347210"/>
      <w:bookmarkStart w:id="526" w:name="_Toc297048397"/>
      <w:bookmarkStart w:id="527" w:name="_Toc303539163"/>
      <w:bookmarkStart w:id="528" w:name="_Toc296944550"/>
      <w:r>
        <w:rPr>
          <w:rFonts w:hint="eastAsia" w:ascii="宋体" w:hAnsi="宋体" w:eastAsia="宋体" w:cs="宋体"/>
          <w:color w:val="auto"/>
          <w:sz w:val="22"/>
          <w:szCs w:val="22"/>
          <w:highlight w:val="none"/>
        </w:rPr>
        <w:t>12.4.1 付款周期</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关于付款周期的约定：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12.4.2 进度付款申请单的编制</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关于进度付款申请单编制的约定：</w:t>
      </w:r>
      <w:r>
        <w:rPr>
          <w:rFonts w:hint="eastAsia" w:ascii="宋体" w:hAnsi="宋体" w:eastAsia="宋体" w:cs="宋体"/>
          <w:color w:val="auto"/>
          <w:sz w:val="22"/>
          <w:szCs w:val="22"/>
          <w:highlight w:val="none"/>
          <w:u w:val="single"/>
        </w:rPr>
        <w:t xml:space="preserve">按发包方工程款支付管理规定执行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hint="eastAsia" w:ascii="宋体" w:hAnsi="宋体" w:eastAsia="宋体" w:cs="宋体"/>
          <w:color w:val="auto"/>
          <w:sz w:val="22"/>
          <w:szCs w:val="22"/>
          <w:highlight w:val="none"/>
        </w:rPr>
        <w:t>2.4.3 进度付款申请单的提交</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（1）单价合同进度付款申请单提交的约定：</w:t>
      </w:r>
      <w:r>
        <w:rPr>
          <w:rFonts w:hint="eastAsia" w:ascii="宋体" w:hAnsi="宋体" w:eastAsia="宋体" w:cs="宋体"/>
          <w:color w:val="auto"/>
          <w:sz w:val="22"/>
          <w:szCs w:val="22"/>
          <w:highlight w:val="none"/>
          <w:u w:val="single"/>
        </w:rPr>
        <w:t xml:space="preserve">    按发包方工程款支付管理规定执行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（2）总价合同进度付款申请单提交的约定：</w:t>
      </w:r>
      <w:r>
        <w:rPr>
          <w:rFonts w:hint="eastAsia" w:ascii="宋体" w:hAnsi="宋体" w:eastAsia="宋体" w:cs="宋体"/>
          <w:color w:val="auto"/>
          <w:sz w:val="22"/>
          <w:szCs w:val="22"/>
          <w:highlight w:val="none"/>
          <w:u w:val="single"/>
        </w:rPr>
        <w:t xml:space="preserve">  按发包方工程款支付管理规定执行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（3）其他价格形式合同进度付款申请单提交的约定：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 进度款审核和支付</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（1）监理人审查并报送发包人的期限：</w:t>
      </w:r>
      <w:r>
        <w:rPr>
          <w:rFonts w:hint="eastAsia" w:ascii="宋体" w:hAnsi="宋体" w:eastAsia="宋体" w:cs="宋体"/>
          <w:color w:val="auto"/>
          <w:sz w:val="22"/>
          <w:szCs w:val="22"/>
          <w:highlight w:val="none"/>
          <w:u w:val="single"/>
        </w:rPr>
        <w:t xml:space="preserve">  收到申请7日内审查并报送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发包人完成审批并签发进度款支付证书的期限：</w:t>
      </w:r>
      <w:r>
        <w:rPr>
          <w:rFonts w:hint="eastAsia" w:ascii="宋体" w:hAnsi="宋体" w:eastAsia="宋体" w:cs="宋体"/>
          <w:color w:val="auto"/>
          <w:sz w:val="22"/>
          <w:szCs w:val="22"/>
          <w:highlight w:val="none"/>
          <w:u w:val="single"/>
        </w:rPr>
        <w:t xml:space="preserve"> 收到7日内完成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（2）发包人支付进度款的期限：</w:t>
      </w:r>
      <w:r>
        <w:rPr>
          <w:rFonts w:hint="eastAsia" w:ascii="宋体" w:hAnsi="宋体" w:eastAsia="宋体" w:cs="宋体"/>
          <w:color w:val="auto"/>
          <w:sz w:val="22"/>
          <w:szCs w:val="22"/>
          <w:highlight w:val="none"/>
          <w:u w:val="single"/>
        </w:rPr>
        <w:t xml:space="preserve">  14日内                         </w:t>
      </w:r>
      <w:r>
        <w:rPr>
          <w:rFonts w:hint="eastAsia" w:ascii="宋体" w:hAnsi="宋体" w:eastAsia="宋体" w:cs="宋体"/>
          <w:color w:val="auto"/>
          <w:sz w:val="22"/>
          <w:szCs w:val="22"/>
          <w:highlight w:val="none"/>
        </w:rPr>
        <w:t>。</w:t>
      </w:r>
    </w:p>
    <w:p>
      <w:pPr>
        <w:spacing w:beforeLines="0" w:afterLines="0"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发包人逾期支付进度款的违约金的计算方式：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12.4.6 支付分解表的编制</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2、总价合同支付分解表的编制与审批：</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3、单价合同的总价项目支付分解表的编制与审批：</w:t>
      </w:r>
      <w:r>
        <w:rPr>
          <w:rFonts w:hint="eastAsia" w:ascii="宋体" w:hAnsi="宋体" w:eastAsia="宋体" w:cs="宋体"/>
          <w:color w:val="auto"/>
          <w:sz w:val="22"/>
          <w:szCs w:val="22"/>
          <w:highlight w:val="none"/>
          <w:u w:val="single"/>
        </w:rPr>
        <w:t xml:space="preserve">  按合同通用条款     </w:t>
      </w:r>
      <w:r>
        <w:rPr>
          <w:rFonts w:hint="eastAsia" w:ascii="宋体" w:hAnsi="宋体" w:eastAsia="宋体" w:cs="宋体"/>
          <w:color w:val="auto"/>
          <w:sz w:val="22"/>
          <w:szCs w:val="22"/>
          <w:highlight w:val="none"/>
        </w:rPr>
        <w:t>。</w:t>
      </w:r>
    </w:p>
    <w:bookmarkEnd w:id="358"/>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529" w:name="_Toc351203645"/>
      <w:bookmarkStart w:id="530" w:name="_Toc297123564"/>
      <w:bookmarkStart w:id="531" w:name="_Toc297048405"/>
      <w:bookmarkStart w:id="532" w:name="_Toc296891259"/>
      <w:bookmarkStart w:id="533" w:name="_Toc296944558"/>
      <w:bookmarkStart w:id="534" w:name="_Toc296503219"/>
      <w:bookmarkStart w:id="535" w:name="_Toc297216223"/>
      <w:bookmarkStart w:id="536" w:name="_Toc303539172"/>
      <w:bookmarkStart w:id="537" w:name="_Toc296346720"/>
      <w:bookmarkStart w:id="538" w:name="_Toc296347218"/>
      <w:bookmarkStart w:id="539" w:name="_Toc304295593"/>
      <w:bookmarkStart w:id="540" w:name="_Toc296891047"/>
      <w:bookmarkStart w:id="541" w:name="_Toc292559424"/>
      <w:bookmarkStart w:id="542" w:name="_Toc312678053"/>
      <w:bookmarkStart w:id="543" w:name="_Toc297120519"/>
      <w:bookmarkStart w:id="544" w:name="_Toc292559929"/>
      <w:bookmarkStart w:id="545" w:name="_Toc300935015"/>
      <w:r>
        <w:rPr>
          <w:rFonts w:hint="eastAsia" w:ascii="宋体" w:hAnsi="宋体" w:eastAsia="宋体" w:cs="宋体"/>
          <w:b w:val="0"/>
          <w:color w:val="auto"/>
          <w:sz w:val="22"/>
          <w:szCs w:val="22"/>
          <w:highlight w:val="none"/>
        </w:rPr>
        <w:t>13. 验收和工程试车</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分部分项工程验收</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13.1.2监理人不能按时进行验收时，应提前</w:t>
      </w:r>
      <w:r>
        <w:rPr>
          <w:rFonts w:hint="eastAsia" w:ascii="宋体" w:hAnsi="宋体" w:eastAsia="宋体" w:cs="宋体"/>
          <w:color w:val="auto"/>
          <w:sz w:val="22"/>
          <w:szCs w:val="22"/>
          <w:highlight w:val="none"/>
          <w:u w:val="single"/>
        </w:rPr>
        <w:t xml:space="preserve">   24   </w:t>
      </w:r>
      <w:r>
        <w:rPr>
          <w:rFonts w:hint="eastAsia" w:ascii="宋体" w:hAnsi="宋体" w:eastAsia="宋体" w:cs="宋体"/>
          <w:color w:val="auto"/>
          <w:sz w:val="22"/>
          <w:szCs w:val="22"/>
          <w:highlight w:val="none"/>
        </w:rPr>
        <w:t>小时提交书面延期要求。</w:t>
      </w:r>
    </w:p>
    <w:p>
      <w:pPr>
        <w:spacing w:beforeLines="0" w:afterLines="0" w:line="4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关于延期最长不得超过：</w:t>
      </w:r>
      <w:r>
        <w:rPr>
          <w:rFonts w:hint="eastAsia" w:ascii="宋体" w:hAnsi="宋体" w:eastAsia="宋体" w:cs="宋体"/>
          <w:color w:val="auto"/>
          <w:sz w:val="22"/>
          <w:szCs w:val="22"/>
          <w:highlight w:val="none"/>
          <w:u w:val="single"/>
        </w:rPr>
        <w:t xml:space="preserve">   48   </w:t>
      </w:r>
      <w:r>
        <w:rPr>
          <w:rFonts w:hint="eastAsia" w:ascii="宋体" w:hAnsi="宋体" w:eastAsia="宋体" w:cs="宋体"/>
          <w:color w:val="auto"/>
          <w:sz w:val="22"/>
          <w:szCs w:val="22"/>
          <w:highlight w:val="none"/>
        </w:rPr>
        <w:t>小时。</w:t>
      </w:r>
    </w:p>
    <w:p>
      <w:pPr>
        <w:spacing w:beforeLines="0" w:after="120" w:afterLines="0" w:line="460" w:lineRule="exact"/>
        <w:rPr>
          <w:rFonts w:hint="eastAsia" w:ascii="宋体" w:hAnsi="宋体" w:eastAsia="宋体" w:cs="宋体"/>
          <w:color w:val="auto"/>
          <w:sz w:val="22"/>
          <w:szCs w:val="22"/>
          <w:highlight w:val="none"/>
        </w:rPr>
      </w:pPr>
      <w:bookmarkStart w:id="546" w:name="_Toc297048409"/>
      <w:bookmarkStart w:id="547" w:name="_Toc297123565"/>
      <w:bookmarkStart w:id="548" w:name="_Toc296944562"/>
      <w:bookmarkStart w:id="549" w:name="_Toc304295596"/>
      <w:bookmarkStart w:id="550" w:name="_Toc312678056"/>
      <w:bookmarkStart w:id="551" w:name="_Toc296891263"/>
      <w:bookmarkStart w:id="552" w:name="_Toc292559933"/>
      <w:bookmarkStart w:id="553" w:name="_Toc303539173"/>
      <w:bookmarkStart w:id="554" w:name="_Toc297216224"/>
      <w:bookmarkStart w:id="555" w:name="_Toc292559428"/>
      <w:bookmarkStart w:id="556" w:name="_Toc296503223"/>
      <w:bookmarkStart w:id="557" w:name="_Toc296347222"/>
      <w:bookmarkStart w:id="558" w:name="_Toc300935016"/>
      <w:bookmarkStart w:id="559" w:name="_Toc296346724"/>
      <w:bookmarkStart w:id="560" w:name="_Toc297120523"/>
      <w:bookmarkStart w:id="561" w:name="_Toc296891051"/>
      <w:bookmarkStart w:id="562" w:name="_Toc267251474"/>
      <w:bookmarkStart w:id="563" w:name="_Toc267251475"/>
      <w:bookmarkStart w:id="564" w:name="_Toc267251472"/>
      <w:bookmarkStart w:id="565" w:name="_Toc267251470"/>
      <w:bookmarkStart w:id="566" w:name="_Toc267251471"/>
      <w:bookmarkStart w:id="567" w:name="_Toc267251473"/>
      <w:bookmarkStart w:id="568" w:name="_Toc267251476"/>
      <w:r>
        <w:rPr>
          <w:rFonts w:hint="eastAsia" w:ascii="宋体" w:hAnsi="宋体" w:eastAsia="宋体" w:cs="宋体"/>
          <w:color w:val="auto"/>
          <w:sz w:val="22"/>
          <w:szCs w:val="22"/>
          <w:highlight w:val="none"/>
        </w:rPr>
        <w:t>13.2 竣工验收</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spacing w:beforeLines="0" w:afterLines="0" w:line="460" w:lineRule="exact"/>
        <w:rPr>
          <w:rFonts w:hint="eastAsia" w:ascii="宋体" w:hAnsi="宋体" w:eastAsia="宋体" w:cs="宋体"/>
          <w:color w:val="auto"/>
          <w:sz w:val="22"/>
          <w:szCs w:val="22"/>
          <w:highlight w:val="none"/>
        </w:rPr>
      </w:pPr>
      <w:bookmarkStart w:id="569" w:name="_Toc280868704"/>
      <w:bookmarkStart w:id="570" w:name="_Toc280868705"/>
      <w:bookmarkStart w:id="571" w:name="_Toc280868706"/>
      <w:bookmarkStart w:id="572" w:name="_Toc280868707"/>
      <w:bookmarkStart w:id="573" w:name="_Toc280868708"/>
      <w:bookmarkStart w:id="574" w:name="_Toc280868709"/>
      <w:r>
        <w:rPr>
          <w:rFonts w:hint="eastAsia" w:ascii="宋体" w:hAnsi="宋体" w:eastAsia="宋体" w:cs="宋体"/>
          <w:color w:val="auto"/>
          <w:sz w:val="22"/>
          <w:szCs w:val="22"/>
          <w:highlight w:val="none"/>
        </w:rPr>
        <w:t>13.2.2竣工验收程序</w:t>
      </w:r>
    </w:p>
    <w:bookmarkEnd w:id="569"/>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关于竣工验收程序的约定：</w:t>
      </w:r>
      <w:r>
        <w:rPr>
          <w:rFonts w:hint="eastAsia" w:ascii="宋体" w:hAnsi="宋体" w:eastAsia="宋体" w:cs="宋体"/>
          <w:color w:val="auto"/>
          <w:sz w:val="22"/>
          <w:szCs w:val="22"/>
          <w:highlight w:val="none"/>
          <w:u w:val="single"/>
        </w:rPr>
        <w:t xml:space="preserve">     按合同通用条款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发包人不按照本项约定组织竣工验收、颁发工程接收证书的违约金的计算方法：</w:t>
      </w:r>
      <w:r>
        <w:rPr>
          <w:rFonts w:hint="eastAsia" w:ascii="宋体" w:hAnsi="宋体" w:eastAsia="宋体" w:cs="宋体"/>
          <w:color w:val="auto"/>
          <w:sz w:val="22"/>
          <w:szCs w:val="22"/>
          <w:highlight w:val="none"/>
          <w:u w:val="single"/>
        </w:rPr>
        <w:t xml:space="preserve"> 按合同通用条款        </w:t>
      </w:r>
      <w:r>
        <w:rPr>
          <w:rFonts w:hint="eastAsia" w:ascii="宋体" w:hAnsi="宋体" w:eastAsia="宋体" w:cs="宋体"/>
          <w:color w:val="auto"/>
          <w:sz w:val="22"/>
          <w:szCs w:val="22"/>
          <w:highlight w:val="none"/>
        </w:rPr>
        <w:t>。</w:t>
      </w:r>
    </w:p>
    <w:bookmarkEnd w:id="570"/>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13.2.5移交、接收全部与部分工程</w:t>
      </w:r>
    </w:p>
    <w:bookmarkEnd w:id="571"/>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承包人向发包人移交工程的期限：</w:t>
      </w:r>
      <w:r>
        <w:rPr>
          <w:rFonts w:hint="eastAsia" w:ascii="宋体" w:hAnsi="宋体" w:eastAsia="宋体" w:cs="宋体"/>
          <w:color w:val="auto"/>
          <w:sz w:val="22"/>
          <w:szCs w:val="22"/>
          <w:highlight w:val="none"/>
          <w:u w:val="single"/>
        </w:rPr>
        <w:t xml:space="preserve">   颁发工程接收证书后7日内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发包人未按本合同约定接收全部或部分工程的，违约金的计算方法为：</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bookmarkEnd w:id="572"/>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承包人未按时移交工程的，违约金的计算方法为：</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工程试车</w:t>
      </w:r>
    </w:p>
    <w:bookmarkEnd w:id="573"/>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13.3.1 试车程序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工程试车内容：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（1）单机无负荷试车费用由</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（2）无负荷联动试车费用由</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13.3.3 投料试车</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关于投料试车相关事项的约定：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 竣工退场</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13.6.1 竣工退场</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承包人完成竣工退场的期限：</w:t>
      </w:r>
      <w:r>
        <w:rPr>
          <w:rFonts w:hint="eastAsia" w:ascii="宋体" w:hAnsi="宋体" w:eastAsia="宋体" w:cs="宋体"/>
          <w:color w:val="auto"/>
          <w:sz w:val="22"/>
          <w:szCs w:val="22"/>
          <w:highlight w:val="none"/>
          <w:u w:val="single"/>
        </w:rPr>
        <w:t xml:space="preserve">   颁发工程接收证书后3日内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575" w:name="_Toc351203646"/>
      <w:r>
        <w:rPr>
          <w:rFonts w:hint="eastAsia" w:ascii="宋体" w:hAnsi="宋体" w:eastAsia="宋体" w:cs="宋体"/>
          <w:b w:val="0"/>
          <w:color w:val="auto"/>
          <w:sz w:val="22"/>
          <w:szCs w:val="22"/>
          <w:highlight w:val="none"/>
        </w:rPr>
        <w:t>14. 竣工结算</w:t>
      </w:r>
      <w:bookmarkEnd w:id="575"/>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竣工付款申请</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按合同付款约定执行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竣工付款申请单应包括的内容：</w:t>
      </w:r>
      <w:r>
        <w:rPr>
          <w:rFonts w:hint="eastAsia" w:ascii="宋体" w:hAnsi="宋体" w:eastAsia="宋体" w:cs="宋体"/>
          <w:color w:val="auto"/>
          <w:sz w:val="22"/>
          <w:szCs w:val="22"/>
          <w:highlight w:val="none"/>
          <w:u w:val="single"/>
        </w:rPr>
        <w:t xml:space="preserve">   按合同付款约定执行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 竣工结算审核</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发包人审批竣工付款申请单的期限：</w:t>
      </w:r>
      <w:r>
        <w:rPr>
          <w:rFonts w:hint="eastAsia" w:ascii="宋体" w:hAnsi="宋体" w:eastAsia="宋体" w:cs="宋体"/>
          <w:color w:val="auto"/>
          <w:sz w:val="22"/>
          <w:szCs w:val="22"/>
          <w:highlight w:val="none"/>
          <w:u w:val="single"/>
        </w:rPr>
        <w:t xml:space="preserve">  按合同付款约定执行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发包人完成竣工付款的期限：</w:t>
      </w:r>
      <w:r>
        <w:rPr>
          <w:rFonts w:hint="eastAsia" w:ascii="宋体" w:hAnsi="宋体" w:eastAsia="宋体" w:cs="宋体"/>
          <w:color w:val="auto"/>
          <w:sz w:val="22"/>
          <w:szCs w:val="22"/>
          <w:highlight w:val="none"/>
          <w:u w:val="single"/>
        </w:rPr>
        <w:t xml:space="preserve">按合同付款约定执行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关于竣工付款证书异议部分复核的方式和程序：</w:t>
      </w:r>
      <w:r>
        <w:rPr>
          <w:rFonts w:hint="eastAsia" w:ascii="宋体" w:hAnsi="宋体" w:eastAsia="宋体" w:cs="宋体"/>
          <w:color w:val="auto"/>
          <w:sz w:val="22"/>
          <w:szCs w:val="22"/>
          <w:highlight w:val="none"/>
          <w:u w:val="single"/>
        </w:rPr>
        <w:t xml:space="preserve"> 发包方支付工程款必须进入本合同约定账户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 最终结清</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14.4.1 最终结清申请单</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肆份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承包人提交最终结算申请单的期限：</w:t>
      </w:r>
      <w:r>
        <w:rPr>
          <w:rFonts w:hint="eastAsia" w:ascii="宋体" w:hAnsi="宋体" w:eastAsia="宋体" w:cs="宋体"/>
          <w:color w:val="auto"/>
          <w:sz w:val="22"/>
          <w:szCs w:val="22"/>
          <w:highlight w:val="none"/>
          <w:u w:val="single"/>
        </w:rPr>
        <w:t xml:space="preserve">  缺陷责任期终止证书颁发后7天内    </w:t>
      </w:r>
      <w:r>
        <w:rPr>
          <w:rFonts w:hint="eastAsia" w:ascii="宋体" w:hAnsi="宋体" w:eastAsia="宋体" w:cs="宋体"/>
          <w:color w:val="auto"/>
          <w:sz w:val="22"/>
          <w:szCs w:val="22"/>
          <w:highlight w:val="none"/>
        </w:rPr>
        <w:t xml:space="preserve">。 </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14.4.2 最终结清证书和支付</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（1）发包人完成最终结清申请单的审批并颁发最终结清证书的期限：</w:t>
      </w:r>
      <w:r>
        <w:rPr>
          <w:rFonts w:hint="eastAsia" w:ascii="宋体" w:hAnsi="宋体" w:eastAsia="宋体" w:cs="宋体"/>
          <w:color w:val="auto"/>
          <w:sz w:val="22"/>
          <w:szCs w:val="22"/>
          <w:highlight w:val="none"/>
          <w:u w:val="single"/>
        </w:rPr>
        <w:t xml:space="preserve">   收到最终结算申请单后14天内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（2）发包人完成支付的期限：</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bookmarkEnd w:id="562"/>
    <w:bookmarkEnd w:id="563"/>
    <w:bookmarkEnd w:id="564"/>
    <w:bookmarkEnd w:id="565"/>
    <w:bookmarkEnd w:id="566"/>
    <w:bookmarkEnd w:id="567"/>
    <w:bookmarkEnd w:id="568"/>
    <w:bookmarkEnd w:id="574"/>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576" w:name="_Toc351203647"/>
      <w:bookmarkStart w:id="577" w:name="_Toc267251483"/>
      <w:bookmarkStart w:id="578" w:name="_Toc267251484"/>
      <w:bookmarkStart w:id="579" w:name="_Toc267251482"/>
      <w:bookmarkStart w:id="580" w:name="_Toc267251485"/>
      <w:bookmarkStart w:id="581" w:name="_Toc267251486"/>
      <w:bookmarkStart w:id="582" w:name="_Toc267251490"/>
      <w:bookmarkStart w:id="583" w:name="_Toc267251489"/>
      <w:bookmarkStart w:id="584" w:name="_Toc267251488"/>
      <w:bookmarkStart w:id="585" w:name="_Toc267251495"/>
      <w:bookmarkStart w:id="586" w:name="_Toc267251502"/>
      <w:bookmarkStart w:id="587" w:name="_Toc267251496"/>
      <w:bookmarkStart w:id="588" w:name="_Toc267251503"/>
      <w:bookmarkStart w:id="589" w:name="_Toc267251492"/>
      <w:bookmarkStart w:id="590" w:name="_Toc267251501"/>
      <w:bookmarkStart w:id="591" w:name="_Toc267251491"/>
      <w:bookmarkStart w:id="592" w:name="_Toc267251498"/>
      <w:bookmarkStart w:id="593" w:name="_Toc267251493"/>
      <w:bookmarkStart w:id="594" w:name="_Toc267251494"/>
      <w:bookmarkStart w:id="595" w:name="_Toc267251497"/>
      <w:bookmarkStart w:id="596" w:name="_Toc267251499"/>
      <w:bookmarkStart w:id="597" w:name="_Toc267251504"/>
      <w:bookmarkStart w:id="598" w:name="_Toc267251506"/>
      <w:bookmarkStart w:id="599" w:name="_Toc267251507"/>
      <w:bookmarkStart w:id="600" w:name="_Toc267251508"/>
      <w:bookmarkStart w:id="601" w:name="_Toc267251514"/>
      <w:bookmarkStart w:id="602" w:name="_Toc267251510"/>
      <w:bookmarkStart w:id="603" w:name="_Toc267251513"/>
      <w:bookmarkStart w:id="604" w:name="_Toc267251509"/>
      <w:bookmarkStart w:id="605" w:name="_Toc267251511"/>
      <w:bookmarkStart w:id="606" w:name="_Toc267251515"/>
      <w:r>
        <w:rPr>
          <w:rFonts w:hint="eastAsia" w:ascii="宋体" w:hAnsi="宋体" w:eastAsia="宋体" w:cs="宋体"/>
          <w:b w:val="0"/>
          <w:color w:val="auto"/>
          <w:sz w:val="22"/>
          <w:szCs w:val="22"/>
          <w:highlight w:val="none"/>
        </w:rPr>
        <w:t>15. 缺陷责任期与保修</w:t>
      </w:r>
      <w:bookmarkEnd w:id="576"/>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15.2缺陷责任期</w:t>
      </w:r>
      <w:bookmarkEnd w:id="577"/>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缺陷责任期的具体期限：</w:t>
      </w:r>
      <w:r>
        <w:rPr>
          <w:rFonts w:hint="eastAsia" w:ascii="宋体" w:hAnsi="宋体" w:eastAsia="宋体" w:cs="宋体"/>
          <w:color w:val="auto"/>
          <w:sz w:val="22"/>
          <w:szCs w:val="22"/>
          <w:highlight w:val="none"/>
          <w:u w:val="single"/>
        </w:rPr>
        <w:t xml:space="preserve">  自实际竣工日期起计算为</w:t>
      </w:r>
      <w:r>
        <w:rPr>
          <w:rFonts w:hint="eastAsia" w:ascii="宋体" w:hAnsi="宋体" w:eastAsia="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rPr>
        <w:t xml:space="preserve">个月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 质量保证金</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关于是否扣留质量保证金的约定：</w:t>
      </w:r>
      <w:r>
        <w:rPr>
          <w:rFonts w:hint="eastAsia" w:ascii="宋体" w:hAnsi="宋体" w:eastAsia="宋体" w:cs="宋体"/>
          <w:color w:val="auto"/>
          <w:sz w:val="22"/>
          <w:szCs w:val="22"/>
          <w:highlight w:val="none"/>
          <w:u w:val="single"/>
        </w:rPr>
        <w:t xml:space="preserve">         扣留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15.3.1 承包人提供质量保证金的方式</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质量保证金采用以下第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种方式：</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（1）质量保证金保函，保证金额为：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%的工程款；</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15.3.2 质量保证金的扣留 </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质量保证金的扣留采取以下第</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种方式：</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（1）在支付工程进度款时逐次扣留，在此情形下，质量保证金的计算基数不包括预付款的支付、扣回以及价格调整的金额；</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（2）工程竣工结算时一次性扣留质量保证金；</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（3）其他扣留方式: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关于质量保证金的补充约定：</w:t>
      </w:r>
      <w:r>
        <w:rPr>
          <w:rFonts w:hint="eastAsia" w:ascii="宋体" w:hAnsi="宋体" w:eastAsia="宋体" w:cs="宋体"/>
          <w:color w:val="auto"/>
          <w:sz w:val="22"/>
          <w:szCs w:val="22"/>
          <w:highlight w:val="none"/>
          <w:u w:val="single"/>
        </w:rPr>
        <w:t xml:space="preserve">   按照国家、自治区现行规定执行        </w:t>
      </w:r>
      <w:r>
        <w:rPr>
          <w:rFonts w:hint="eastAsia" w:ascii="宋体" w:hAnsi="宋体" w:eastAsia="宋体" w:cs="宋体"/>
          <w:color w:val="auto"/>
          <w:sz w:val="22"/>
          <w:szCs w:val="22"/>
          <w:highlight w:val="none"/>
        </w:rPr>
        <w:t>。</w:t>
      </w:r>
    </w:p>
    <w:bookmarkEnd w:id="578"/>
    <w:bookmarkEnd w:id="579"/>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15.4保修</w:t>
      </w:r>
    </w:p>
    <w:bookmarkEnd w:id="580"/>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15.4.1 保修责任</w:t>
      </w:r>
    </w:p>
    <w:p>
      <w:pPr>
        <w:spacing w:beforeLines="0" w:afterLines="0" w:line="460" w:lineRule="exact"/>
        <w:ind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工程保修期为：</w:t>
      </w:r>
      <w:r>
        <w:rPr>
          <w:rFonts w:hint="eastAsia" w:ascii="宋体" w:hAnsi="宋体" w:eastAsia="宋体" w:cs="宋体"/>
          <w:color w:val="auto"/>
          <w:sz w:val="22"/>
          <w:szCs w:val="22"/>
          <w:highlight w:val="none"/>
          <w:u w:val="single"/>
        </w:rPr>
        <w:t xml:space="preserve">  </w:t>
      </w:r>
      <w:r>
        <w:rPr>
          <w:rFonts w:hint="default" w:ascii="宋体" w:hAnsi="宋体" w:eastAsia="宋体" w:cs="宋体"/>
          <w:color w:val="auto"/>
          <w:sz w:val="22"/>
          <w:szCs w:val="22"/>
          <w:highlight w:val="none"/>
          <w:u w:val="single"/>
          <w:lang w:val="en-US" w:eastAsia="zh-CN"/>
        </w:rPr>
        <w:t>按国务院《建设工程质量管理条例》第四十条相关规定执行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15.4.3 修复通知</w:t>
      </w:r>
    </w:p>
    <w:p>
      <w:pPr>
        <w:spacing w:beforeLines="0" w:afterLines="0" w:line="460" w:lineRule="exact"/>
        <w:ind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承包人收到保修通知并到达工程现场的合理时间：</w:t>
      </w:r>
      <w:r>
        <w:rPr>
          <w:rFonts w:hint="eastAsia" w:ascii="宋体" w:hAnsi="宋体" w:eastAsia="宋体" w:cs="宋体"/>
          <w:color w:val="auto"/>
          <w:sz w:val="22"/>
          <w:szCs w:val="22"/>
          <w:highlight w:val="none"/>
          <w:u w:val="single"/>
        </w:rPr>
        <w:t xml:space="preserve">      24小时内     </w:t>
      </w:r>
      <w:r>
        <w:rPr>
          <w:rFonts w:hint="eastAsia" w:ascii="宋体" w:hAnsi="宋体" w:eastAsia="宋体" w:cs="宋体"/>
          <w:color w:val="auto"/>
          <w:sz w:val="22"/>
          <w:szCs w:val="22"/>
          <w:highlight w:val="none"/>
        </w:rPr>
        <w:t>。</w:t>
      </w:r>
    </w:p>
    <w:bookmarkEnd w:id="581"/>
    <w:bookmarkEnd w:id="582"/>
    <w:bookmarkEnd w:id="583"/>
    <w:bookmarkEnd w:id="584"/>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607" w:name="_Toc351203648"/>
      <w:bookmarkStart w:id="608" w:name="_Toc280868717"/>
      <w:bookmarkStart w:id="609" w:name="_Toc280868718"/>
      <w:r>
        <w:rPr>
          <w:rFonts w:hint="eastAsia" w:ascii="宋体" w:hAnsi="宋体" w:eastAsia="宋体" w:cs="宋体"/>
          <w:b w:val="0"/>
          <w:color w:val="auto"/>
          <w:sz w:val="22"/>
          <w:szCs w:val="22"/>
          <w:highlight w:val="none"/>
        </w:rPr>
        <w:t>16. 违约</w:t>
      </w:r>
      <w:bookmarkEnd w:id="607"/>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 发包人违约</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16.1.1发包人违约的情形</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发包人违约的其他情形：</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left="1050" w:hanging="1100" w:hangingChars="5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16.1.2 发包人违约的责任</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发包人违约责任的承担方式和计算方法：</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（1）因发包人原因未能在计划开工日期前7天内下达开工通知的违约责任：</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（2）因发包人原因未能按合同约定支付合同价款的违约责任：</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（3）发包人违反第10.1款〔变更的范围〕第（2）项约定，自行实施被取消的工作或转由他人实施的违约责任：</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（5）因发包人违反合同约定造成暂停施工的违约责任：</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（6）发包人无正当理由没有在约定期限内发出复工指示，导致承包人无法复工的违约责任：</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（7）其他：</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16.1.3 因发包人违约解除合同</w:t>
      </w:r>
    </w:p>
    <w:p>
      <w:pPr>
        <w:adjustRightInd w:val="0"/>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承包人按16.1.1项〔发包人违约的情形〕约定暂停施工满</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天后发包人仍不纠正其违约行为并致使合同目的不能实现的，承包人有权解除合同。</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 承包人违约</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16.2.1 承包人违约的情形</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承包人违约的其他情形：</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16.2.2承包人违约的责任</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承包人违约责任的承担方式和计算方法：</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 xml:space="preserve">。    </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16.2.3 因承包人违约解除合同</w:t>
      </w:r>
    </w:p>
    <w:p>
      <w:pPr>
        <w:spacing w:before="120" w:beforeLines="0" w:after="12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关于承包人违约解除合同的特别约定：</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p>
      <w:pPr>
        <w:spacing w:before="120" w:beforeLines="0" w:after="12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610" w:name="_Toc351203649"/>
      <w:r>
        <w:rPr>
          <w:rFonts w:hint="eastAsia" w:ascii="宋体" w:hAnsi="宋体" w:eastAsia="宋体" w:cs="宋体"/>
          <w:b w:val="0"/>
          <w:color w:val="auto"/>
          <w:sz w:val="22"/>
          <w:szCs w:val="22"/>
          <w:highlight w:val="none"/>
        </w:rPr>
        <w:t>17. 不可抗力</w:t>
      </w:r>
      <w:bookmarkEnd w:id="610"/>
      <w:r>
        <w:rPr>
          <w:rFonts w:hint="eastAsia" w:ascii="宋体" w:hAnsi="宋体" w:eastAsia="宋体" w:cs="宋体"/>
          <w:b w:val="0"/>
          <w:color w:val="auto"/>
          <w:sz w:val="22"/>
          <w:szCs w:val="22"/>
          <w:highlight w:val="none"/>
        </w:rPr>
        <w:t xml:space="preserve"> </w:t>
      </w:r>
      <w:bookmarkEnd w:id="608"/>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 不可抗力的确认</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除通用合同条款约定的不可抗力事件之外，视为不可抗力的其他情形： </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 因不可抗力解除合同</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合同解除后，发包人应在商定或确定发包人应支付款项后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天内完成款项的支付。</w:t>
      </w:r>
    </w:p>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611" w:name="_Toc351203650"/>
      <w:r>
        <w:rPr>
          <w:rFonts w:hint="eastAsia" w:ascii="宋体" w:hAnsi="宋体" w:eastAsia="宋体" w:cs="宋体"/>
          <w:b w:val="0"/>
          <w:color w:val="auto"/>
          <w:sz w:val="22"/>
          <w:szCs w:val="22"/>
          <w:highlight w:val="none"/>
        </w:rPr>
        <w:t>18. 保险</w:t>
      </w:r>
      <w:bookmarkEnd w:id="611"/>
    </w:p>
    <w:bookmarkEnd w:id="609"/>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18.1 工程保险</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关于工程保险的特别约定：</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 其他保险</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关于其他保险的约定：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承包人是否应为其施工设备等办理财产保险：</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 通知义务</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关于变更保险合同时的通知义务的约定：</w:t>
      </w:r>
      <w:r>
        <w:rPr>
          <w:rFonts w:hint="eastAsia" w:ascii="宋体" w:hAnsi="宋体" w:eastAsia="宋体" w:cs="宋体"/>
          <w:color w:val="auto"/>
          <w:sz w:val="22"/>
          <w:szCs w:val="22"/>
          <w:highlight w:val="none"/>
          <w:u w:val="single"/>
        </w:rPr>
        <w:t xml:space="preserve">    执行合同通用条款           </w:t>
      </w:r>
      <w:r>
        <w:rPr>
          <w:rFonts w:hint="eastAsia" w:ascii="宋体" w:hAnsi="宋体" w:eastAsia="宋体" w:cs="宋体"/>
          <w:color w:val="auto"/>
          <w:sz w:val="22"/>
          <w:szCs w:val="22"/>
          <w:highlight w:val="none"/>
        </w:rPr>
        <w:t>。</w:t>
      </w:r>
    </w:p>
    <w:bookmarkEnd w:id="585"/>
    <w:bookmarkEnd w:id="586"/>
    <w:bookmarkEnd w:id="587"/>
    <w:bookmarkEnd w:id="588"/>
    <w:bookmarkEnd w:id="589"/>
    <w:bookmarkEnd w:id="590"/>
    <w:bookmarkEnd w:id="591"/>
    <w:bookmarkEnd w:id="592"/>
    <w:bookmarkEnd w:id="593"/>
    <w:bookmarkEnd w:id="594"/>
    <w:bookmarkEnd w:id="595"/>
    <w:bookmarkEnd w:id="596"/>
    <w:p>
      <w:pPr>
        <w:pStyle w:val="12"/>
        <w:spacing w:before="120" w:beforeLines="0" w:after="120" w:afterLines="0" w:line="460" w:lineRule="exact"/>
        <w:rPr>
          <w:rFonts w:hint="eastAsia" w:ascii="宋体" w:hAnsi="宋体" w:eastAsia="宋体" w:cs="宋体"/>
          <w:b w:val="0"/>
          <w:color w:val="auto"/>
          <w:sz w:val="22"/>
          <w:szCs w:val="22"/>
          <w:highlight w:val="none"/>
        </w:rPr>
      </w:pPr>
      <w:bookmarkStart w:id="612" w:name="_Toc351203651"/>
      <w:r>
        <w:rPr>
          <w:rFonts w:hint="eastAsia" w:ascii="宋体" w:hAnsi="宋体" w:eastAsia="宋体" w:cs="宋体"/>
          <w:b w:val="0"/>
          <w:color w:val="auto"/>
          <w:sz w:val="22"/>
          <w:szCs w:val="22"/>
          <w:highlight w:val="none"/>
        </w:rPr>
        <w:t>20. 争议解决</w:t>
      </w:r>
      <w:bookmarkEnd w:id="612"/>
    </w:p>
    <w:bookmarkEnd w:id="597"/>
    <w:bookmarkEnd w:id="598"/>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 争</w:t>
      </w:r>
      <w:bookmarkEnd w:id="599"/>
      <w:r>
        <w:rPr>
          <w:rFonts w:hint="eastAsia" w:ascii="宋体" w:hAnsi="宋体" w:eastAsia="宋体" w:cs="宋体"/>
          <w:color w:val="auto"/>
          <w:sz w:val="22"/>
          <w:szCs w:val="22"/>
          <w:highlight w:val="none"/>
        </w:rPr>
        <w:t>议评审</w:t>
      </w:r>
    </w:p>
    <w:p>
      <w:pPr>
        <w:spacing w:beforeLines="0" w:afterLines="0" w:line="460" w:lineRule="exact"/>
        <w:ind w:left="142" w:leftChars="71"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合同当事人是否同意将工程争议提交争议评审小组决定：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20.3.1 争议评审小组的确定</w:t>
      </w:r>
    </w:p>
    <w:p>
      <w:pPr>
        <w:spacing w:beforeLines="0" w:afterLines="0" w:line="4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争议评审小组成员的确定：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选定争议评审员的期限：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争议评审小组成员的报酬承担方式：</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其他事项的约定：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adjustRightInd w:val="0"/>
        <w:spacing w:beforeLines="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20.3.2 争议评审小组的决定</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合同当事人关于本项的约定：</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Lines="0" w:after="120" w:afterLines="0"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20.4仲裁或诉讼</w:t>
      </w:r>
      <w:bookmarkEnd w:id="600"/>
    </w:p>
    <w:p>
      <w:pPr>
        <w:spacing w:beforeLines="0" w:after="12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因合同及合同有关事项发生的争议，按下列第</w:t>
      </w:r>
      <w:r>
        <w:rPr>
          <w:rFonts w:hint="eastAsia" w:ascii="宋体" w:hAnsi="宋体" w:eastAsia="宋体" w:cs="宋体"/>
          <w:color w:val="auto"/>
          <w:sz w:val="22"/>
          <w:szCs w:val="22"/>
          <w:highlight w:val="none"/>
          <w:u w:val="single"/>
        </w:rPr>
        <w:t xml:space="preserve">  2   </w:t>
      </w:r>
      <w:r>
        <w:rPr>
          <w:rFonts w:hint="eastAsia" w:ascii="宋体" w:hAnsi="宋体" w:eastAsia="宋体" w:cs="宋体"/>
          <w:color w:val="auto"/>
          <w:sz w:val="22"/>
          <w:szCs w:val="22"/>
          <w:highlight w:val="none"/>
        </w:rPr>
        <w:t>种方式解决：</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仲裁委员会申请仲裁；</w:t>
      </w:r>
    </w:p>
    <w:p>
      <w:pPr>
        <w:spacing w:beforeLines="0" w:afterLines="0"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（2）向</w:t>
      </w:r>
      <w:r>
        <w:rPr>
          <w:rFonts w:hint="eastAsia" w:ascii="宋体" w:hAnsi="宋体" w:eastAsia="宋体" w:cs="宋体"/>
          <w:color w:val="auto"/>
          <w:sz w:val="22"/>
          <w:szCs w:val="22"/>
          <w:highlight w:val="none"/>
          <w:u w:val="single"/>
        </w:rPr>
        <w:t xml:space="preserve">       工程所在地      </w:t>
      </w:r>
      <w:r>
        <w:rPr>
          <w:rFonts w:hint="eastAsia" w:ascii="宋体" w:hAnsi="宋体" w:eastAsia="宋体" w:cs="宋体"/>
          <w:color w:val="auto"/>
          <w:sz w:val="22"/>
          <w:szCs w:val="22"/>
          <w:highlight w:val="none"/>
        </w:rPr>
        <w:t>人民法院起诉。</w:t>
      </w:r>
      <w:bookmarkEnd w:id="601"/>
      <w:bookmarkEnd w:id="602"/>
      <w:bookmarkEnd w:id="603"/>
      <w:bookmarkEnd w:id="604"/>
      <w:bookmarkEnd w:id="605"/>
      <w:bookmarkEnd w:id="606"/>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8"/>
        <w:numPr>
          <w:ilvl w:val="0"/>
          <w:numId w:val="0"/>
        </w:numPr>
        <w:spacing w:beforeLines="0" w:afterLines="0" w:line="360" w:lineRule="exact"/>
        <w:jc w:val="center"/>
        <w:rPr>
          <w:rFonts w:hint="eastAsia" w:ascii="宋体" w:hAnsi="宋体" w:eastAsia="宋体" w:cs="宋体"/>
          <w:color w:val="auto"/>
          <w:sz w:val="22"/>
          <w:szCs w:val="22"/>
          <w:highlight w:val="none"/>
          <w:lang w:val="en-US"/>
        </w:rPr>
      </w:pPr>
      <w:bookmarkStart w:id="613" w:name="_Toc1674"/>
      <w:bookmarkStart w:id="614" w:name="_Toc418164812"/>
      <w:bookmarkStart w:id="615" w:name="_Toc495501807"/>
    </w:p>
    <w:p>
      <w:pPr>
        <w:pStyle w:val="8"/>
        <w:numPr>
          <w:ilvl w:val="0"/>
          <w:numId w:val="0"/>
        </w:numPr>
        <w:spacing w:beforeLines="0" w:afterLines="0" w:line="360" w:lineRule="exact"/>
        <w:jc w:val="both"/>
        <w:rPr>
          <w:rFonts w:hint="eastAsia" w:ascii="宋体" w:hAnsi="宋体" w:eastAsia="宋体" w:cs="宋体"/>
          <w:color w:val="auto"/>
          <w:sz w:val="22"/>
          <w:szCs w:val="22"/>
          <w:highlight w:val="none"/>
          <w:lang w:val="en-US"/>
        </w:rPr>
      </w:pPr>
    </w:p>
    <w:p>
      <w:pPr>
        <w:pStyle w:val="8"/>
        <w:numPr>
          <w:ilvl w:val="0"/>
          <w:numId w:val="0"/>
        </w:numPr>
        <w:spacing w:beforeLines="0" w:afterLines="0" w:line="36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第三节 合同文件格式</w:t>
      </w:r>
      <w:bookmarkEnd w:id="613"/>
      <w:bookmarkEnd w:id="614"/>
      <w:bookmarkEnd w:id="615"/>
    </w:p>
    <w:p>
      <w:pPr>
        <w:spacing w:beforeLines="0" w:afterLines="0" w:line="50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1.合同文件格式</w:t>
      </w:r>
    </w:p>
    <w:p>
      <w:pPr>
        <w:spacing w:beforeLines="0" w:afterLines="0"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依据设计文件的要求，本工程采购项目的材料、设备、施工必须达到现行中华人民共和国以及自治区和行业的工程建设标准、规范的要求。</w:t>
      </w:r>
    </w:p>
    <w:p>
      <w:pPr>
        <w:adjustRightInd w:val="0"/>
        <w:spacing w:beforeLines="0" w:afterLines="0" w:line="500" w:lineRule="exact"/>
        <w:ind w:left="2" w:firstLine="442" w:firstLineChars="20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 建设工程施工合同的“合同条件”采用国家工商行政管理局和建设部颁发的《建设工程施工合同》（</w:t>
      </w:r>
      <w:r>
        <w:rPr>
          <w:rFonts w:hint="eastAsia" w:ascii="宋体" w:hAnsi="宋体" w:eastAsia="宋体" w:cs="宋体"/>
          <w:b/>
          <w:color w:val="auto"/>
          <w:sz w:val="22"/>
          <w:szCs w:val="22"/>
          <w:highlight w:val="none"/>
        </w:rPr>
        <w:t xml:space="preserve"> </w:t>
      </w:r>
      <w:r>
        <w:rPr>
          <w:rFonts w:hint="eastAsia" w:ascii="宋体" w:hAnsi="宋体" w:eastAsia="宋体" w:cs="宋体"/>
          <w:b/>
          <w:color w:val="auto"/>
          <w:sz w:val="22"/>
          <w:szCs w:val="22"/>
          <w:highlight w:val="none"/>
          <w:u w:val="single"/>
        </w:rPr>
        <w:t>GF-201</w:t>
      </w:r>
      <w:r>
        <w:rPr>
          <w:rFonts w:hint="eastAsia" w:ascii="宋体" w:hAnsi="宋体" w:eastAsia="宋体" w:cs="宋体"/>
          <w:b/>
          <w:color w:val="auto"/>
          <w:sz w:val="22"/>
          <w:szCs w:val="22"/>
          <w:highlight w:val="none"/>
          <w:u w:val="single"/>
          <w:lang w:val="en-US"/>
        </w:rPr>
        <w:t>7</w:t>
      </w:r>
      <w:r>
        <w:rPr>
          <w:rFonts w:hint="eastAsia" w:ascii="宋体" w:hAnsi="宋体" w:eastAsia="宋体" w:cs="宋体"/>
          <w:b/>
          <w:color w:val="auto"/>
          <w:sz w:val="22"/>
          <w:szCs w:val="22"/>
          <w:highlight w:val="none"/>
          <w:u w:val="single"/>
        </w:rPr>
        <w:t>-0201</w:t>
      </w:r>
      <w:r>
        <w:rPr>
          <w:rFonts w:hint="eastAsia" w:ascii="宋体" w:hAnsi="宋体" w:eastAsia="宋体" w:cs="宋体"/>
          <w:color w:val="auto"/>
          <w:sz w:val="22"/>
          <w:szCs w:val="22"/>
          <w:highlight w:val="none"/>
        </w:rPr>
        <w:t xml:space="preserve"> ）的合同条件。</w:t>
      </w:r>
    </w:p>
    <w:p>
      <w:pPr>
        <w:spacing w:beforeLines="0" w:afterLines="0" w:line="5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 合同协议条款将由建设单位（发包人）与中标单位（承包人）结合本工程具体情况协商后签订。</w:t>
      </w:r>
      <w:bookmarkEnd w:id="150"/>
      <w:bookmarkEnd w:id="151"/>
      <w:bookmarkEnd w:id="152"/>
      <w:bookmarkEnd w:id="153"/>
    </w:p>
    <w:p>
      <w:pPr>
        <w:widowControl/>
        <w:jc w:val="left"/>
        <w:rPr>
          <w:rFonts w:hint="eastAsia" w:ascii="宋体" w:hAnsi="宋体" w:eastAsia="宋体" w:cs="宋体"/>
          <w:color w:val="auto"/>
          <w:kern w:val="0"/>
          <w:sz w:val="22"/>
          <w:szCs w:val="22"/>
          <w:highlight w:val="none"/>
        </w:rPr>
      </w:pPr>
    </w:p>
    <w:p>
      <w:pPr>
        <w:ind w:firstLine="0" w:firstLineChars="0"/>
        <w:rPr>
          <w:rFonts w:hint="eastAsia" w:ascii="宋体" w:hAnsi="宋体" w:eastAsia="宋体" w:cs="宋体"/>
          <w:b/>
          <w:bCs/>
          <w:color w:val="auto"/>
          <w:sz w:val="22"/>
          <w:szCs w:val="22"/>
          <w:highlight w:val="none"/>
          <w:lang w:val="en-US" w:eastAsia="zh-CN"/>
        </w:rPr>
      </w:pPr>
      <w:bookmarkStart w:id="616" w:name="_Toc44690622"/>
      <w:bookmarkStart w:id="617" w:name="_Toc489536690"/>
      <w:r>
        <w:rPr>
          <w:rFonts w:hint="eastAsia" w:ascii="宋体" w:hAnsi="宋体" w:eastAsia="宋体" w:cs="宋体"/>
          <w:b/>
          <w:bCs/>
          <w:color w:val="auto"/>
          <w:sz w:val="22"/>
          <w:szCs w:val="22"/>
          <w:highlight w:val="none"/>
          <w:lang w:val="en-US" w:eastAsia="zh-CN"/>
        </w:rPr>
        <w:br w:type="page"/>
      </w:r>
    </w:p>
    <w:p>
      <w:pPr>
        <w:pStyle w:val="21"/>
        <w:rPr>
          <w:rFonts w:hint="eastAsia"/>
          <w:lang w:val="en-US" w:eastAsia="zh-CN"/>
        </w:rPr>
      </w:pPr>
    </w:p>
    <w:p>
      <w:pPr>
        <w:ind w:firstLine="1104" w:firstLineChars="500"/>
        <w:rPr>
          <w:rFonts w:hint="eastAsia" w:ascii="宋体" w:hAnsi="宋体" w:eastAsia="宋体" w:cs="宋体"/>
          <w:b/>
          <w:bCs/>
          <w:color w:val="auto"/>
          <w:sz w:val="22"/>
          <w:szCs w:val="22"/>
          <w:highlight w:val="none"/>
          <w:lang w:val="en-US" w:eastAsia="zh-CN"/>
        </w:rPr>
      </w:pPr>
    </w:p>
    <w:p>
      <w:pPr>
        <w:ind w:firstLine="1104" w:firstLineChars="500"/>
        <w:rPr>
          <w:rFonts w:hint="eastAsia" w:ascii="宋体" w:hAnsi="宋体" w:eastAsia="宋体" w:cs="宋体"/>
          <w:b/>
          <w:bCs/>
          <w:color w:val="auto"/>
          <w:sz w:val="22"/>
          <w:szCs w:val="22"/>
          <w:highlight w:val="none"/>
          <w:lang w:val="en-US" w:eastAsia="zh-CN"/>
        </w:rPr>
      </w:pPr>
    </w:p>
    <w:p>
      <w:pPr>
        <w:ind w:firstLine="2570" w:firstLineChars="80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lang w:val="en-US" w:eastAsia="zh-CN"/>
        </w:rPr>
        <w:t xml:space="preserve">第七部分 </w:t>
      </w:r>
      <w:r>
        <w:rPr>
          <w:rFonts w:hint="eastAsia" w:ascii="宋体" w:hAnsi="宋体" w:eastAsia="宋体" w:cs="宋体"/>
          <w:b/>
          <w:bCs/>
          <w:color w:val="auto"/>
          <w:sz w:val="32"/>
          <w:szCs w:val="32"/>
          <w:highlight w:val="none"/>
        </w:rPr>
        <w:t>响应文件内容要求及格式</w:t>
      </w:r>
      <w:bookmarkEnd w:id="616"/>
      <w:bookmarkEnd w:id="617"/>
    </w:p>
    <w:p>
      <w:pPr>
        <w:spacing w:beforeLines="0" w:afterLines="0" w:line="440" w:lineRule="exact"/>
        <w:ind w:firstLine="2209" w:firstLineChars="1000"/>
        <w:jc w:val="both"/>
        <w:rPr>
          <w:rFonts w:hint="eastAsia" w:ascii="宋体" w:hAnsi="宋体" w:eastAsia="宋体" w:cs="宋体"/>
          <w:b/>
          <w:color w:val="auto"/>
          <w:sz w:val="22"/>
          <w:szCs w:val="22"/>
          <w:highlight w:val="none"/>
        </w:rPr>
      </w:pPr>
    </w:p>
    <w:p>
      <w:pPr>
        <w:spacing w:beforeLines="0" w:afterLines="0" w:line="440" w:lineRule="exact"/>
        <w:ind w:firstLine="3092" w:firstLineChars="1100"/>
        <w:jc w:val="both"/>
        <w:rPr>
          <w:rFonts w:hint="default"/>
          <w:b/>
          <w:color w:val="auto"/>
          <w:sz w:val="28"/>
          <w:szCs w:val="28"/>
          <w:highlight w:val="none"/>
        </w:rPr>
      </w:pPr>
      <w:r>
        <w:rPr>
          <w:rFonts w:hint="eastAsia" w:eastAsia="宋体"/>
          <w:b/>
          <w:color w:val="auto"/>
          <w:sz w:val="28"/>
          <w:szCs w:val="28"/>
          <w:highlight w:val="none"/>
          <w:lang w:val="en-US" w:eastAsia="zh-CN"/>
        </w:rPr>
        <w:t>谈判</w:t>
      </w:r>
      <w:r>
        <w:rPr>
          <w:rFonts w:hint="default"/>
          <w:b/>
          <w:color w:val="auto"/>
          <w:sz w:val="28"/>
          <w:szCs w:val="28"/>
          <w:highlight w:val="none"/>
        </w:rPr>
        <w:t>响应文件封面</w:t>
      </w:r>
      <w:r>
        <w:rPr>
          <w:rFonts w:hint="default"/>
          <w:b/>
          <w:color w:val="auto"/>
          <w:sz w:val="28"/>
          <w:szCs w:val="28"/>
          <w:highlight w:val="none"/>
          <w:lang w:val="en-US"/>
        </w:rPr>
        <w:t>格式</w:t>
      </w:r>
    </w:p>
    <w:p>
      <w:pPr>
        <w:spacing w:beforeLines="0" w:afterLines="0" w:line="440" w:lineRule="exact"/>
        <w:ind w:firstLine="480" w:firstLineChars="200"/>
        <w:rPr>
          <w:rFonts w:hint="default"/>
          <w:color w:val="auto"/>
          <w:sz w:val="24"/>
          <w:szCs w:val="24"/>
          <w:highlight w:val="none"/>
        </w:rPr>
      </w:pPr>
      <w:r>
        <w:rPr>
          <w:rFonts w:hint="default"/>
          <w:color w:val="auto"/>
          <w:sz w:val="24"/>
          <w:szCs w:val="24"/>
          <w:highlight w:val="none"/>
        </w:rPr>
        <mc:AlternateContent>
          <mc:Choice Requires="wpg">
            <w:drawing>
              <wp:anchor distT="0" distB="0" distL="114300" distR="114300" simplePos="0" relativeHeight="251667456" behindDoc="1" locked="0" layoutInCell="1" allowOverlap="1">
                <wp:simplePos x="0" y="0"/>
                <wp:positionH relativeFrom="page">
                  <wp:posOffset>808990</wp:posOffset>
                </wp:positionH>
                <wp:positionV relativeFrom="page">
                  <wp:posOffset>2040890</wp:posOffset>
                </wp:positionV>
                <wp:extent cx="6075045" cy="5807710"/>
                <wp:effectExtent l="1905" t="2540" r="19050" b="19050"/>
                <wp:wrapNone/>
                <wp:docPr id="12" name="组合 255"/>
                <wp:cNvGraphicFramePr/>
                <a:graphic xmlns:a="http://schemas.openxmlformats.org/drawingml/2006/main">
                  <a:graphicData uri="http://schemas.microsoft.com/office/word/2010/wordprocessingGroup">
                    <wpg:wgp>
                      <wpg:cNvGrpSpPr/>
                      <wpg:grpSpPr>
                        <a:xfrm>
                          <a:off x="0" y="0"/>
                          <a:ext cx="6075045" cy="5807710"/>
                          <a:chOff x="1020" y="2302"/>
                          <a:chExt cx="9866" cy="12278"/>
                        </a:xfrm>
                      </wpg:grpSpPr>
                      <wps:wsp>
                        <wps:cNvPr id="6" name="矩形 256"/>
                        <wps:cNvSpPr/>
                        <wps:spPr>
                          <a:xfrm>
                            <a:off x="1020" y="2302"/>
                            <a:ext cx="10" cy="10"/>
                          </a:xfrm>
                          <a:prstGeom prst="rect">
                            <a:avLst/>
                          </a:prstGeom>
                          <a:solidFill>
                            <a:srgbClr val="000000"/>
                          </a:solidFill>
                          <a:ln>
                            <a:noFill/>
                          </a:ln>
                        </wps:spPr>
                        <wps:bodyPr vert="horz" wrap="square" anchor="t" anchorCtr="0" upright="1"/>
                      </wps:wsp>
                      <wps:wsp>
                        <wps:cNvPr id="7" name="直线 257"/>
                        <wps:cNvCnPr/>
                        <wps:spPr>
                          <a:xfrm>
                            <a:off x="1030" y="2307"/>
                            <a:ext cx="9846" cy="0"/>
                          </a:xfrm>
                          <a:prstGeom prst="line">
                            <a:avLst/>
                          </a:prstGeom>
                          <a:ln w="6096" cap="flat" cmpd="sng">
                            <a:solidFill>
                              <a:srgbClr val="000000"/>
                            </a:solidFill>
                            <a:prstDash val="solid"/>
                            <a:headEnd type="none" w="med" len="med"/>
                            <a:tailEnd type="none" w="med" len="med"/>
                          </a:ln>
                        </wps:spPr>
                        <wps:bodyPr upright="1"/>
                      </wps:wsp>
                      <wps:wsp>
                        <wps:cNvPr id="8" name="矩形 258"/>
                        <wps:cNvSpPr/>
                        <wps:spPr>
                          <a:xfrm>
                            <a:off x="10876" y="2302"/>
                            <a:ext cx="10" cy="10"/>
                          </a:xfrm>
                          <a:prstGeom prst="rect">
                            <a:avLst/>
                          </a:prstGeom>
                          <a:solidFill>
                            <a:srgbClr val="000000"/>
                          </a:solidFill>
                          <a:ln>
                            <a:noFill/>
                          </a:ln>
                        </wps:spPr>
                        <wps:bodyPr vert="horz" wrap="square" anchor="t" anchorCtr="0" upright="1"/>
                      </wps:wsp>
                      <wps:wsp>
                        <wps:cNvPr id="9" name="直线 259"/>
                        <wps:cNvCnPr/>
                        <wps:spPr>
                          <a:xfrm>
                            <a:off x="1025" y="2312"/>
                            <a:ext cx="0" cy="12268"/>
                          </a:xfrm>
                          <a:prstGeom prst="line">
                            <a:avLst/>
                          </a:prstGeom>
                          <a:ln w="6096" cap="flat" cmpd="sng">
                            <a:solidFill>
                              <a:srgbClr val="000000"/>
                            </a:solidFill>
                            <a:prstDash val="solid"/>
                            <a:headEnd type="none" w="med" len="med"/>
                            <a:tailEnd type="none" w="med" len="med"/>
                          </a:ln>
                        </wps:spPr>
                        <wps:bodyPr upright="1"/>
                      </wps:wsp>
                      <wps:wsp>
                        <wps:cNvPr id="10" name="直线 260"/>
                        <wps:cNvCnPr/>
                        <wps:spPr>
                          <a:xfrm>
                            <a:off x="1030" y="14575"/>
                            <a:ext cx="9846" cy="0"/>
                          </a:xfrm>
                          <a:prstGeom prst="line">
                            <a:avLst/>
                          </a:prstGeom>
                          <a:ln w="6096" cap="flat" cmpd="sng">
                            <a:solidFill>
                              <a:srgbClr val="000000"/>
                            </a:solidFill>
                            <a:prstDash val="solid"/>
                            <a:headEnd type="none" w="med" len="med"/>
                            <a:tailEnd type="none" w="med" len="med"/>
                          </a:ln>
                        </wps:spPr>
                        <wps:bodyPr upright="1"/>
                      </wps:wsp>
                      <wps:wsp>
                        <wps:cNvPr id="11" name="直线 261"/>
                        <wps:cNvCnPr/>
                        <wps:spPr>
                          <a:xfrm>
                            <a:off x="10881" y="2312"/>
                            <a:ext cx="0" cy="1226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55" o:spid="_x0000_s1026" o:spt="203" style="position:absolute;left:0pt;margin-left:63.7pt;margin-top:160.7pt;height:457.3pt;width:478.35pt;mso-position-horizontal-relative:page;mso-position-vertical-relative:page;z-index:-251649024;mso-width-relative:page;mso-height-relative:page;" coordorigin="1020,2302" coordsize="9866,12278" o:gfxdata="UEsDBAoAAAAAAIdO4kAAAAAAAAAAAAAAAAAEAAAAZHJzL1BLAwQUAAAACACHTuJAuTWtA9sAAAAN&#10;AQAADwAAAGRycy9kb3ducmV2LnhtbE2PwWrDMBBE74X+g9hCb40kO02DazmU0PYUCk0KITfF2tgm&#10;lmQsxU7+vutTe9thHrMz+epqWzZgHxrvFMiZAIau9KZxlYKf3cfTEliI2hndeocKbhhgVdzf5Toz&#10;fnTfOGxjxSjEhUwrqGPsMs5DWaPVYeY7dOSdfG91JNlX3PR6pHDb8kSIBbe6cfSh1h2uayzP24tV&#10;8Dnq8S2V78PmfFrfDrvnr/1GolKPD1K8Aot4jX8wTPWpOhTU6egvzgTWkk5e5oQqSBNJx0SI5VwC&#10;O05euhDAi5z/X1H8AlBLAwQUAAAACACHTuJAPn9wx0gDAACIDgAADgAAAGRycy9lMm9Eb2MueG1s&#10;7VfLbhMxFN0j8Q+W93QebZLJqJMumrYbBJUKH+DOeB7SjG1sJ5OwZsGSPQskduxZgRBfU/U3uPY8&#10;2qStSIugLJLFxM9r33POvbb3DxZVieZUqoKzCHs7LkaUxTwpWBbh16+OnwUYKU1YQkrOaISXVOGD&#10;ydMn+7UIqc9zXiZUIjDCVFiLCOdai9BxVJzTiqgdLiiDzpTLimioysxJJKnBelU6vusOnZrLREge&#10;U6Wgddp04tai3MQgT9MiplMezyrKdGNV0pJocEnlhVB4YnebpjTWL9NUUY3KCIOn2n5hESifm68z&#10;2SdhJonIi7jdAtlkC2s+VaRgsGhvako0QTNZ3DBVFbHkiqd6J+aV0zhiEQEvPHcNmxPJZ8L6koV1&#10;JnrQgag11B9sNn4xP5WoSEAJPkaMVMD45fd3Fx/eI38wMPDUIgth1IkUZ+JUtg1ZUzMeL1JZmX/w&#10;BS0ssMseWLrQKIbGoTsauHsDjGLoGwTuaOS10Mc58GPmea4PnEC3v+v6DS1xftTOHwfDYTPZ8/1R&#10;YLqdbmXHbLDfTy1AleoKKvVnUJ3lRFDLgDIgtFDBXlqkPn25+PEZkBo2SNlBPUwqVIDYLRjd4muH&#10;FOBiQWrw6Z0koZBKn1BeIVOIsARlW8GR+XOlGzy6IWZFxcsiOS7K0lZkdn5YSjQnJgrsr4VwZVjJ&#10;zGDGzbTGomkBfDtHTOmcJ0uAARII7CLn8i1GNYRPhNWbGZEUI8JiaI6w7oqHuom3mZBFlsMszy7e&#10;MmUE9g8oG/WUffx6+e0nUDa6Rtkha5XdedqJq5e15+728rQzSdhRNg72WnFaTd/NWVkwoyUS3sFZ&#10;yVBtYmVszBlIU0hpUKwEhKdimZ27wpjajFgjjClReSMAa8E4T8KckuSIJUgvBcQ9g3wPbEa4oglG&#10;JYXjwZTsSE2KcpOR4P3donlUBcCxtha0No8Y9UFkbxK0wQiIWclQnQS2USv+SqId95x1UTu+Z9T6&#10;cOhYyuB4s0LuKOvyrO8PV8+TG6l2G7aPmbhNaLVx22pgaNNsG7f3yNze3mBkbzTb1H1rkv9/U7fn&#10;3dCAvUPcQwNBADa2ieC3J/2DRGCv4PBAsbfy9jFlXkDX6/YiefWAn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uTWtA9sAAAANAQAADwAAAAAAAAABACAAAAAiAAAAZHJzL2Rvd25yZXYueG1sUEsB&#10;AhQAFAAAAAgAh07iQD5/cMdIAwAAiA4AAA4AAAAAAAAAAQAgAAAAKgEAAGRycy9lMm9Eb2MueG1s&#10;UEsFBgAAAAAGAAYAWQEAAOQGAAAAAA==&#10;">
                <o:lock v:ext="edit" aspectratio="f"/>
                <v:rect id="矩形 256" o:spid="_x0000_s1026" o:spt="1" style="position:absolute;left:1020;top:2302;height:10;width:1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v:line id="直线 257" o:spid="_x0000_s1026" o:spt="20" style="position:absolute;left:1030;top:2307;height:0;width:9846;"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258" o:spid="_x0000_s1026" o:spt="1" style="position:absolute;left:10876;top:2302;height:10;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line id="直线 259" o:spid="_x0000_s1026" o:spt="20" style="position:absolute;left:1025;top:2312;height:12268;width:0;"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260" o:spid="_x0000_s1026" o:spt="20" style="position:absolute;left:1030;top:14575;height:0;width:9846;"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61" o:spid="_x0000_s1026" o:spt="20" style="position:absolute;left:10881;top:2312;height:12268;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group>
            </w:pict>
          </mc:Fallback>
        </mc:AlternateContent>
      </w:r>
    </w:p>
    <w:p>
      <w:pPr>
        <w:spacing w:beforeLines="0" w:afterLines="0" w:line="440" w:lineRule="exact"/>
        <w:rPr>
          <w:rFonts w:hint="default"/>
          <w:b/>
          <w:color w:val="auto"/>
          <w:sz w:val="44"/>
          <w:szCs w:val="44"/>
          <w:highlight w:val="none"/>
        </w:rPr>
      </w:pPr>
    </w:p>
    <w:p>
      <w:pPr>
        <w:spacing w:beforeLines="0" w:afterLines="0" w:line="440" w:lineRule="exact"/>
        <w:rPr>
          <w:rFonts w:hint="default"/>
          <w:b/>
          <w:color w:val="auto"/>
          <w:sz w:val="36"/>
          <w:szCs w:val="36"/>
          <w:highlight w:val="none"/>
        </w:rPr>
      </w:pPr>
      <w:r>
        <w:rPr>
          <w:rFonts w:hint="default"/>
          <w:b/>
          <w:color w:val="auto"/>
          <w:sz w:val="36"/>
          <w:szCs w:val="36"/>
          <w:highlight w:val="none"/>
        </w:rPr>
        <w:t>项目名称：</w:t>
      </w:r>
    </w:p>
    <w:p>
      <w:pPr>
        <w:spacing w:beforeLines="0" w:afterLines="0" w:line="440" w:lineRule="exact"/>
        <w:rPr>
          <w:rFonts w:hint="default"/>
          <w:color w:val="auto"/>
          <w:sz w:val="36"/>
          <w:szCs w:val="36"/>
          <w:highlight w:val="none"/>
        </w:rPr>
      </w:pPr>
      <w:r>
        <w:rPr>
          <w:rFonts w:hint="default"/>
          <w:b/>
          <w:color w:val="auto"/>
          <w:sz w:val="36"/>
          <w:szCs w:val="36"/>
          <w:highlight w:val="none"/>
        </w:rPr>
        <w:t>项目编号：</w:t>
      </w:r>
    </w:p>
    <w:p>
      <w:pPr>
        <w:spacing w:beforeLines="0" w:afterLines="0" w:line="440" w:lineRule="exact"/>
        <w:ind w:firstLine="480" w:firstLineChars="200"/>
        <w:rPr>
          <w:rFonts w:hint="default"/>
          <w:color w:val="auto"/>
          <w:sz w:val="24"/>
          <w:szCs w:val="24"/>
          <w:highlight w:val="none"/>
        </w:rPr>
      </w:pPr>
    </w:p>
    <w:p>
      <w:pPr>
        <w:spacing w:beforeLines="0" w:afterLines="0" w:line="800" w:lineRule="exact"/>
        <w:ind w:firstLine="2881" w:firstLineChars="600"/>
        <w:rPr>
          <w:rFonts w:hint="default"/>
          <w:b/>
          <w:color w:val="auto"/>
          <w:sz w:val="48"/>
          <w:szCs w:val="48"/>
          <w:highlight w:val="none"/>
          <w:lang w:val="en-US"/>
        </w:rPr>
      </w:pPr>
    </w:p>
    <w:p>
      <w:pPr>
        <w:spacing w:beforeLines="0" w:afterLines="0" w:line="800" w:lineRule="exact"/>
        <w:ind w:firstLine="2881" w:firstLineChars="600"/>
        <w:rPr>
          <w:rFonts w:hint="default"/>
          <w:b/>
          <w:color w:val="auto"/>
          <w:sz w:val="48"/>
          <w:szCs w:val="48"/>
          <w:highlight w:val="none"/>
          <w:lang w:val="en-US"/>
        </w:rPr>
      </w:pPr>
    </w:p>
    <w:p>
      <w:pPr>
        <w:spacing w:beforeLines="0" w:afterLines="0" w:line="800" w:lineRule="exact"/>
        <w:ind w:firstLine="2891" w:firstLineChars="600"/>
        <w:rPr>
          <w:rFonts w:hint="default"/>
          <w:b/>
          <w:color w:val="auto"/>
          <w:sz w:val="72"/>
          <w:szCs w:val="72"/>
          <w:highlight w:val="none"/>
        </w:rPr>
      </w:pPr>
      <w:r>
        <w:rPr>
          <w:rFonts w:hint="eastAsia" w:eastAsia="宋体"/>
          <w:b/>
          <w:color w:val="auto"/>
          <w:sz w:val="48"/>
          <w:szCs w:val="48"/>
          <w:highlight w:val="none"/>
          <w:lang w:val="en-US" w:eastAsia="zh-CN"/>
        </w:rPr>
        <w:t>谈判</w:t>
      </w:r>
      <w:r>
        <w:rPr>
          <w:rFonts w:hint="default"/>
          <w:b/>
          <w:color w:val="auto"/>
          <w:sz w:val="48"/>
          <w:szCs w:val="48"/>
          <w:highlight w:val="none"/>
        </w:rPr>
        <w:t>响应文件</w:t>
      </w:r>
      <w:r>
        <w:rPr>
          <w:rFonts w:hint="default"/>
          <w:b/>
          <w:color w:val="auto"/>
          <w:sz w:val="72"/>
          <w:szCs w:val="72"/>
          <w:highlight w:val="none"/>
        </w:rPr>
        <w:t xml:space="preserve"> </w:t>
      </w:r>
    </w:p>
    <w:p>
      <w:pPr>
        <w:spacing w:beforeLines="0" w:afterLines="0" w:line="440" w:lineRule="exact"/>
        <w:ind w:firstLine="3522" w:firstLineChars="800"/>
        <w:jc w:val="both"/>
        <w:rPr>
          <w:rFonts w:hint="default"/>
          <w:b/>
          <w:color w:val="auto"/>
          <w:sz w:val="44"/>
          <w:szCs w:val="44"/>
          <w:highlight w:val="none"/>
        </w:rPr>
      </w:pPr>
    </w:p>
    <w:p>
      <w:pPr>
        <w:spacing w:beforeLines="0" w:afterLines="0" w:line="440" w:lineRule="exact"/>
        <w:ind w:firstLine="0" w:firstLineChars="0"/>
        <w:jc w:val="both"/>
        <w:rPr>
          <w:rFonts w:hint="default"/>
          <w:b/>
          <w:color w:val="auto"/>
          <w:sz w:val="24"/>
          <w:szCs w:val="24"/>
          <w:highlight w:val="none"/>
        </w:rPr>
      </w:pPr>
    </w:p>
    <w:p>
      <w:pPr>
        <w:spacing w:beforeLines="0" w:afterLines="0" w:line="440" w:lineRule="exact"/>
        <w:ind w:firstLine="480" w:firstLineChars="200"/>
        <w:rPr>
          <w:rFonts w:hint="default"/>
          <w:b/>
          <w:color w:val="auto"/>
          <w:sz w:val="24"/>
          <w:szCs w:val="24"/>
          <w:highlight w:val="none"/>
        </w:rPr>
      </w:pPr>
    </w:p>
    <w:p>
      <w:pPr>
        <w:spacing w:beforeLines="0" w:afterLines="0" w:line="440" w:lineRule="exact"/>
        <w:rPr>
          <w:rFonts w:hint="default"/>
          <w:b/>
          <w:color w:val="auto"/>
          <w:sz w:val="24"/>
          <w:szCs w:val="24"/>
          <w:highlight w:val="none"/>
        </w:rPr>
      </w:pPr>
    </w:p>
    <w:p>
      <w:pPr>
        <w:spacing w:beforeLines="0" w:afterLines="0" w:line="440" w:lineRule="exact"/>
        <w:ind w:firstLine="480" w:firstLineChars="200"/>
        <w:rPr>
          <w:rFonts w:hint="default"/>
          <w:b/>
          <w:color w:val="auto"/>
          <w:sz w:val="24"/>
          <w:szCs w:val="24"/>
          <w:highlight w:val="none"/>
        </w:rPr>
      </w:pPr>
    </w:p>
    <w:p>
      <w:pPr>
        <w:spacing w:beforeLines="0" w:afterLines="0" w:line="440" w:lineRule="exact"/>
        <w:ind w:firstLine="480" w:firstLineChars="200"/>
        <w:rPr>
          <w:rFonts w:hint="default"/>
          <w:b/>
          <w:color w:val="auto"/>
          <w:sz w:val="24"/>
          <w:szCs w:val="24"/>
          <w:highlight w:val="none"/>
        </w:rPr>
      </w:pPr>
      <w:r>
        <w:rPr>
          <w:rFonts w:hint="default"/>
          <w:b/>
          <w:color w:val="auto"/>
          <w:sz w:val="24"/>
          <w:szCs w:val="24"/>
          <w:highlight w:val="none"/>
        </w:rPr>
        <w:t xml:space="preserve"> </w:t>
      </w:r>
    </w:p>
    <w:p>
      <w:pPr>
        <w:spacing w:beforeLines="0" w:afterLines="0" w:line="440" w:lineRule="exact"/>
        <w:ind w:firstLine="480" w:firstLineChars="200"/>
        <w:rPr>
          <w:rFonts w:hint="default"/>
          <w:b/>
          <w:color w:val="auto"/>
          <w:sz w:val="24"/>
          <w:szCs w:val="24"/>
          <w:highlight w:val="none"/>
          <w:u w:val="single"/>
          <w:lang w:val="en-US"/>
        </w:rPr>
      </w:pPr>
      <w:r>
        <w:rPr>
          <w:rFonts w:hint="default"/>
          <w:b/>
          <w:color w:val="auto"/>
          <w:sz w:val="24"/>
          <w:szCs w:val="24"/>
          <w:highlight w:val="none"/>
        </w:rPr>
        <w:t>供应商名称（加盖公章）：</w:t>
      </w:r>
      <w:r>
        <w:rPr>
          <w:rFonts w:hint="default"/>
          <w:b/>
          <w:color w:val="auto"/>
          <w:sz w:val="24"/>
          <w:szCs w:val="24"/>
          <w:highlight w:val="none"/>
          <w:u w:val="single"/>
          <w:lang w:val="en-US"/>
        </w:rPr>
        <w:t xml:space="preserve">                                </w:t>
      </w:r>
    </w:p>
    <w:p>
      <w:pPr>
        <w:spacing w:beforeLines="0" w:afterLines="0" w:line="440" w:lineRule="exact"/>
        <w:ind w:firstLine="480" w:firstLineChars="200"/>
        <w:rPr>
          <w:rFonts w:hint="default"/>
          <w:b/>
          <w:color w:val="auto"/>
          <w:sz w:val="24"/>
          <w:szCs w:val="24"/>
          <w:highlight w:val="none"/>
        </w:rPr>
      </w:pPr>
    </w:p>
    <w:p>
      <w:pPr>
        <w:spacing w:beforeLines="0" w:afterLines="0" w:line="440" w:lineRule="exact"/>
        <w:ind w:firstLine="480" w:firstLineChars="200"/>
        <w:rPr>
          <w:rFonts w:hint="default"/>
          <w:b/>
          <w:color w:val="auto"/>
          <w:sz w:val="24"/>
          <w:szCs w:val="24"/>
          <w:highlight w:val="none"/>
        </w:rPr>
      </w:pPr>
    </w:p>
    <w:p>
      <w:pPr>
        <w:spacing w:beforeLines="0" w:afterLines="0"/>
        <w:rPr>
          <w:rFonts w:hint="default"/>
          <w:color w:val="auto"/>
          <w:sz w:val="22"/>
          <w:szCs w:val="22"/>
          <w:highlight w:val="none"/>
        </w:rPr>
      </w:pPr>
    </w:p>
    <w:p>
      <w:pPr>
        <w:spacing w:beforeLines="0" w:afterLines="0"/>
        <w:rPr>
          <w:rFonts w:hint="default"/>
          <w:color w:val="auto"/>
          <w:sz w:val="22"/>
          <w:szCs w:val="22"/>
          <w:highlight w:val="none"/>
        </w:rPr>
      </w:pPr>
    </w:p>
    <w:p>
      <w:pPr>
        <w:spacing w:beforeLines="0" w:afterLines="0"/>
        <w:rPr>
          <w:rFonts w:hint="default"/>
          <w:color w:val="auto"/>
          <w:sz w:val="22"/>
          <w:szCs w:val="22"/>
          <w:highlight w:val="none"/>
        </w:rPr>
      </w:pPr>
    </w:p>
    <w:p>
      <w:pPr>
        <w:spacing w:beforeLines="0" w:afterLines="0"/>
        <w:rPr>
          <w:rFonts w:hint="default"/>
          <w:color w:val="auto"/>
          <w:sz w:val="22"/>
          <w:szCs w:val="22"/>
          <w:highlight w:val="none"/>
        </w:rPr>
        <w:sectPr>
          <w:headerReference r:id="rId8" w:type="default"/>
          <w:footerReference r:id="rId9" w:type="default"/>
          <w:pgSz w:w="11910" w:h="16840"/>
          <w:pgMar w:top="1984" w:right="1531" w:bottom="2098" w:left="1531" w:header="670" w:footer="1041" w:gutter="0"/>
          <w:lnNumType w:countBy="0" w:distance="360"/>
          <w:pgNumType w:fmt="numberInDash" w:chapStyle="1"/>
          <w:cols w:space="720" w:num="1"/>
          <w:titlePg/>
          <w:docGrid w:type="lines" w:linePitch="1" w:charSpace="0"/>
        </w:sectPr>
      </w:pPr>
    </w:p>
    <w:p>
      <w:pPr>
        <w:spacing w:beforeLines="0" w:afterLines="0" w:line="440" w:lineRule="exact"/>
        <w:ind w:firstLine="3313" w:firstLineChars="15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响应文件主要目录</w:t>
      </w:r>
    </w:p>
    <w:p>
      <w:pPr>
        <w:spacing w:beforeLines="0" w:afterLines="0" w:line="440" w:lineRule="exact"/>
        <w:ind w:firstLine="643"/>
        <w:jc w:val="center"/>
        <w:rPr>
          <w:rFonts w:hint="eastAsia" w:ascii="宋体" w:hAnsi="宋体" w:eastAsia="宋体" w:cs="宋体"/>
          <w:b/>
          <w:color w:val="auto"/>
          <w:sz w:val="22"/>
          <w:szCs w:val="22"/>
          <w:highlight w:val="none"/>
        </w:rPr>
      </w:pPr>
    </w:p>
    <w:p>
      <w:pPr>
        <w:spacing w:beforeLines="0" w:afterLine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 xml:space="preserve">一、自查表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1.1 资格审查自查表 </w:t>
      </w:r>
    </w:p>
    <w:p>
      <w:pPr>
        <w:pStyle w:val="21"/>
        <w:spacing w:beforeLines="0" w:afterLines="0"/>
        <w:ind w:lef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1.2 符合性审查自查表 </w:t>
      </w:r>
    </w:p>
    <w:p>
      <w:pPr>
        <w:spacing w:beforeLines="0" w:afterLines="0"/>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二、商务文件</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2.1 </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 xml:space="preserve">响应函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2.2 商务需求条款响应表 </w:t>
      </w:r>
    </w:p>
    <w:p>
      <w:pPr>
        <w:pStyle w:val="110"/>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zh-CN"/>
        </w:rPr>
        <w:t>2.3 拟派项目负责人及管理技术人员一览表</w:t>
      </w:r>
      <w:r>
        <w:rPr>
          <w:rFonts w:hint="eastAsia" w:ascii="宋体" w:hAnsi="宋体" w:eastAsia="宋体" w:cs="宋体"/>
          <w:color w:val="auto"/>
          <w:sz w:val="22"/>
          <w:szCs w:val="22"/>
          <w:highlight w:val="none"/>
        </w:rPr>
        <w:t xml:space="preserve">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rPr>
        <w:t xml:space="preserve"> 同类项目业绩情况一览表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rPr>
        <w:t xml:space="preserve"> 项目团队</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rPr>
        <w:t xml:space="preserve"> 中小企业声明函（（可选）） </w:t>
      </w:r>
    </w:p>
    <w:p>
      <w:pPr>
        <w:pStyle w:val="21"/>
        <w:spacing w:beforeLines="0" w:afterLines="0"/>
        <w:ind w:left="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rPr>
        <w:t xml:space="preserve"> 残疾人福利性单位声明函（可选）</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rPr>
        <w:t xml:space="preserve"> 监狱企业证明（可选）</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三、技术文件</w:t>
      </w:r>
      <w:r>
        <w:rPr>
          <w:rFonts w:hint="eastAsia" w:ascii="宋体" w:hAnsi="宋体" w:eastAsia="宋体" w:cs="宋体"/>
          <w:color w:val="auto"/>
          <w:sz w:val="22"/>
          <w:szCs w:val="22"/>
          <w:highlight w:val="none"/>
          <w:lang w:val="en-US"/>
        </w:rPr>
        <w:t xml:space="preserve">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3.1 技术服务内容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四、价格文件</w:t>
      </w:r>
      <w:r>
        <w:rPr>
          <w:rFonts w:hint="eastAsia" w:ascii="宋体" w:hAnsi="宋体" w:eastAsia="宋体" w:cs="宋体"/>
          <w:color w:val="auto"/>
          <w:sz w:val="22"/>
          <w:szCs w:val="22"/>
          <w:highlight w:val="none"/>
          <w:lang w:val="en-US"/>
        </w:rPr>
        <w:t xml:space="preserve">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4.1 报价一览表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4.2 标价的工程量清单。 </w:t>
      </w:r>
    </w:p>
    <w:p>
      <w:pPr>
        <w:spacing w:beforeLines="0" w:afterLines="0"/>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五、供应商认为需要提供的其他资料</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b/>
          <w:color w:val="auto"/>
          <w:sz w:val="22"/>
          <w:szCs w:val="22"/>
          <w:highlight w:val="none"/>
          <w:lang w:val="en-US"/>
        </w:rPr>
        <w:t>六、其他文件格式</w:t>
      </w:r>
      <w:r>
        <w:rPr>
          <w:rFonts w:hint="eastAsia" w:ascii="宋体" w:hAnsi="宋体" w:eastAsia="宋体" w:cs="宋体"/>
          <w:color w:val="auto"/>
          <w:sz w:val="22"/>
          <w:szCs w:val="22"/>
          <w:highlight w:val="none"/>
          <w:lang w:val="en-US"/>
        </w:rPr>
        <w:t xml:space="preserve">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6.1 法定代表人授权委托书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6.2 供应商资格声明函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6.3 具备履行合同所必需的设备和专业技术能力的书面声明</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6.4 参加政府采购活动前 3 年内在经营活动中没有重大违法记录的书面声明</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6.5 政府采购供应商质疑函范本</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6.6 联合体共同投标合同书（可选）</w:t>
      </w: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注：请供应商按照以下文件的要求格式、内容，顺序制作</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 xml:space="preserve">响应文件，并请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编制目录及页码，否则可能将影响对</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响应文件的评价。</w:t>
      </w:r>
    </w:p>
    <w:p>
      <w:pPr>
        <w:spacing w:beforeLines="0" w:afterLines="0" w:line="440" w:lineRule="exact"/>
        <w:ind w:firstLine="2650" w:firstLineChars="1200"/>
        <w:rPr>
          <w:rFonts w:hint="eastAsia" w:ascii="宋体" w:hAnsi="宋体" w:eastAsia="宋体" w:cs="宋体"/>
          <w:b/>
          <w:color w:val="auto"/>
          <w:sz w:val="22"/>
          <w:szCs w:val="22"/>
          <w:highlight w:val="none"/>
        </w:rPr>
      </w:pPr>
    </w:p>
    <w:p>
      <w:pPr>
        <w:pStyle w:val="21"/>
        <w:spacing w:beforeLines="0" w:afterLines="0"/>
        <w:rPr>
          <w:rFonts w:hint="eastAsia" w:ascii="宋体" w:hAnsi="宋体" w:eastAsia="宋体" w:cs="宋体"/>
          <w:b/>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color w:val="auto"/>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rPr>
          <w:rFonts w:hint="eastAsia"/>
          <w:color w:val="auto"/>
          <w:highlight w:val="none"/>
        </w:rPr>
      </w:pPr>
    </w:p>
    <w:p>
      <w:pPr>
        <w:pStyle w:val="21"/>
        <w:rPr>
          <w:rFonts w:hint="eastAsia" w:ascii="宋体" w:hAnsi="宋体" w:eastAsia="宋体" w:cs="宋体"/>
          <w:color w:val="auto"/>
          <w:sz w:val="22"/>
          <w:szCs w:val="22"/>
          <w:highlight w:val="none"/>
        </w:r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一、自查表</w:t>
      </w:r>
    </w:p>
    <w:p>
      <w:pPr>
        <w:pStyle w:val="21"/>
        <w:spacing w:beforeLines="0" w:afterLines="0"/>
        <w:ind w:left="0"/>
        <w:rPr>
          <w:rFonts w:hint="eastAsia" w:ascii="宋体" w:hAnsi="宋体" w:eastAsia="宋体" w:cs="宋体"/>
          <w:b/>
          <w:color w:val="auto"/>
          <w:sz w:val="22"/>
          <w:szCs w:val="22"/>
          <w:highlight w:val="none"/>
        </w:rPr>
      </w:pPr>
    </w:p>
    <w:p>
      <w:pPr>
        <w:spacing w:beforeLines="0" w:afterLines="0" w:line="440" w:lineRule="exact"/>
        <w:ind w:firstLine="2650" w:firstLineChars="1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 xml:space="preserve">1.1 </w:t>
      </w:r>
      <w:r>
        <w:rPr>
          <w:rFonts w:hint="eastAsia" w:ascii="宋体" w:hAnsi="宋体" w:eastAsia="宋体" w:cs="宋体"/>
          <w:b/>
          <w:color w:val="auto"/>
          <w:sz w:val="22"/>
          <w:szCs w:val="22"/>
          <w:highlight w:val="none"/>
        </w:rPr>
        <w:t xml:space="preserve">资格审查自查表 </w:t>
      </w:r>
    </w:p>
    <w:p>
      <w:pPr>
        <w:spacing w:beforeLines="0" w:afterLines="0" w:line="440" w:lineRule="exact"/>
        <w:ind w:firstLine="440" w:firstLineChars="200"/>
        <w:rPr>
          <w:rFonts w:hint="eastAsia" w:ascii="宋体" w:hAnsi="宋体" w:eastAsia="宋体" w:cs="宋体"/>
          <w:color w:val="auto"/>
          <w:sz w:val="22"/>
          <w:szCs w:val="22"/>
          <w:highlight w:val="none"/>
        </w:rPr>
      </w:pPr>
    </w:p>
    <w:tbl>
      <w:tblPr>
        <w:tblStyle w:val="42"/>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1" w:firstLineChars="1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w:t>
            </w:r>
          </w:p>
          <w:p>
            <w:pPr>
              <w:spacing w:beforeLines="0" w:afterLines="0" w:line="440" w:lineRule="exact"/>
              <w:ind w:firstLine="221" w:firstLineChars="1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号</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1767" w:firstLineChars="8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文件要求 </w:t>
            </w:r>
          </w:p>
          <w:p>
            <w:pPr>
              <w:spacing w:beforeLines="0" w:afterLines="0" w:line="440" w:lineRule="exact"/>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审查内容</w:t>
            </w:r>
            <w:r>
              <w:rPr>
                <w:rFonts w:hint="eastAsia" w:ascii="宋体" w:hAnsi="宋体" w:eastAsia="宋体" w:cs="宋体"/>
                <w:b/>
                <w:color w:val="auto"/>
                <w:sz w:val="22"/>
                <w:szCs w:val="22"/>
                <w:highlight w:val="none"/>
              </w:rPr>
              <w:t>详见</w:t>
            </w:r>
            <w:r>
              <w:rPr>
                <w:rFonts w:hint="eastAsia" w:ascii="宋体" w:hAnsi="宋体" w:eastAsia="宋体" w:cs="宋体"/>
                <w:b/>
                <w:color w:val="auto"/>
                <w:sz w:val="22"/>
                <w:szCs w:val="22"/>
                <w:highlight w:val="none"/>
                <w:lang w:val="en-US" w:eastAsia="zh-CN"/>
              </w:rPr>
              <w:t>谈判文件</w:t>
            </w:r>
            <w:r>
              <w:rPr>
                <w:rFonts w:hint="eastAsia" w:ascii="宋体" w:hAnsi="宋体" w:eastAsia="宋体" w:cs="宋体"/>
                <w:b/>
                <w:color w:val="auto"/>
                <w:sz w:val="22"/>
                <w:szCs w:val="22"/>
                <w:highlight w:val="none"/>
                <w:lang w:val="en-US"/>
              </w:rPr>
              <w:t>第</w:t>
            </w:r>
            <w:r>
              <w:rPr>
                <w:rFonts w:hint="eastAsia" w:ascii="宋体" w:hAnsi="宋体" w:eastAsia="宋体" w:cs="宋体"/>
                <w:b/>
                <w:color w:val="auto"/>
                <w:sz w:val="22"/>
                <w:szCs w:val="22"/>
                <w:highlight w:val="none"/>
                <w:lang w:val="en-US" w:eastAsia="zh-CN"/>
              </w:rPr>
              <w:t>五</w:t>
            </w:r>
            <w:r>
              <w:rPr>
                <w:rFonts w:hint="eastAsia" w:ascii="宋体" w:hAnsi="宋体" w:eastAsia="宋体" w:cs="宋体"/>
                <w:b/>
                <w:color w:val="auto"/>
                <w:sz w:val="22"/>
                <w:szCs w:val="22"/>
                <w:highlight w:val="none"/>
                <w:lang w:val="en-US"/>
              </w:rPr>
              <w:t>部分：《资格审查</w:t>
            </w:r>
            <w:r>
              <w:rPr>
                <w:rFonts w:hint="eastAsia" w:ascii="宋体" w:hAnsi="宋体" w:eastAsia="宋体" w:cs="宋体"/>
                <w:b/>
                <w:color w:val="auto"/>
                <w:sz w:val="22"/>
                <w:szCs w:val="22"/>
                <w:highlight w:val="none"/>
                <w:lang w:val="en-US" w:eastAsia="zh-CN"/>
              </w:rPr>
              <w:t>表</w:t>
            </w:r>
            <w:r>
              <w:rPr>
                <w:rFonts w:hint="eastAsia" w:ascii="宋体" w:hAnsi="宋体" w:eastAsia="宋体" w:cs="宋体"/>
                <w:b/>
                <w:color w:val="auto"/>
                <w:sz w:val="22"/>
                <w:szCs w:val="22"/>
                <w:highlight w:val="none"/>
                <w:lang w:val="en-US"/>
              </w:rPr>
              <w:t>》</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2" w:firstLineChars="200"/>
              <w:rPr>
                <w:rFonts w:hint="eastAsia" w:ascii="宋体" w:hAnsi="宋体" w:eastAsia="宋体" w:cs="宋体"/>
                <w:b/>
                <w:color w:val="auto"/>
                <w:sz w:val="22"/>
                <w:szCs w:val="22"/>
                <w:highlight w:val="none"/>
              </w:rPr>
            </w:pP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自查结论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both"/>
              <w:rPr>
                <w:rFonts w:hint="eastAsia" w:ascii="宋体" w:hAnsi="宋体" w:eastAsia="宋体" w:cs="宋体"/>
                <w:color w:val="auto"/>
                <w:sz w:val="22"/>
                <w:szCs w:val="22"/>
                <w:highlight w:val="none"/>
                <w:lang w:val="en-US"/>
              </w:rPr>
            </w:pPr>
          </w:p>
          <w:p>
            <w:pPr>
              <w:spacing w:beforeLines="0" w:afterLines="0"/>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p>
          <w:p>
            <w:pPr>
              <w:pStyle w:val="21"/>
              <w:spacing w:beforeLines="0" w:afterLines="0"/>
              <w:rPr>
                <w:rFonts w:hint="eastAsia" w:ascii="宋体" w:hAnsi="宋体" w:eastAsia="宋体" w:cs="宋体"/>
                <w:color w:val="auto"/>
                <w:sz w:val="22"/>
                <w:szCs w:val="22"/>
                <w:highlight w:val="none"/>
              </w:rPr>
            </w:pP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60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bl>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注：供应商应按照</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文件《资格审查</w:t>
      </w:r>
      <w:r>
        <w:rPr>
          <w:rFonts w:hint="eastAsia" w:ascii="宋体" w:hAnsi="宋体" w:eastAsia="宋体" w:cs="宋体"/>
          <w:color w:val="auto"/>
          <w:sz w:val="22"/>
          <w:szCs w:val="22"/>
          <w:highlight w:val="none"/>
          <w:lang w:val="en-US" w:eastAsia="zh-CN"/>
        </w:rPr>
        <w:t>表</w:t>
      </w:r>
      <w:r>
        <w:rPr>
          <w:rFonts w:hint="eastAsia" w:ascii="宋体" w:hAnsi="宋体" w:eastAsia="宋体" w:cs="宋体"/>
          <w:color w:val="auto"/>
          <w:sz w:val="22"/>
          <w:szCs w:val="22"/>
          <w:highlight w:val="none"/>
        </w:rPr>
        <w:t xml:space="preserve">》 中的内容逐条在上表中填写，在对应的□打“√”。 </w:t>
      </w: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color w:val="auto"/>
          <w:highlight w:val="none"/>
        </w:rPr>
      </w:pPr>
    </w:p>
    <w:p>
      <w:pPr>
        <w:rPr>
          <w:rFonts w:hint="eastAsia"/>
          <w:color w:val="auto"/>
          <w:highlight w:val="none"/>
        </w:rPr>
      </w:pPr>
    </w:p>
    <w:p>
      <w:pPr>
        <w:pStyle w:val="21"/>
        <w:rPr>
          <w:rFonts w:hint="eastAsia"/>
          <w:color w:val="auto"/>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line="440" w:lineRule="exact"/>
        <w:ind w:firstLine="3313" w:firstLineChars="15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 xml:space="preserve">1.2 </w:t>
      </w:r>
      <w:r>
        <w:rPr>
          <w:rFonts w:hint="eastAsia" w:ascii="宋体" w:hAnsi="宋体" w:eastAsia="宋体" w:cs="宋体"/>
          <w:b/>
          <w:color w:val="auto"/>
          <w:sz w:val="22"/>
          <w:szCs w:val="22"/>
          <w:highlight w:val="none"/>
        </w:rPr>
        <w:t xml:space="preserve">符合性审查自查表 </w:t>
      </w:r>
    </w:p>
    <w:p>
      <w:pPr>
        <w:spacing w:beforeLines="0" w:afterLines="0" w:line="440" w:lineRule="exact"/>
        <w:ind w:firstLine="440" w:firstLineChars="200"/>
        <w:rPr>
          <w:rFonts w:hint="eastAsia" w:ascii="宋体" w:hAnsi="宋体" w:eastAsia="宋体" w:cs="宋体"/>
          <w:color w:val="auto"/>
          <w:sz w:val="22"/>
          <w:szCs w:val="22"/>
          <w:highlight w:val="none"/>
        </w:rPr>
      </w:pPr>
    </w:p>
    <w:tbl>
      <w:tblPr>
        <w:tblStyle w:val="42"/>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1" w:firstLineChars="1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w:t>
            </w:r>
          </w:p>
          <w:p>
            <w:pPr>
              <w:spacing w:beforeLines="0" w:afterLines="0" w:line="440" w:lineRule="exact"/>
              <w:ind w:firstLine="221" w:firstLineChars="1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号</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1767" w:firstLineChars="8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文件要求 </w:t>
            </w:r>
          </w:p>
          <w:p>
            <w:pPr>
              <w:spacing w:beforeLines="0" w:afterLines="0"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审查内容</w:t>
            </w:r>
            <w:r>
              <w:rPr>
                <w:rFonts w:hint="eastAsia" w:ascii="宋体" w:hAnsi="宋体" w:eastAsia="宋体" w:cs="宋体"/>
                <w:b/>
                <w:color w:val="auto"/>
                <w:sz w:val="22"/>
                <w:szCs w:val="22"/>
                <w:highlight w:val="none"/>
              </w:rPr>
              <w:t>详见</w:t>
            </w:r>
            <w:r>
              <w:rPr>
                <w:rFonts w:hint="eastAsia" w:ascii="宋体" w:hAnsi="宋体" w:eastAsia="宋体" w:cs="宋体"/>
                <w:b/>
                <w:color w:val="auto"/>
                <w:sz w:val="22"/>
                <w:szCs w:val="22"/>
                <w:highlight w:val="none"/>
                <w:lang w:val="en-US" w:eastAsia="zh-CN"/>
              </w:rPr>
              <w:t>谈判文件</w:t>
            </w:r>
            <w:r>
              <w:rPr>
                <w:rFonts w:hint="eastAsia" w:ascii="宋体" w:hAnsi="宋体" w:eastAsia="宋体" w:cs="宋体"/>
                <w:b/>
                <w:color w:val="auto"/>
                <w:sz w:val="22"/>
                <w:szCs w:val="22"/>
                <w:highlight w:val="none"/>
                <w:lang w:val="en-US"/>
              </w:rPr>
              <w:t>第</w:t>
            </w:r>
            <w:r>
              <w:rPr>
                <w:rFonts w:hint="eastAsia" w:ascii="宋体" w:hAnsi="宋体" w:eastAsia="宋体" w:cs="宋体"/>
                <w:b/>
                <w:color w:val="auto"/>
                <w:sz w:val="22"/>
                <w:szCs w:val="22"/>
                <w:highlight w:val="none"/>
                <w:lang w:val="en-US" w:eastAsia="zh-CN"/>
              </w:rPr>
              <w:t>五</w:t>
            </w:r>
            <w:r>
              <w:rPr>
                <w:rFonts w:hint="eastAsia" w:ascii="宋体" w:hAnsi="宋体" w:eastAsia="宋体" w:cs="宋体"/>
                <w:b/>
                <w:color w:val="auto"/>
                <w:sz w:val="22"/>
                <w:szCs w:val="22"/>
                <w:highlight w:val="none"/>
                <w:lang w:val="en-US"/>
              </w:rPr>
              <w:t>部分：</w:t>
            </w:r>
            <w:r>
              <w:rPr>
                <w:rFonts w:hint="eastAsia" w:ascii="宋体" w:hAnsi="宋体" w:eastAsia="宋体" w:cs="宋体"/>
                <w:b/>
                <w:color w:val="auto"/>
                <w:sz w:val="22"/>
                <w:szCs w:val="22"/>
                <w:highlight w:val="none"/>
              </w:rPr>
              <w:t>《符合性审查</w:t>
            </w:r>
            <w:r>
              <w:rPr>
                <w:rFonts w:hint="eastAsia" w:ascii="宋体" w:hAnsi="宋体" w:eastAsia="宋体" w:cs="宋体"/>
                <w:b/>
                <w:color w:val="auto"/>
                <w:sz w:val="22"/>
                <w:szCs w:val="22"/>
                <w:highlight w:val="none"/>
                <w:lang w:val="en-US" w:eastAsia="zh-CN"/>
              </w:rPr>
              <w:t>表</w:t>
            </w:r>
            <w:r>
              <w:rPr>
                <w:rFonts w:hint="eastAsia" w:ascii="宋体" w:hAnsi="宋体" w:eastAsia="宋体" w:cs="宋体"/>
                <w:b/>
                <w:color w:val="auto"/>
                <w:sz w:val="22"/>
                <w:szCs w:val="22"/>
                <w:highlight w:val="none"/>
              </w:rPr>
              <w:t>》</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2" w:firstLineChars="200"/>
              <w:rPr>
                <w:rFonts w:hint="eastAsia" w:ascii="宋体" w:hAnsi="宋体" w:eastAsia="宋体" w:cs="宋体"/>
                <w:b/>
                <w:color w:val="auto"/>
                <w:sz w:val="22"/>
                <w:szCs w:val="22"/>
                <w:highlight w:val="none"/>
              </w:rPr>
            </w:pP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自查结论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证明资料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见响应文件</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both"/>
              <w:rPr>
                <w:rFonts w:hint="eastAsia" w:ascii="宋体" w:hAnsi="宋体" w:eastAsia="宋体" w:cs="宋体"/>
                <w:color w:val="auto"/>
                <w:sz w:val="22"/>
                <w:szCs w:val="22"/>
                <w:highlight w:val="none"/>
                <w:lang w:val="en-US"/>
              </w:rPr>
            </w:pPr>
          </w:p>
          <w:p>
            <w:pPr>
              <w:spacing w:beforeLines="0" w:afterLines="0"/>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p>
          <w:p>
            <w:pPr>
              <w:pStyle w:val="21"/>
              <w:spacing w:beforeLines="0" w:afterLines="0"/>
              <w:rPr>
                <w:rFonts w:hint="eastAsia" w:ascii="宋体" w:hAnsi="宋体" w:eastAsia="宋体" w:cs="宋体"/>
                <w:color w:val="auto"/>
                <w:sz w:val="22"/>
                <w:szCs w:val="22"/>
                <w:highlight w:val="none"/>
              </w:rPr>
            </w:pP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见响应文件</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见响应文件</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□通过 □不通过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见响应文件第（）页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465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156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bl>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注：供应商应按照</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文件《符合性审查</w:t>
      </w:r>
      <w:r>
        <w:rPr>
          <w:rFonts w:hint="eastAsia" w:ascii="宋体" w:hAnsi="宋体" w:eastAsia="宋体" w:cs="宋体"/>
          <w:color w:val="auto"/>
          <w:sz w:val="22"/>
          <w:szCs w:val="22"/>
          <w:highlight w:val="none"/>
          <w:lang w:val="en-US" w:eastAsia="zh-CN"/>
        </w:rPr>
        <w:t>表</w:t>
      </w:r>
      <w:r>
        <w:rPr>
          <w:rFonts w:hint="eastAsia" w:ascii="宋体" w:hAnsi="宋体" w:eastAsia="宋体" w:cs="宋体"/>
          <w:color w:val="auto"/>
          <w:sz w:val="22"/>
          <w:szCs w:val="22"/>
          <w:highlight w:val="none"/>
        </w:rPr>
        <w:t xml:space="preserve">》中的内容逐条在上表中填写，在对应的□打“√”，并注明证明资料所在响应文件的页码。 </w:t>
      </w:r>
    </w:p>
    <w:p>
      <w:pPr>
        <w:spacing w:beforeLines="0" w:afterLines="0" w:line="440" w:lineRule="exact"/>
        <w:ind w:firstLine="440" w:firstLineChars="20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二、商务文件</w:t>
      </w:r>
    </w:p>
    <w:p>
      <w:pPr>
        <w:spacing w:beforeLines="0" w:afterLines="0" w:line="440" w:lineRule="exact"/>
        <w:jc w:val="center"/>
        <w:rPr>
          <w:rFonts w:hint="eastAsia" w:ascii="宋体" w:hAnsi="宋体" w:eastAsia="宋体" w:cs="宋体"/>
          <w:b/>
          <w:color w:val="auto"/>
          <w:sz w:val="22"/>
          <w:szCs w:val="22"/>
          <w:highlight w:val="none"/>
          <w:lang w:val="en-US"/>
        </w:rPr>
      </w:pPr>
    </w:p>
    <w:p>
      <w:pPr>
        <w:pStyle w:val="9"/>
        <w:spacing w:beforeLines="0" w:afterLine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 xml:space="preserve">2.1 </w:t>
      </w:r>
      <w:r>
        <w:rPr>
          <w:rFonts w:hint="eastAsia" w:ascii="宋体" w:hAnsi="宋体" w:eastAsia="宋体" w:cs="宋体"/>
          <w:b/>
          <w:color w:val="auto"/>
          <w:sz w:val="22"/>
          <w:szCs w:val="22"/>
          <w:highlight w:val="none"/>
          <w:lang w:val="en-US" w:eastAsia="zh-CN"/>
        </w:rPr>
        <w:t>谈判</w:t>
      </w:r>
      <w:r>
        <w:rPr>
          <w:rFonts w:hint="eastAsia" w:ascii="宋体" w:hAnsi="宋体" w:eastAsia="宋体" w:cs="宋体"/>
          <w:b/>
          <w:color w:val="auto"/>
          <w:sz w:val="22"/>
          <w:szCs w:val="22"/>
          <w:highlight w:val="none"/>
          <w:lang w:val="en-US"/>
        </w:rPr>
        <w:t>响应函</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致：</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我方确认收到贵方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采购货物及相关服务的</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文件（采购项目编号：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(供应商名称、地址)  </w:t>
      </w:r>
      <w:r>
        <w:rPr>
          <w:rFonts w:hint="eastAsia" w:ascii="宋体" w:hAnsi="宋体" w:eastAsia="宋体" w:cs="宋体"/>
          <w:color w:val="auto"/>
          <w:sz w:val="22"/>
          <w:szCs w:val="22"/>
          <w:highlight w:val="none"/>
        </w:rPr>
        <w:t xml:space="preserve">作为供应商已正式授权 </w:t>
      </w:r>
      <w:r>
        <w:rPr>
          <w:rFonts w:hint="eastAsia" w:ascii="宋体" w:hAnsi="宋体" w:eastAsia="宋体" w:cs="宋体"/>
          <w:color w:val="auto"/>
          <w:sz w:val="22"/>
          <w:szCs w:val="22"/>
          <w:highlight w:val="none"/>
          <w:u w:val="single"/>
        </w:rPr>
        <w:t xml:space="preserve">(被供应商授权代表全名、职务) </w:t>
      </w:r>
      <w:r>
        <w:rPr>
          <w:rFonts w:hint="eastAsia" w:ascii="宋体" w:hAnsi="宋体" w:eastAsia="宋体" w:cs="宋体"/>
          <w:color w:val="auto"/>
          <w:sz w:val="22"/>
          <w:szCs w:val="22"/>
          <w:highlight w:val="none"/>
        </w:rPr>
        <w:t xml:space="preserve">为我方签名代表，签名代表在此声明并同意：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1.</w:t>
      </w:r>
      <w:r>
        <w:rPr>
          <w:rFonts w:hint="eastAsia" w:ascii="宋体" w:hAnsi="宋体" w:eastAsia="宋体" w:cs="宋体"/>
          <w:b/>
          <w:color w:val="auto"/>
          <w:sz w:val="22"/>
          <w:szCs w:val="22"/>
          <w:highlight w:val="none"/>
        </w:rPr>
        <w:t>我们愿意遵守</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文件的各项规定，自愿参加</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，并已清楚</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文件的要求及有关文件规定，并严格按照</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文件的规定履行全部责任和义务。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rPr>
        <w:t>我们同意本响应文件自</w:t>
      </w:r>
      <w:r>
        <w:rPr>
          <w:rFonts w:hint="eastAsia" w:ascii="宋体" w:hAnsi="宋体" w:eastAsia="宋体" w:cs="宋体"/>
          <w:b/>
          <w:color w:val="auto"/>
          <w:sz w:val="22"/>
          <w:szCs w:val="22"/>
          <w:highlight w:val="none"/>
          <w:lang w:val="en-US" w:eastAsia="zh-CN"/>
        </w:rPr>
        <w:t>谈判</w:t>
      </w:r>
      <w:r>
        <w:rPr>
          <w:rFonts w:hint="eastAsia" w:ascii="宋体" w:hAnsi="宋体" w:eastAsia="宋体" w:cs="宋体"/>
          <w:b/>
          <w:color w:val="auto"/>
          <w:sz w:val="22"/>
          <w:szCs w:val="22"/>
          <w:highlight w:val="none"/>
        </w:rPr>
        <w:t xml:space="preserve">截止之日起 90 天内有效。如果我们的响应文件被接受，则直至合同生效时止，本响应文件始终有效并不撤回已递交的响应文件。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3.</w:t>
      </w:r>
      <w:r>
        <w:rPr>
          <w:rFonts w:hint="eastAsia" w:ascii="宋体" w:hAnsi="宋体" w:eastAsia="宋体" w:cs="宋体"/>
          <w:b/>
          <w:color w:val="auto"/>
          <w:sz w:val="22"/>
          <w:szCs w:val="22"/>
          <w:highlight w:val="none"/>
        </w:rPr>
        <w:t>我们已经详细地阅读并完全明白了全部</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文件及附件，包括澄清（如有）及参考文件，我们完全理解本</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文件的要求，我们同意放弃对</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文件提出不明或误解的一切权力。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4.</w:t>
      </w:r>
      <w:r>
        <w:rPr>
          <w:rFonts w:hint="eastAsia" w:ascii="宋体" w:hAnsi="宋体" w:eastAsia="宋体" w:cs="宋体"/>
          <w:b/>
          <w:color w:val="auto"/>
          <w:sz w:val="22"/>
          <w:szCs w:val="22"/>
          <w:highlight w:val="none"/>
        </w:rPr>
        <w:t>我们同意提供采购人、</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b/>
          <w:color w:val="auto"/>
          <w:sz w:val="22"/>
          <w:szCs w:val="22"/>
          <w:highlight w:val="none"/>
        </w:rPr>
        <w:t>及</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小组要求的有关</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的一切数据或资料。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5.</w:t>
      </w:r>
      <w:r>
        <w:rPr>
          <w:rFonts w:hint="eastAsia" w:ascii="宋体" w:hAnsi="宋体" w:eastAsia="宋体" w:cs="宋体"/>
          <w:b/>
          <w:color w:val="auto"/>
          <w:sz w:val="22"/>
          <w:szCs w:val="22"/>
          <w:highlight w:val="none"/>
        </w:rPr>
        <w:t>我们理解采购人、</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b/>
          <w:color w:val="auto"/>
          <w:sz w:val="22"/>
          <w:szCs w:val="22"/>
          <w:highlight w:val="none"/>
        </w:rPr>
        <w:t>及</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小组与</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小组并无义务必须接受最低报价的</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或其它任何投标，完全理解</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b/>
          <w:color w:val="auto"/>
          <w:sz w:val="22"/>
          <w:szCs w:val="22"/>
          <w:highlight w:val="none"/>
        </w:rPr>
        <w:t>拒绝迟到的任何</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和最低</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报价不是被授予成交的唯一条件。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6.</w:t>
      </w:r>
      <w:r>
        <w:rPr>
          <w:rFonts w:hint="eastAsia" w:ascii="宋体" w:hAnsi="宋体" w:eastAsia="宋体" w:cs="宋体"/>
          <w:b/>
          <w:color w:val="auto"/>
          <w:sz w:val="22"/>
          <w:szCs w:val="22"/>
          <w:highlight w:val="none"/>
        </w:rPr>
        <w:t>如果我们未对</w:t>
      </w:r>
      <w:r>
        <w:rPr>
          <w:rFonts w:hint="eastAsia" w:ascii="宋体" w:hAnsi="宋体" w:eastAsia="宋体" w:cs="宋体"/>
          <w:b/>
          <w:color w:val="auto"/>
          <w:sz w:val="22"/>
          <w:szCs w:val="22"/>
          <w:highlight w:val="none"/>
          <w:lang w:eastAsia="zh-CN"/>
        </w:rPr>
        <w:t>谈判</w:t>
      </w:r>
      <w:r>
        <w:rPr>
          <w:rFonts w:hint="eastAsia" w:ascii="宋体" w:hAnsi="宋体" w:eastAsia="宋体" w:cs="宋体"/>
          <w:b/>
          <w:color w:val="auto"/>
          <w:sz w:val="22"/>
          <w:szCs w:val="22"/>
          <w:highlight w:val="none"/>
        </w:rPr>
        <w:t xml:space="preserve">文件全部要求作出实质性响应，则完全同意并接受按无效响应处理。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7.</w:t>
      </w:r>
      <w:r>
        <w:rPr>
          <w:rFonts w:hint="eastAsia" w:ascii="宋体" w:hAnsi="宋体" w:eastAsia="宋体" w:cs="宋体"/>
          <w:b/>
          <w:color w:val="auto"/>
          <w:sz w:val="22"/>
          <w:szCs w:val="22"/>
          <w:highlight w:val="none"/>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8.</w:t>
      </w:r>
      <w:r>
        <w:rPr>
          <w:rFonts w:hint="eastAsia" w:ascii="宋体" w:hAnsi="宋体" w:eastAsia="宋体" w:cs="宋体"/>
          <w:b/>
          <w:color w:val="auto"/>
          <w:sz w:val="22"/>
          <w:szCs w:val="22"/>
          <w:highlight w:val="none"/>
        </w:rPr>
        <w:t xml:space="preserve">如果我们提供的声明或承诺不真实，则完全同意认定为我司提供虚假材料，并同意作相应处理。 </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9.</w:t>
      </w:r>
      <w:r>
        <w:rPr>
          <w:rFonts w:hint="eastAsia" w:ascii="宋体" w:hAnsi="宋体" w:eastAsia="宋体" w:cs="宋体"/>
          <w:b/>
          <w:color w:val="auto"/>
          <w:sz w:val="22"/>
          <w:szCs w:val="22"/>
          <w:highlight w:val="none"/>
        </w:rPr>
        <w:t>我们是依法注册的法人，在法律、财务及运作上完全独立于本项目采购人、用户单位（如有）和</w:t>
      </w: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b/>
          <w:color w:val="auto"/>
          <w:sz w:val="22"/>
          <w:szCs w:val="22"/>
          <w:highlight w:val="none"/>
        </w:rPr>
        <w:t xml:space="preserve">。 </w:t>
      </w:r>
    </w:p>
    <w:p>
      <w:pPr>
        <w:spacing w:beforeLines="0" w:afterLines="0" w:line="44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10.</w:t>
      </w:r>
      <w:r>
        <w:rPr>
          <w:rFonts w:hint="eastAsia" w:ascii="宋体" w:hAnsi="宋体" w:eastAsia="宋体" w:cs="宋体"/>
          <w:b/>
          <w:color w:val="auto"/>
          <w:sz w:val="22"/>
          <w:szCs w:val="22"/>
          <w:highlight w:val="none"/>
        </w:rPr>
        <w:t>所有有关本次投标的函电请寄：</w:t>
      </w:r>
      <w:r>
        <w:rPr>
          <w:rFonts w:hint="eastAsia" w:ascii="宋体" w:hAnsi="宋体" w:eastAsia="宋体" w:cs="宋体"/>
          <w:b/>
          <w:color w:val="auto"/>
          <w:sz w:val="22"/>
          <w:szCs w:val="22"/>
          <w:highlight w:val="none"/>
          <w:u w:val="single"/>
        </w:rPr>
        <w:t xml:space="preserve"> （供应商地址）</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备注：本函内容不得擅自删改，否则视为无效投标。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供应商名称（单位盖公章）：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法定代表人或供应商授权代表（签名或盖章）：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u w:val="singl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电 话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日 期 :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jc w:val="center"/>
        <w:rPr>
          <w:rFonts w:hint="eastAsia" w:ascii="宋体" w:hAnsi="宋体" w:eastAsia="宋体" w:cs="宋体"/>
          <w:color w:val="auto"/>
          <w:sz w:val="22"/>
          <w:szCs w:val="22"/>
          <w:highlight w:val="none"/>
        </w:rPr>
      </w:pPr>
    </w:p>
    <w:p>
      <w:pPr>
        <w:spacing w:beforeLines="0" w:afterLines="0" w:line="440" w:lineRule="exact"/>
        <w:ind w:firstLine="440" w:firstLineChars="200"/>
        <w:jc w:val="center"/>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color w:val="auto"/>
          <w:highlight w:val="none"/>
        </w:rPr>
      </w:pPr>
    </w:p>
    <w:p>
      <w:pPr>
        <w:pStyle w:val="21"/>
        <w:rPr>
          <w:rFonts w:hint="eastAsia" w:ascii="宋体" w:hAnsi="宋体" w:eastAsia="宋体" w:cs="宋体"/>
          <w:color w:val="auto"/>
          <w:sz w:val="22"/>
          <w:szCs w:val="22"/>
          <w:highlight w:val="none"/>
        </w:rPr>
      </w:pPr>
    </w:p>
    <w:p>
      <w:pPr>
        <w:rPr>
          <w:rFonts w:hint="eastAsia"/>
          <w:color w:val="auto"/>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line="440" w:lineRule="exact"/>
        <w:ind w:firstLine="442" w:firstLineChars="20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 xml:space="preserve">2.2 商务需求条款响应表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采购项目名称：</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项目编号：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280"/>
        <w:gridCol w:w="159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商务条款要求</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是否响应</w:t>
            </w: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完全理解并接受合同条款要求</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2</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完全理解并接受对合格供应商、合格的服务要求</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3</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完全理解并接受对供应商的各项须知、规约要求和责任义务，包括带“★”条款的全部内容。</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4</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拟派项目负责人的要求</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5</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谈判</w:t>
            </w:r>
            <w:r>
              <w:rPr>
                <w:rFonts w:hint="eastAsia" w:ascii="宋体" w:hAnsi="宋体" w:eastAsia="宋体" w:cs="宋体"/>
                <w:color w:val="auto"/>
                <w:sz w:val="22"/>
                <w:szCs w:val="22"/>
                <w:highlight w:val="none"/>
                <w:lang w:val="en-US" w:bidi="ar"/>
              </w:rPr>
              <w:t>有效期：</w:t>
            </w:r>
            <w:r>
              <w:rPr>
                <w:rFonts w:hint="eastAsia" w:ascii="宋体" w:hAnsi="宋体" w:eastAsia="宋体" w:cs="宋体"/>
                <w:color w:val="auto"/>
                <w:sz w:val="22"/>
                <w:szCs w:val="22"/>
                <w:highlight w:val="none"/>
                <w:lang w:val="en-US" w:eastAsia="zh-CN" w:bidi="ar"/>
              </w:rPr>
              <w:t>谈判</w:t>
            </w:r>
            <w:r>
              <w:rPr>
                <w:rFonts w:hint="eastAsia" w:ascii="宋体" w:hAnsi="宋体" w:eastAsia="宋体" w:cs="宋体"/>
                <w:color w:val="auto"/>
                <w:sz w:val="22"/>
                <w:szCs w:val="22"/>
                <w:highlight w:val="none"/>
                <w:lang w:val="en-US" w:bidi="ar"/>
              </w:rPr>
              <w:t>有效期为自递交投标文件起至确定 正式成交供应商止不少于 90 天</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6</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报价内容均涵盖报价要求之一切费用和伴随服务</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7</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同意接受招标文件的各项要求</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8</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同意接受合同范本所列的各项条款</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9</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同意按本项目要求缴付相关款项</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10</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同意采购人以任何形式对我方投标文件内容的真实性 和有效性进行审查、验证</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jc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11</w:t>
            </w:r>
          </w:p>
        </w:tc>
        <w:tc>
          <w:tcPr>
            <w:tcW w:w="5280"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其它商务条款偏离说明（若有）：</w:t>
            </w:r>
          </w:p>
        </w:tc>
        <w:tc>
          <w:tcPr>
            <w:tcW w:w="159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c>
          <w:tcPr>
            <w:tcW w:w="14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40" w:lineRule="exact"/>
              <w:rPr>
                <w:rFonts w:hint="eastAsia" w:ascii="宋体" w:hAnsi="宋体" w:eastAsia="宋体" w:cs="宋体"/>
                <w:color w:val="auto"/>
                <w:sz w:val="22"/>
                <w:szCs w:val="22"/>
                <w:highlight w:val="none"/>
              </w:rPr>
            </w:pPr>
          </w:p>
        </w:tc>
      </w:tr>
    </w:tbl>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注：</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1. 对于上述要求，如供应商完全响应，则请在“是否响应”栏内打“√”，对空白或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打“×”视为偏离，请在“偏离说明”栏内扼要说明偏离情况。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2. 此表内容必须与实施方案中所介绍的内容一致，打“★”项为不可负偏离(劣于)的重要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项。</w:t>
      </w: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供应商法定代表人（或法定代表人授权代表）签字或盖章： </w:t>
      </w: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供应商名称（盖公章）： </w:t>
      </w: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日 期： 年 月 日</w:t>
      </w:r>
    </w:p>
    <w:p>
      <w:pPr>
        <w:pStyle w:val="21"/>
        <w:spacing w:beforeLines="0" w:afterLines="0"/>
        <w:rPr>
          <w:rFonts w:hint="eastAsia" w:ascii="宋体" w:hAnsi="宋体" w:eastAsia="宋体" w:cs="宋体"/>
          <w:b/>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color w:val="auto"/>
          <w:highlight w:val="none"/>
          <w:lang w:val="en-US"/>
        </w:rPr>
      </w:pPr>
    </w:p>
    <w:p>
      <w:pPr>
        <w:rPr>
          <w:rFonts w:hint="eastAsia"/>
          <w:color w:val="auto"/>
          <w:highlight w:val="none"/>
          <w:lang w:val="en-US"/>
        </w:rPr>
      </w:pPr>
    </w:p>
    <w:p>
      <w:pPr>
        <w:pStyle w:val="21"/>
        <w:rPr>
          <w:rFonts w:hint="eastAsia"/>
          <w:color w:val="auto"/>
          <w:highlight w:val="none"/>
          <w:lang w:val="en-US"/>
        </w:rPr>
      </w:pPr>
    </w:p>
    <w:p>
      <w:pPr>
        <w:rPr>
          <w:rFonts w:hint="eastAsia"/>
          <w:color w:val="auto"/>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2.3 拟派项目负责人及管理技术人员一览表</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4384"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49" name="文本框 385"/>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4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top w:val="single" w:color="000000" w:sz="12" w:space="0"/>
                                    <w:left w:val="single" w:color="000000" w:sz="12"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258" w:right="143"/>
                                    <w:jc w:val="center"/>
                                    <w:rPr>
                                      <w:rFonts w:hint="default"/>
                                      <w:sz w:val="21"/>
                                      <w:szCs w:val="22"/>
                                    </w:rPr>
                                  </w:pPr>
                                  <w:r>
                                    <w:rPr>
                                      <w:rFonts w:hint="default"/>
                                      <w:sz w:val="21"/>
                                      <w:szCs w:val="22"/>
                                    </w:rPr>
                                    <w:t xml:space="preserve">序号 </w:t>
                                  </w:r>
                                </w:p>
                              </w:tc>
                              <w:tc>
                                <w:tcPr>
                                  <w:tcW w:w="1591"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628" w:right="493"/>
                                    <w:jc w:val="center"/>
                                    <w:rPr>
                                      <w:rFonts w:hint="default"/>
                                      <w:sz w:val="21"/>
                                      <w:szCs w:val="22"/>
                                    </w:rPr>
                                  </w:pPr>
                                  <w:r>
                                    <w:rPr>
                                      <w:rFonts w:hint="default"/>
                                      <w:sz w:val="21"/>
                                      <w:szCs w:val="22"/>
                                    </w:rPr>
                                    <w:t xml:space="preserve">姓名 </w:t>
                                  </w:r>
                                </w:p>
                              </w:tc>
                              <w:tc>
                                <w:tcPr>
                                  <w:tcW w:w="1265"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465" w:right="330"/>
                                    <w:jc w:val="center"/>
                                    <w:rPr>
                                      <w:rFonts w:hint="default"/>
                                      <w:sz w:val="21"/>
                                      <w:szCs w:val="22"/>
                                    </w:rPr>
                                  </w:pPr>
                                  <w:r>
                                    <w:rPr>
                                      <w:rFonts w:hint="default"/>
                                      <w:sz w:val="21"/>
                                      <w:szCs w:val="22"/>
                                    </w:rPr>
                                    <w:t xml:space="preserve">学历 </w:t>
                                  </w:r>
                                </w:p>
                              </w:tc>
                              <w:tc>
                                <w:tcPr>
                                  <w:tcW w:w="1617"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640" w:right="506"/>
                                    <w:jc w:val="center"/>
                                    <w:rPr>
                                      <w:rFonts w:hint="default"/>
                                      <w:sz w:val="21"/>
                                      <w:szCs w:val="22"/>
                                    </w:rPr>
                                  </w:pPr>
                                  <w:r>
                                    <w:rPr>
                                      <w:rFonts w:hint="default"/>
                                      <w:sz w:val="21"/>
                                      <w:szCs w:val="22"/>
                                    </w:rPr>
                                    <w:t xml:space="preserve">职称 </w:t>
                                  </w:r>
                                </w:p>
                              </w:tc>
                              <w:tc>
                                <w:tcPr>
                                  <w:tcW w:w="1910"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581" w:right="438"/>
                                    <w:jc w:val="center"/>
                                    <w:rPr>
                                      <w:rFonts w:hint="default"/>
                                      <w:sz w:val="21"/>
                                      <w:szCs w:val="22"/>
                                    </w:rPr>
                                  </w:pPr>
                                  <w:r>
                                    <w:rPr>
                                      <w:rFonts w:hint="default"/>
                                      <w:sz w:val="21"/>
                                      <w:szCs w:val="22"/>
                                    </w:rPr>
                                    <w:t xml:space="preserve">经验年限 </w:t>
                                  </w:r>
                                </w:p>
                              </w:tc>
                              <w:tc>
                                <w:tcPr>
                                  <w:tcW w:w="2585" w:type="dxa"/>
                                  <w:tcBorders>
                                    <w:top w:val="single" w:color="000000" w:sz="12" w:space="0"/>
                                    <w:left w:val="single" w:color="000000" w:sz="4" w:space="0"/>
                                    <w:bottom w:val="double" w:color="000000" w:sz="6" w:space="0"/>
                                    <w:right w:val="single" w:color="000000" w:sz="12" w:space="0"/>
                                    <w:tl2br w:val="nil"/>
                                    <w:tr2bl w:val="nil"/>
                                  </w:tcBorders>
                                  <w:shd w:val="clear" w:color="auto" w:fill="EDEBE0"/>
                                  <w:noWrap w:val="0"/>
                                  <w:vAlign w:val="top"/>
                                </w:tcPr>
                                <w:p>
                                  <w:pPr>
                                    <w:pStyle w:val="109"/>
                                    <w:spacing w:before="26" w:beforeLines="0" w:afterLines="0" w:line="270" w:lineRule="atLeast"/>
                                    <w:ind w:left="1200" w:right="98" w:hanging="1050"/>
                                    <w:rPr>
                                      <w:rFonts w:hint="default"/>
                                      <w:sz w:val="21"/>
                                      <w:szCs w:val="22"/>
                                    </w:rPr>
                                  </w:pPr>
                                  <w:r>
                                    <w:rPr>
                                      <w:rFonts w:hint="default"/>
                                      <w:sz w:val="21"/>
                                      <w:szCs w:val="22"/>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6" w:space="0"/>
                                    <w:left w:val="single" w:color="000000" w:sz="12"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27"/>
                                    <w:jc w:val="center"/>
                                    <w:rPr>
                                      <w:rFonts w:hint="default"/>
                                      <w:sz w:val="21"/>
                                      <w:szCs w:val="22"/>
                                    </w:rPr>
                                  </w:pPr>
                                  <w:r>
                                    <w:rPr>
                                      <w:rFonts w:hint="default"/>
                                      <w:sz w:val="21"/>
                                      <w:szCs w:val="22"/>
                                    </w:rPr>
                                    <w:t xml:space="preserve"> </w:t>
                                  </w:r>
                                </w:p>
                              </w:tc>
                              <w:tc>
                                <w:tcPr>
                                  <w:tcW w:w="1591"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7"/>
                                    <w:jc w:val="center"/>
                                    <w:rPr>
                                      <w:rFonts w:hint="default"/>
                                      <w:sz w:val="21"/>
                                      <w:szCs w:val="22"/>
                                    </w:rPr>
                                  </w:pPr>
                                  <w:r>
                                    <w:rPr>
                                      <w:rFonts w:hint="default"/>
                                      <w:sz w:val="21"/>
                                      <w:szCs w:val="22"/>
                                    </w:rPr>
                                    <w:t xml:space="preserve"> </w:t>
                                  </w:r>
                                </w:p>
                              </w:tc>
                              <w:tc>
                                <w:tcPr>
                                  <w:tcW w:w="1265"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3"/>
                                    <w:jc w:val="center"/>
                                    <w:rPr>
                                      <w:rFonts w:hint="default"/>
                                      <w:sz w:val="21"/>
                                      <w:szCs w:val="22"/>
                                    </w:rPr>
                                  </w:pPr>
                                  <w:r>
                                    <w:rPr>
                                      <w:rFonts w:hint="default"/>
                                      <w:sz w:val="21"/>
                                      <w:szCs w:val="22"/>
                                    </w:rPr>
                                    <w:t xml:space="preserve"> </w:t>
                                  </w:r>
                                </w:p>
                              </w:tc>
                              <w:tc>
                                <w:tcPr>
                                  <w:tcW w:w="1617"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6"/>
                                    <w:jc w:val="center"/>
                                    <w:rPr>
                                      <w:rFonts w:hint="default"/>
                                      <w:sz w:val="21"/>
                                      <w:szCs w:val="22"/>
                                    </w:rPr>
                                  </w:pPr>
                                  <w:r>
                                    <w:rPr>
                                      <w:rFonts w:hint="default"/>
                                      <w:sz w:val="21"/>
                                      <w:szCs w:val="22"/>
                                    </w:rPr>
                                    <w:t xml:space="preserve"> </w:t>
                                  </w:r>
                                </w:p>
                              </w:tc>
                              <w:tc>
                                <w:tcPr>
                                  <w:tcW w:w="1910"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43"/>
                                    <w:jc w:val="center"/>
                                    <w:rPr>
                                      <w:rFonts w:hint="default"/>
                                      <w:sz w:val="21"/>
                                      <w:szCs w:val="22"/>
                                    </w:rPr>
                                  </w:pPr>
                                  <w:r>
                                    <w:rPr>
                                      <w:rFonts w:hint="default"/>
                                      <w:sz w:val="21"/>
                                      <w:szCs w:val="22"/>
                                    </w:rPr>
                                    <w:t xml:space="preserve"> </w:t>
                                  </w:r>
                                </w:p>
                              </w:tc>
                              <w:tc>
                                <w:tcPr>
                                  <w:tcW w:w="2585" w:type="dxa"/>
                                  <w:tcBorders>
                                    <w:top w:val="double" w:color="000000" w:sz="6" w:space="0"/>
                                    <w:left w:val="single" w:color="000000" w:sz="4" w:space="0"/>
                                    <w:bottom w:val="single" w:color="000000" w:sz="4" w:space="0"/>
                                    <w:right w:val="single" w:color="000000" w:sz="12"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12"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bl>
                          <w:p>
                            <w:pPr>
                              <w:pStyle w:val="2"/>
                              <w:spacing w:beforeLines="0" w:afterLines="0"/>
                              <w:rPr>
                                <w:rFonts w:hint="default"/>
                                <w:sz w:val="21"/>
                                <w:szCs w:val="21"/>
                              </w:rPr>
                            </w:pPr>
                          </w:p>
                        </w:txbxContent>
                      </wps:txbx>
                      <wps:bodyPr wrap="square" lIns="0" tIns="0" rIns="0" bIns="0" upright="1"/>
                    </wps:wsp>
                  </a:graphicData>
                </a:graphic>
              </wp:anchor>
            </w:drawing>
          </mc:Choice>
          <mc:Fallback>
            <w:pict>
              <v:shape id="文本框 385" o:spid="_x0000_s1026" o:spt="202" type="#_x0000_t202" style="position:absolute;left:0pt;margin-left:50.6pt;margin-top:45.4pt;height:323.7pt;width:494.75pt;mso-position-horizontal-relative:page;z-index:251664384;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PKts8oBAACEAwAADgAAAGRycy9lMm9Eb2MueG1srVNL&#10;btswEN0X6B0I7mvJdhLYhuUAhZGiQNEWSHsAmqIsAvx1hrbkC7Q36Kqb7nsun6ND2nKaZJNFN9Ro&#10;ZvTmvTfU8ra3hu0VoPau4uNRyZly0tfabSv+9cvdmxlnGIWrhfFOVfygkN+uXr9admGhJr71plbA&#10;CMThogsVb2MMi6JA2SorcOSDclRsPFgR6RW2RQ2iI3RriklZ3hSdhzqAlwqRsutTkZ8R4SWAvmm0&#10;VGsvd1a5eEIFZUQkSdjqgHyV2TaNkvFT06CKzFSclMZ80hCKN+ksVkux2IIIrZZnCuIlFJ5oskI7&#10;GnqBWoso2A70MyirJXj0TRxJb4uTkOwIqRiXT7y5b0VQWQtZjeFiOv4/WPlx/xmYrit+NefMCUsb&#10;P/78cfz15/j7O5vOrpNDXcAFNd4Hao39W9/TvRnySMkkvG/ApidJYlQnfw8Xf1UfmaTkzWQ2nU6u&#10;OZNUuxqPy/k8b6B4+DwAxnfKW5aCigMtMPsq9h8wEhVqHVrSNOfvtDF5icY9SlBjyhSJ+4ljimK/&#10;6c+CNr4+kJ6Odl9x/LYToDgz7x2Zmy7KEMAQbIZgF0BvWyKXPcgDaDmZ2vkipe3/+55pPPw8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QvZI2AAAAAsBAAAPAAAAAAAAAAEAIAAAACIAAABkcnMv&#10;ZG93bnJldi54bWxQSwECFAAUAAAACACHTuJA/PKts8oBAACEAwAADgAAAAAAAAABACAAAAAnAQAA&#10;ZHJzL2Uyb0RvYy54bWxQSwUGAAAAAAYABgBZAQAAYwUAAAAA&#10;">
                <v:fill on="f" focussize="0,0"/>
                <v:stroke on="f"/>
                <v:imagedata o:title=""/>
                <o:lock v:ext="edit" aspectratio="f"/>
                <v:textbox inset="0mm,0mm,0mm,0mm">
                  <w:txbxContent>
                    <w:tbl>
                      <w:tblPr>
                        <w:tblStyle w:val="42"/>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top w:val="single" w:color="000000" w:sz="12" w:space="0"/>
                              <w:left w:val="single" w:color="000000" w:sz="12"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258" w:right="143"/>
                              <w:jc w:val="center"/>
                              <w:rPr>
                                <w:rFonts w:hint="default"/>
                                <w:sz w:val="21"/>
                                <w:szCs w:val="22"/>
                              </w:rPr>
                            </w:pPr>
                            <w:r>
                              <w:rPr>
                                <w:rFonts w:hint="default"/>
                                <w:sz w:val="21"/>
                                <w:szCs w:val="22"/>
                              </w:rPr>
                              <w:t xml:space="preserve">序号 </w:t>
                            </w:r>
                          </w:p>
                        </w:tc>
                        <w:tc>
                          <w:tcPr>
                            <w:tcW w:w="1591"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628" w:right="493"/>
                              <w:jc w:val="center"/>
                              <w:rPr>
                                <w:rFonts w:hint="default"/>
                                <w:sz w:val="21"/>
                                <w:szCs w:val="22"/>
                              </w:rPr>
                            </w:pPr>
                            <w:r>
                              <w:rPr>
                                <w:rFonts w:hint="default"/>
                                <w:sz w:val="21"/>
                                <w:szCs w:val="22"/>
                              </w:rPr>
                              <w:t xml:space="preserve">姓名 </w:t>
                            </w:r>
                          </w:p>
                        </w:tc>
                        <w:tc>
                          <w:tcPr>
                            <w:tcW w:w="1265"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465" w:right="330"/>
                              <w:jc w:val="center"/>
                              <w:rPr>
                                <w:rFonts w:hint="default"/>
                                <w:sz w:val="21"/>
                                <w:szCs w:val="22"/>
                              </w:rPr>
                            </w:pPr>
                            <w:r>
                              <w:rPr>
                                <w:rFonts w:hint="default"/>
                                <w:sz w:val="21"/>
                                <w:szCs w:val="22"/>
                              </w:rPr>
                              <w:t xml:space="preserve">学历 </w:t>
                            </w:r>
                          </w:p>
                        </w:tc>
                        <w:tc>
                          <w:tcPr>
                            <w:tcW w:w="1617"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640" w:right="506"/>
                              <w:jc w:val="center"/>
                              <w:rPr>
                                <w:rFonts w:hint="default"/>
                                <w:sz w:val="21"/>
                                <w:szCs w:val="22"/>
                              </w:rPr>
                            </w:pPr>
                            <w:r>
                              <w:rPr>
                                <w:rFonts w:hint="default"/>
                                <w:sz w:val="21"/>
                                <w:szCs w:val="22"/>
                              </w:rPr>
                              <w:t xml:space="preserve">职称 </w:t>
                            </w:r>
                          </w:p>
                        </w:tc>
                        <w:tc>
                          <w:tcPr>
                            <w:tcW w:w="1910" w:type="dxa"/>
                            <w:tcBorders>
                              <w:top w:val="single" w:color="000000" w:sz="12" w:space="0"/>
                              <w:left w:val="single" w:color="000000" w:sz="4" w:space="0"/>
                              <w:bottom w:val="double" w:color="000000" w:sz="6" w:space="0"/>
                              <w:right w:val="single" w:color="000000" w:sz="4" w:space="0"/>
                              <w:tl2br w:val="nil"/>
                              <w:tr2bl w:val="nil"/>
                            </w:tcBorders>
                            <w:shd w:val="clear" w:color="auto" w:fill="EDEBE0"/>
                            <w:noWrap w:val="0"/>
                            <w:vAlign w:val="top"/>
                          </w:tcPr>
                          <w:p>
                            <w:pPr>
                              <w:pStyle w:val="109"/>
                              <w:spacing w:before="163" w:beforeLines="0" w:afterLines="0"/>
                              <w:ind w:left="581" w:right="438"/>
                              <w:jc w:val="center"/>
                              <w:rPr>
                                <w:rFonts w:hint="default"/>
                                <w:sz w:val="21"/>
                                <w:szCs w:val="22"/>
                              </w:rPr>
                            </w:pPr>
                            <w:r>
                              <w:rPr>
                                <w:rFonts w:hint="default"/>
                                <w:sz w:val="21"/>
                                <w:szCs w:val="22"/>
                              </w:rPr>
                              <w:t xml:space="preserve">经验年限 </w:t>
                            </w:r>
                          </w:p>
                        </w:tc>
                        <w:tc>
                          <w:tcPr>
                            <w:tcW w:w="2585" w:type="dxa"/>
                            <w:tcBorders>
                              <w:top w:val="single" w:color="000000" w:sz="12" w:space="0"/>
                              <w:left w:val="single" w:color="000000" w:sz="4" w:space="0"/>
                              <w:bottom w:val="double" w:color="000000" w:sz="6" w:space="0"/>
                              <w:right w:val="single" w:color="000000" w:sz="12" w:space="0"/>
                              <w:tl2br w:val="nil"/>
                              <w:tr2bl w:val="nil"/>
                            </w:tcBorders>
                            <w:shd w:val="clear" w:color="auto" w:fill="EDEBE0"/>
                            <w:noWrap w:val="0"/>
                            <w:vAlign w:val="top"/>
                          </w:tcPr>
                          <w:p>
                            <w:pPr>
                              <w:pStyle w:val="109"/>
                              <w:spacing w:before="26" w:beforeLines="0" w:afterLines="0" w:line="270" w:lineRule="atLeast"/>
                              <w:ind w:left="1200" w:right="98" w:hanging="1050"/>
                              <w:rPr>
                                <w:rFonts w:hint="default"/>
                                <w:sz w:val="21"/>
                                <w:szCs w:val="22"/>
                              </w:rPr>
                            </w:pPr>
                            <w:r>
                              <w:rPr>
                                <w:rFonts w:hint="default"/>
                                <w:sz w:val="21"/>
                                <w:szCs w:val="22"/>
                              </w:rPr>
                              <w:t xml:space="preserve">拟担任职务或承担工作内容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6" w:space="0"/>
                              <w:left w:val="single" w:color="000000" w:sz="12"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27"/>
                              <w:jc w:val="center"/>
                              <w:rPr>
                                <w:rFonts w:hint="default"/>
                                <w:sz w:val="21"/>
                                <w:szCs w:val="22"/>
                              </w:rPr>
                            </w:pPr>
                            <w:r>
                              <w:rPr>
                                <w:rFonts w:hint="default"/>
                                <w:sz w:val="21"/>
                                <w:szCs w:val="22"/>
                              </w:rPr>
                              <w:t xml:space="preserve"> </w:t>
                            </w:r>
                          </w:p>
                        </w:tc>
                        <w:tc>
                          <w:tcPr>
                            <w:tcW w:w="1591"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7"/>
                              <w:jc w:val="center"/>
                              <w:rPr>
                                <w:rFonts w:hint="default"/>
                                <w:sz w:val="21"/>
                                <w:szCs w:val="22"/>
                              </w:rPr>
                            </w:pPr>
                            <w:r>
                              <w:rPr>
                                <w:rFonts w:hint="default"/>
                                <w:sz w:val="21"/>
                                <w:szCs w:val="22"/>
                              </w:rPr>
                              <w:t xml:space="preserve"> </w:t>
                            </w:r>
                          </w:p>
                        </w:tc>
                        <w:tc>
                          <w:tcPr>
                            <w:tcW w:w="1265"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3"/>
                              <w:jc w:val="center"/>
                              <w:rPr>
                                <w:rFonts w:hint="default"/>
                                <w:sz w:val="21"/>
                                <w:szCs w:val="22"/>
                              </w:rPr>
                            </w:pPr>
                            <w:r>
                              <w:rPr>
                                <w:rFonts w:hint="default"/>
                                <w:sz w:val="21"/>
                                <w:szCs w:val="22"/>
                              </w:rPr>
                              <w:t xml:space="preserve"> </w:t>
                            </w:r>
                          </w:p>
                        </w:tc>
                        <w:tc>
                          <w:tcPr>
                            <w:tcW w:w="1617"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36"/>
                              <w:jc w:val="center"/>
                              <w:rPr>
                                <w:rFonts w:hint="default"/>
                                <w:sz w:val="21"/>
                                <w:szCs w:val="22"/>
                              </w:rPr>
                            </w:pPr>
                            <w:r>
                              <w:rPr>
                                <w:rFonts w:hint="default"/>
                                <w:sz w:val="21"/>
                                <w:szCs w:val="22"/>
                              </w:rPr>
                              <w:t xml:space="preserve"> </w:t>
                            </w:r>
                          </w:p>
                        </w:tc>
                        <w:tc>
                          <w:tcPr>
                            <w:tcW w:w="1910" w:type="dxa"/>
                            <w:tcBorders>
                              <w:top w:val="double" w:color="000000" w:sz="6" w:space="0"/>
                              <w:left w:val="single" w:color="000000" w:sz="4" w:space="0"/>
                              <w:bottom w:val="single" w:color="000000" w:sz="4" w:space="0"/>
                              <w:right w:val="single" w:color="000000" w:sz="4"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left="143"/>
                              <w:jc w:val="center"/>
                              <w:rPr>
                                <w:rFonts w:hint="default"/>
                                <w:sz w:val="21"/>
                                <w:szCs w:val="22"/>
                              </w:rPr>
                            </w:pPr>
                            <w:r>
                              <w:rPr>
                                <w:rFonts w:hint="default"/>
                                <w:sz w:val="21"/>
                                <w:szCs w:val="22"/>
                              </w:rPr>
                              <w:t xml:space="preserve"> </w:t>
                            </w:r>
                          </w:p>
                        </w:tc>
                        <w:tc>
                          <w:tcPr>
                            <w:tcW w:w="2585" w:type="dxa"/>
                            <w:tcBorders>
                              <w:top w:val="double" w:color="000000" w:sz="6" w:space="0"/>
                              <w:left w:val="single" w:color="000000" w:sz="4" w:space="0"/>
                              <w:bottom w:val="single" w:color="000000" w:sz="4" w:space="0"/>
                              <w:right w:val="single" w:color="000000" w:sz="12" w:space="0"/>
                              <w:tl2br w:val="nil"/>
                              <w:tr2bl w:val="nil"/>
                            </w:tcBorders>
                            <w:noWrap w:val="0"/>
                            <w:vAlign w:val="top"/>
                          </w:tcPr>
                          <w:p>
                            <w:pPr>
                              <w:pStyle w:val="109"/>
                              <w:spacing w:before="9" w:beforeLines="0" w:afterLines="0"/>
                              <w:rPr>
                                <w:rFonts w:hint="default"/>
                                <w:sz w:val="21"/>
                                <w:szCs w:val="22"/>
                              </w:rPr>
                            </w:pPr>
                          </w:p>
                          <w:p>
                            <w:pPr>
                              <w:pStyle w:val="109"/>
                              <w:spacing w:before="1"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4"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left w:val="single" w:color="000000" w:sz="12"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27"/>
                              <w:jc w:val="center"/>
                              <w:rPr>
                                <w:rFonts w:hint="default"/>
                                <w:sz w:val="21"/>
                                <w:szCs w:val="22"/>
                              </w:rPr>
                            </w:pPr>
                            <w:r>
                              <w:rPr>
                                <w:rFonts w:hint="default"/>
                                <w:sz w:val="21"/>
                                <w:szCs w:val="22"/>
                              </w:rPr>
                              <w:t xml:space="preserve"> </w:t>
                            </w:r>
                          </w:p>
                        </w:tc>
                        <w:tc>
                          <w:tcPr>
                            <w:tcW w:w="1591"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7"/>
                              <w:jc w:val="center"/>
                              <w:rPr>
                                <w:rFonts w:hint="default"/>
                                <w:sz w:val="21"/>
                                <w:szCs w:val="22"/>
                              </w:rPr>
                            </w:pPr>
                            <w:r>
                              <w:rPr>
                                <w:rFonts w:hint="default"/>
                                <w:sz w:val="21"/>
                                <w:szCs w:val="22"/>
                              </w:rPr>
                              <w:t xml:space="preserve"> </w:t>
                            </w:r>
                          </w:p>
                        </w:tc>
                        <w:tc>
                          <w:tcPr>
                            <w:tcW w:w="1265"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3"/>
                              <w:jc w:val="center"/>
                              <w:rPr>
                                <w:rFonts w:hint="default"/>
                                <w:sz w:val="21"/>
                                <w:szCs w:val="22"/>
                              </w:rPr>
                            </w:pPr>
                            <w:r>
                              <w:rPr>
                                <w:rFonts w:hint="default"/>
                                <w:sz w:val="21"/>
                                <w:szCs w:val="22"/>
                              </w:rPr>
                              <w:t xml:space="preserve"> </w:t>
                            </w:r>
                          </w:p>
                        </w:tc>
                        <w:tc>
                          <w:tcPr>
                            <w:tcW w:w="1617"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36"/>
                              <w:jc w:val="center"/>
                              <w:rPr>
                                <w:rFonts w:hint="default"/>
                                <w:sz w:val="21"/>
                                <w:szCs w:val="22"/>
                              </w:rPr>
                            </w:pPr>
                            <w:r>
                              <w:rPr>
                                <w:rFonts w:hint="default"/>
                                <w:sz w:val="21"/>
                                <w:szCs w:val="22"/>
                              </w:rPr>
                              <w:t xml:space="preserve"> </w:t>
                            </w:r>
                          </w:p>
                        </w:tc>
                        <w:tc>
                          <w:tcPr>
                            <w:tcW w:w="1910" w:type="dxa"/>
                            <w:tcBorders>
                              <w:top w:val="single" w:color="000000" w:sz="4" w:space="0"/>
                              <w:left w:val="single" w:color="000000" w:sz="4" w:space="0"/>
                              <w:bottom w:val="single" w:color="000000" w:sz="12" w:space="0"/>
                              <w:right w:val="single" w:color="000000" w:sz="4"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left="143"/>
                              <w:jc w:val="center"/>
                              <w:rPr>
                                <w:rFonts w:hint="default"/>
                                <w:sz w:val="21"/>
                                <w:szCs w:val="22"/>
                              </w:rPr>
                            </w:pPr>
                            <w:r>
                              <w:rPr>
                                <w:rFonts w:hint="default"/>
                                <w:sz w:val="21"/>
                                <w:szCs w:val="22"/>
                              </w:rPr>
                              <w:t xml:space="preserve"> </w:t>
                            </w:r>
                          </w:p>
                        </w:tc>
                        <w:tc>
                          <w:tcPr>
                            <w:tcW w:w="2585" w:type="dxa"/>
                            <w:tcBorders>
                              <w:top w:val="single" w:color="000000" w:sz="4" w:space="0"/>
                              <w:left w:val="single" w:color="000000" w:sz="4" w:space="0"/>
                              <w:bottom w:val="single" w:color="000000" w:sz="12" w:space="0"/>
                              <w:right w:val="single" w:color="000000" w:sz="12" w:space="0"/>
                              <w:tl2br w:val="nil"/>
                              <w:tr2bl w:val="nil"/>
                            </w:tcBorders>
                            <w:noWrap w:val="0"/>
                            <w:vAlign w:val="top"/>
                          </w:tcPr>
                          <w:p>
                            <w:pPr>
                              <w:pStyle w:val="109"/>
                              <w:spacing w:before="11" w:beforeLines="0" w:afterLines="0"/>
                              <w:rPr>
                                <w:rFonts w:hint="default"/>
                                <w:sz w:val="20"/>
                                <w:szCs w:val="22"/>
                              </w:rPr>
                            </w:pPr>
                          </w:p>
                          <w:p>
                            <w:pPr>
                              <w:pStyle w:val="109"/>
                              <w:spacing w:beforeLines="0" w:afterLines="0"/>
                              <w:ind w:right="1151"/>
                              <w:jc w:val="right"/>
                              <w:rPr>
                                <w:rFonts w:hint="default"/>
                                <w:sz w:val="21"/>
                                <w:szCs w:val="22"/>
                              </w:rPr>
                            </w:pPr>
                            <w:r>
                              <w:rPr>
                                <w:rFonts w:hint="default"/>
                                <w:sz w:val="21"/>
                                <w:szCs w:val="22"/>
                              </w:rPr>
                              <w:t xml:space="preserve"> </w:t>
                            </w:r>
                          </w:p>
                        </w:tc>
                      </w:tr>
                    </w:tbl>
                    <w:p>
                      <w:pPr>
                        <w:pStyle w:val="2"/>
                        <w:spacing w:beforeLines="0" w:afterLines="0"/>
                        <w:rPr>
                          <w:rFonts w:hint="default"/>
                          <w:sz w:val="21"/>
                          <w:szCs w:val="21"/>
                        </w:rPr>
                      </w:pPr>
                    </w:p>
                  </w:txbxContent>
                </v:textbox>
              </v:shape>
            </w:pict>
          </mc:Fallback>
        </mc:AlternateContent>
      </w:r>
      <w:r>
        <w:rPr>
          <w:rFonts w:hint="eastAsia" w:ascii="宋体" w:hAnsi="宋体" w:eastAsia="宋体" w:cs="宋体"/>
          <w:color w:val="auto"/>
          <w:sz w:val="22"/>
          <w:szCs w:val="22"/>
          <w:highlight w:val="none"/>
        </w:rPr>
        <w:t>采购项目名称：</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项目编号：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备注：根据评审表的要求提交相应证明资料复印件加盖企业公章：身份证、资格证（注册 建造师执业资格证书）、安全生产考核合格证、社保证明（需提供近三个月</w:t>
      </w:r>
      <w:r>
        <w:rPr>
          <w:rFonts w:hint="eastAsia" w:ascii="宋体" w:hAnsi="宋体" w:eastAsia="宋体" w:cs="宋体"/>
          <w:color w:val="auto"/>
          <w:sz w:val="22"/>
          <w:szCs w:val="22"/>
          <w:highlight w:val="none"/>
          <w:lang w:val="en-US" w:eastAsia="zh-CN"/>
        </w:rPr>
        <w:t>任意1月</w:t>
      </w:r>
      <w:r>
        <w:rPr>
          <w:rFonts w:hint="eastAsia" w:ascii="宋体" w:hAnsi="宋体" w:eastAsia="宋体" w:cs="宋体"/>
          <w:color w:val="auto"/>
          <w:sz w:val="22"/>
          <w:szCs w:val="22"/>
          <w:highlight w:val="none"/>
          <w:lang w:val="en-US"/>
        </w:rPr>
        <w:t xml:space="preserve">，指扣除发布釆购公告当月往前顺推3个月）、拟派项目负责人没有在其他在建项目中担任项目负责人的书面承诺。 </w:t>
      </w: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供应商名称（单位盖公章）：                              </w:t>
      </w:r>
    </w:p>
    <w:p>
      <w:pPr>
        <w:spacing w:beforeLines="0" w:afterLines="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 </w:t>
      </w:r>
    </w:p>
    <w:p>
      <w:pPr>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日期:   </w:t>
      </w:r>
      <w:r>
        <w:rPr>
          <w:rFonts w:hint="eastAsia" w:ascii="宋体" w:hAnsi="宋体" w:eastAsia="宋体" w:cs="宋体"/>
          <w:color w:val="auto"/>
          <w:sz w:val="22"/>
          <w:szCs w:val="22"/>
          <w:highlight w:val="none"/>
        </w:rPr>
        <w:t xml:space="preserve">     </w:t>
      </w: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lang w:val="en-US"/>
        </w:rPr>
        <w:t xml:space="preserve"> 同类项目业绩情况一览表</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采购项目名称：</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项目编号：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5408"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43" name="文本框 386"/>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170" w:right="10"/>
                                    <w:jc w:val="center"/>
                                    <w:rPr>
                                      <w:rFonts w:hint="default"/>
                                      <w:sz w:val="21"/>
                                      <w:szCs w:val="22"/>
                                    </w:rPr>
                                  </w:pPr>
                                  <w:r>
                                    <w:rPr>
                                      <w:rFonts w:hint="default"/>
                                      <w:sz w:val="21"/>
                                      <w:szCs w:val="22"/>
                                    </w:rPr>
                                    <w:t xml:space="preserve">序号 </w:t>
                                  </w:r>
                                </w:p>
                              </w:tc>
                              <w:tc>
                                <w:tcPr>
                                  <w:tcW w:w="1878"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366" w:right="228"/>
                                    <w:jc w:val="center"/>
                                    <w:rPr>
                                      <w:rFonts w:hint="default"/>
                                      <w:sz w:val="21"/>
                                      <w:szCs w:val="22"/>
                                    </w:rPr>
                                  </w:pPr>
                                  <w:r>
                                    <w:rPr>
                                      <w:rFonts w:hint="default"/>
                                      <w:sz w:val="21"/>
                                      <w:szCs w:val="22"/>
                                    </w:rPr>
                                    <w:t xml:space="preserve">采购单位名称 </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56" w:right="319"/>
                                    <w:jc w:val="center"/>
                                    <w:rPr>
                                      <w:rFonts w:hint="default"/>
                                      <w:sz w:val="21"/>
                                      <w:szCs w:val="22"/>
                                    </w:rPr>
                                  </w:pPr>
                                  <w:r>
                                    <w:rPr>
                                      <w:rFonts w:hint="default"/>
                                      <w:sz w:val="21"/>
                                      <w:szCs w:val="22"/>
                                    </w:rPr>
                                    <w:t xml:space="preserve">采购项目名称 </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92" w:right="353"/>
                                    <w:jc w:val="center"/>
                                    <w:rPr>
                                      <w:rFonts w:hint="default"/>
                                      <w:sz w:val="21"/>
                                      <w:szCs w:val="22"/>
                                    </w:rPr>
                                  </w:pPr>
                                  <w:r>
                                    <w:rPr>
                                      <w:rFonts w:hint="default"/>
                                      <w:sz w:val="21"/>
                                      <w:szCs w:val="22"/>
                                    </w:rPr>
                                    <w:t xml:space="preserve">合同总价 </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90" w:right="355"/>
                                    <w:jc w:val="center"/>
                                    <w:rPr>
                                      <w:rFonts w:hint="default"/>
                                      <w:sz w:val="21"/>
                                      <w:szCs w:val="22"/>
                                    </w:rPr>
                                  </w:pPr>
                                  <w:r>
                                    <w:rPr>
                                      <w:rFonts w:hint="default"/>
                                      <w:sz w:val="21"/>
                                      <w:szCs w:val="22"/>
                                    </w:rPr>
                                    <w:t xml:space="preserve">签订日期 </w:t>
                                  </w:r>
                                </w:p>
                              </w:tc>
                              <w:tc>
                                <w:tcPr>
                                  <w:tcW w:w="1721"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Lines="0" w:afterLines="0"/>
                                    <w:ind w:left="118" w:right="73"/>
                                    <w:jc w:val="center"/>
                                    <w:rPr>
                                      <w:rFonts w:hint="default"/>
                                      <w:sz w:val="21"/>
                                      <w:szCs w:val="22"/>
                                    </w:rPr>
                                  </w:pPr>
                                  <w:r>
                                    <w:rPr>
                                      <w:rFonts w:hint="default"/>
                                      <w:sz w:val="21"/>
                                      <w:szCs w:val="22"/>
                                    </w:rPr>
                                    <w:t>单位联系人及电</w:t>
                                  </w:r>
                                </w:p>
                                <w:p>
                                  <w:pPr>
                                    <w:pStyle w:val="109"/>
                                    <w:spacing w:before="5" w:beforeLines="0" w:afterLines="0" w:line="240" w:lineRule="exact"/>
                                    <w:ind w:left="219" w:right="73"/>
                                    <w:jc w:val="center"/>
                                    <w:rPr>
                                      <w:rFonts w:hint="default"/>
                                      <w:sz w:val="21"/>
                                      <w:szCs w:val="22"/>
                                    </w:rPr>
                                  </w:pPr>
                                  <w:r>
                                    <w:rPr>
                                      <w:rFonts w:hint="default"/>
                                      <w:sz w:val="21"/>
                                      <w:szCs w:val="22"/>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right="722"/>
                                    <w:jc w:val="right"/>
                                    <w:rPr>
                                      <w:rFonts w:hint="default"/>
                                      <w:sz w:val="21"/>
                                      <w:szCs w:val="22"/>
                                    </w:rPr>
                                  </w:pPr>
                                  <w:r>
                                    <w:rPr>
                                      <w:rFonts w:hint="default"/>
                                      <w:sz w:val="21"/>
                                      <w:szCs w:val="22"/>
                                    </w:rPr>
                                    <w:t xml:space="preserve"> </w:t>
                                  </w:r>
                                </w:p>
                              </w:tc>
                            </w:tr>
                          </w:tbl>
                          <w:p>
                            <w:pPr>
                              <w:pStyle w:val="2"/>
                              <w:spacing w:beforeLines="0" w:afterLines="0"/>
                              <w:rPr>
                                <w:rFonts w:hint="default"/>
                                <w:sz w:val="21"/>
                                <w:szCs w:val="21"/>
                              </w:rPr>
                            </w:pPr>
                          </w:p>
                        </w:txbxContent>
                      </wps:txbx>
                      <wps:bodyPr wrap="square" lIns="0" tIns="0" rIns="0" bIns="0" upright="1"/>
                    </wps:wsp>
                  </a:graphicData>
                </a:graphic>
              </wp:anchor>
            </w:drawing>
          </mc:Choice>
          <mc:Fallback>
            <w:pict>
              <v:shape id="文本框 386" o:spid="_x0000_s1026" o:spt="202" type="#_x0000_t202" style="position:absolute;left:0pt;margin-left:49pt;margin-top:8.9pt;height:206.35pt;width:494.9pt;mso-position-horizontal-relative:page;z-index:251665408;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v9PDGcgBAACEAwAADgAAAGRycy9lMm9Eb2MueG1srVNL&#10;btswEN0XyB0I7mMpciIYguUAhZGgQJEWSHsAmqIsAvyFQ1vyBdIbdNVN9z2Xz9EhZTltusmiG2o0&#10;M3rz3htqeTtoRfbCg7SmpleznBJhuG2k2db065e7ywUlEJhpmLJG1PQggN6uLt4te1eJwnZWNcIT&#10;BDFQ9a6mXQiuyjLgndAMZtYJg8XWes0Cvvpt1njWI7pWWZHnZdZb3zhvuQDA7Hos0hOifwugbVvJ&#10;xdrynRYmjKheKBZQEnTSAV0ltm0rePjUtiACUTVFpSGdOATjTTyz1ZJVW89cJ/mJAnsLhVeaNJMG&#10;h56h1iwwsvPyHygtubdg2zDjVmejkOQIqrjKX3nz2DEnkha0GtzZdPh/sPxh/9kT2dT0ek6JYRo3&#10;fvz+7fjj1/HnM5kvyuhQ76DCxkeHrWF4bwe8N1MeMBmFD63X8YmSCNbR38PZXzEEwjFZFoubYo4l&#10;jrWiLPLy+ibiZC+fOw/hXlhNYlBTjwtMvrL9Rwhj69QSpxl7J5VKS1TmrwRixkwWuY8cYxSGzXAS&#10;tLHNAfX0uPuawtOOeUGJ+mDQ3HhRpsBPwWYKds7LbYfkkgdpAC4nqThdpLj9P98TjZefZ/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CdHSNgAAAAKAQAADwAAAAAAAAABACAAAAAiAAAAZHJzL2Rv&#10;d25yZXYueG1sUEsBAhQAFAAAAAgAh07iQL/TwxnIAQAAhAMAAA4AAAAAAAAAAQAgAAAAJwEAAGRy&#10;cy9lMm9Eb2MueG1sUEsFBgAAAAAGAAYAWQEAAGEFAAAAAA==&#10;">
                <v:fill on="f" focussize="0,0"/>
                <v:stroke on="f"/>
                <v:imagedata o:title=""/>
                <o:lock v:ext="edit" aspectratio="f"/>
                <v:textbox inset="0mm,0mm,0mm,0mm">
                  <w:txbxContent>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170" w:right="10"/>
                              <w:jc w:val="center"/>
                              <w:rPr>
                                <w:rFonts w:hint="default"/>
                                <w:sz w:val="21"/>
                                <w:szCs w:val="22"/>
                              </w:rPr>
                            </w:pPr>
                            <w:r>
                              <w:rPr>
                                <w:rFonts w:hint="default"/>
                                <w:sz w:val="21"/>
                                <w:szCs w:val="22"/>
                              </w:rPr>
                              <w:t xml:space="preserve">序号 </w:t>
                            </w:r>
                          </w:p>
                        </w:tc>
                        <w:tc>
                          <w:tcPr>
                            <w:tcW w:w="1878"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366" w:right="228"/>
                              <w:jc w:val="center"/>
                              <w:rPr>
                                <w:rFonts w:hint="default"/>
                                <w:sz w:val="21"/>
                                <w:szCs w:val="22"/>
                              </w:rPr>
                            </w:pPr>
                            <w:r>
                              <w:rPr>
                                <w:rFonts w:hint="default"/>
                                <w:sz w:val="21"/>
                                <w:szCs w:val="22"/>
                              </w:rPr>
                              <w:t xml:space="preserve">采购单位名称 </w:t>
                            </w:r>
                          </w:p>
                        </w:tc>
                        <w:tc>
                          <w:tcPr>
                            <w:tcW w:w="2115"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56" w:right="319"/>
                              <w:jc w:val="center"/>
                              <w:rPr>
                                <w:rFonts w:hint="default"/>
                                <w:sz w:val="21"/>
                                <w:szCs w:val="22"/>
                              </w:rPr>
                            </w:pPr>
                            <w:r>
                              <w:rPr>
                                <w:rFonts w:hint="default"/>
                                <w:sz w:val="21"/>
                                <w:szCs w:val="22"/>
                              </w:rPr>
                              <w:t xml:space="preserve">采购项目名称 </w:t>
                            </w:r>
                          </w:p>
                        </w:tc>
                        <w:tc>
                          <w:tcPr>
                            <w:tcW w:w="1755"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92" w:right="353"/>
                              <w:jc w:val="center"/>
                              <w:rPr>
                                <w:rFonts w:hint="default"/>
                                <w:sz w:val="21"/>
                                <w:szCs w:val="22"/>
                              </w:rPr>
                            </w:pPr>
                            <w:r>
                              <w:rPr>
                                <w:rFonts w:hint="default"/>
                                <w:sz w:val="21"/>
                                <w:szCs w:val="22"/>
                              </w:rPr>
                              <w:t xml:space="preserve">合同总价 </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137" w:beforeLines="0" w:afterLines="0"/>
                              <w:ind w:left="490" w:right="355"/>
                              <w:jc w:val="center"/>
                              <w:rPr>
                                <w:rFonts w:hint="default"/>
                                <w:sz w:val="21"/>
                                <w:szCs w:val="22"/>
                              </w:rPr>
                            </w:pPr>
                            <w:r>
                              <w:rPr>
                                <w:rFonts w:hint="default"/>
                                <w:sz w:val="21"/>
                                <w:szCs w:val="22"/>
                              </w:rPr>
                              <w:t xml:space="preserve">签订日期 </w:t>
                            </w:r>
                          </w:p>
                        </w:tc>
                        <w:tc>
                          <w:tcPr>
                            <w:tcW w:w="1721" w:type="dxa"/>
                            <w:tcBorders>
                              <w:top w:val="single" w:color="auto" w:sz="4" w:space="0"/>
                              <w:left w:val="single" w:color="auto" w:sz="4" w:space="0"/>
                              <w:bottom w:val="single" w:color="auto" w:sz="4" w:space="0"/>
                              <w:right w:val="single" w:color="auto" w:sz="4" w:space="0"/>
                              <w:tl2br w:val="nil"/>
                              <w:tr2bl w:val="nil"/>
                            </w:tcBorders>
                            <w:shd w:val="clear" w:color="auto" w:fill="EDEBE0"/>
                            <w:noWrap w:val="0"/>
                            <w:vAlign w:val="top"/>
                          </w:tcPr>
                          <w:p>
                            <w:pPr>
                              <w:pStyle w:val="109"/>
                              <w:spacing w:beforeLines="0" w:afterLines="0"/>
                              <w:ind w:left="118" w:right="73"/>
                              <w:jc w:val="center"/>
                              <w:rPr>
                                <w:rFonts w:hint="default"/>
                                <w:sz w:val="21"/>
                                <w:szCs w:val="22"/>
                              </w:rPr>
                            </w:pPr>
                            <w:r>
                              <w:rPr>
                                <w:rFonts w:hint="default"/>
                                <w:sz w:val="21"/>
                                <w:szCs w:val="22"/>
                              </w:rPr>
                              <w:t>单位联系人及电</w:t>
                            </w:r>
                          </w:p>
                          <w:p>
                            <w:pPr>
                              <w:pStyle w:val="109"/>
                              <w:spacing w:before="5" w:beforeLines="0" w:afterLines="0" w:line="240" w:lineRule="exact"/>
                              <w:ind w:left="219" w:right="73"/>
                              <w:jc w:val="center"/>
                              <w:rPr>
                                <w:rFonts w:hint="default"/>
                                <w:sz w:val="21"/>
                                <w:szCs w:val="22"/>
                              </w:rPr>
                            </w:pPr>
                            <w:r>
                              <w:rPr>
                                <w:rFonts w:hint="default"/>
                                <w:sz w:val="21"/>
                                <w:szCs w:val="22"/>
                              </w:rPr>
                              <w:t xml:space="preserve">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20"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11"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ind w:right="722"/>
                              <w:jc w:val="right"/>
                              <w:rPr>
                                <w:rFonts w:hint="default"/>
                                <w:sz w:val="21"/>
                                <w:szCs w:val="22"/>
                              </w:rPr>
                            </w:pPr>
                            <w:r>
                              <w:rPr>
                                <w:rFonts w:hint="default"/>
                                <w:sz w:val="21"/>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22"/>
                              <w:jc w:val="center"/>
                              <w:rPr>
                                <w:rFonts w:hint="default"/>
                                <w:sz w:val="21"/>
                                <w:szCs w:val="22"/>
                              </w:rPr>
                            </w:pPr>
                            <w:r>
                              <w:rPr>
                                <w:rFonts w:hint="default"/>
                                <w:sz w:val="21"/>
                                <w:szCs w:val="22"/>
                              </w:rPr>
                              <w:t xml:space="preserve"> </w:t>
                            </w:r>
                          </w:p>
                        </w:tc>
                        <w:tc>
                          <w:tcPr>
                            <w:tcW w:w="187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5"/>
                              <w:jc w:val="center"/>
                              <w:rPr>
                                <w:rFonts w:hint="default"/>
                                <w:sz w:val="21"/>
                                <w:szCs w:val="22"/>
                              </w:rPr>
                            </w:pPr>
                            <w:r>
                              <w:rPr>
                                <w:rFonts w:hint="default"/>
                                <w:sz w:val="21"/>
                                <w:szCs w:val="22"/>
                              </w:rPr>
                              <w:t xml:space="preserve"> </w:t>
                            </w:r>
                          </w:p>
                        </w:tc>
                        <w:tc>
                          <w:tcPr>
                            <w:tcW w:w="21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9"/>
                              <w:jc w:val="center"/>
                              <w:rPr>
                                <w:rFonts w:hint="default"/>
                                <w:sz w:val="21"/>
                                <w:szCs w:val="22"/>
                              </w:rPr>
                            </w:pPr>
                            <w:r>
                              <w:rPr>
                                <w:rFonts w:hint="default"/>
                                <w:sz w:val="21"/>
                                <w:szCs w:val="22"/>
                              </w:rPr>
                              <w:t xml:space="preserve"> </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9"/>
                              <w:jc w:val="center"/>
                              <w:rPr>
                                <w:rFonts w:hint="default"/>
                                <w:sz w:val="21"/>
                                <w:szCs w:val="22"/>
                              </w:rPr>
                            </w:pPr>
                            <w:r>
                              <w:rPr>
                                <w:rFonts w:hint="default"/>
                                <w:sz w:val="21"/>
                                <w:szCs w:val="22"/>
                              </w:rPr>
                              <w:t xml:space="preserve"> </w:t>
                            </w:r>
                          </w:p>
                        </w:tc>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left="135"/>
                              <w:jc w:val="center"/>
                              <w:rPr>
                                <w:rFonts w:hint="default"/>
                                <w:sz w:val="21"/>
                                <w:szCs w:val="22"/>
                              </w:rPr>
                            </w:pPr>
                            <w:r>
                              <w:rPr>
                                <w:rFonts w:hint="default"/>
                                <w:sz w:val="21"/>
                                <w:szCs w:val="22"/>
                              </w:rPr>
                              <w:t xml:space="preserve"> </w:t>
                            </w:r>
                          </w:p>
                        </w:tc>
                        <w:tc>
                          <w:tcPr>
                            <w:tcW w:w="172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09"/>
                              <w:spacing w:before="109" w:beforeLines="0" w:afterLines="0" w:line="269" w:lineRule="exact"/>
                              <w:ind w:right="722"/>
                              <w:jc w:val="right"/>
                              <w:rPr>
                                <w:rFonts w:hint="default"/>
                                <w:sz w:val="21"/>
                                <w:szCs w:val="22"/>
                              </w:rPr>
                            </w:pPr>
                            <w:r>
                              <w:rPr>
                                <w:rFonts w:hint="default"/>
                                <w:sz w:val="21"/>
                                <w:szCs w:val="22"/>
                              </w:rPr>
                              <w:t xml:space="preserve"> </w:t>
                            </w:r>
                          </w:p>
                        </w:tc>
                      </w:tr>
                    </w:tbl>
                    <w:p>
                      <w:pPr>
                        <w:pStyle w:val="2"/>
                        <w:spacing w:beforeLines="0" w:afterLines="0"/>
                        <w:rPr>
                          <w:rFonts w:hint="default"/>
                          <w:sz w:val="21"/>
                          <w:szCs w:val="21"/>
                        </w:rPr>
                      </w:pPr>
                    </w:p>
                  </w:txbxContent>
                </v:textbox>
              </v:shape>
            </w:pict>
          </mc:Fallback>
        </mc:AlternateConten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备注：根据评审表的要求提交相应资料。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供应商名称（单位盖公章）：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sectPr>
          <w:pgSz w:w="11910" w:h="16840"/>
          <w:pgMar w:top="1984" w:right="1531" w:bottom="2098" w:left="1531" w:header="670" w:footer="1041" w:gutter="0"/>
          <w:lnNumType w:countBy="0" w:distance="360"/>
          <w:pgNumType w:fmt="numberInDash" w:chapStyle="1"/>
          <w:cols w:space="720" w:num="1"/>
          <w:titlePg/>
          <w:docGrid w:type="lines" w:linePitch="1" w:charSpace="0"/>
        </w:sectPr>
      </w:pPr>
    </w:p>
    <w:p>
      <w:pPr>
        <w:spacing w:beforeLines="0" w:afterLines="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lang w:val="en-US" w:eastAsia="zh-CN"/>
        </w:rPr>
        <w:t>5</w:t>
      </w:r>
      <w:r>
        <w:rPr>
          <w:rFonts w:hint="eastAsia" w:ascii="宋体" w:hAnsi="宋体" w:eastAsia="宋体" w:cs="宋体"/>
          <w:b/>
          <w:color w:val="auto"/>
          <w:sz w:val="22"/>
          <w:szCs w:val="22"/>
          <w:highlight w:val="none"/>
          <w:lang w:val="en-US"/>
        </w:rPr>
        <w:t xml:space="preserve"> 项目团队</w:t>
      </w:r>
    </w:p>
    <w:p>
      <w:pPr>
        <w:pStyle w:val="21"/>
        <w:spacing w:beforeLines="0" w:afterLines="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注：根据</w:t>
      </w:r>
      <w:r>
        <w:rPr>
          <w:rFonts w:hint="eastAsia" w:ascii="宋体" w:hAnsi="宋体" w:eastAsia="宋体" w:cs="宋体"/>
          <w:color w:val="auto"/>
          <w:sz w:val="22"/>
          <w:szCs w:val="22"/>
          <w:highlight w:val="none"/>
          <w:lang w:val="en-US" w:eastAsia="zh-CN"/>
        </w:rPr>
        <w:t>采购项目需求</w:t>
      </w:r>
      <w:r>
        <w:rPr>
          <w:rFonts w:hint="eastAsia" w:ascii="宋体" w:hAnsi="宋体" w:eastAsia="宋体" w:cs="宋体"/>
          <w:color w:val="auto"/>
          <w:sz w:val="22"/>
          <w:szCs w:val="22"/>
          <w:highlight w:val="none"/>
          <w:lang w:val="en-US"/>
        </w:rPr>
        <w:t xml:space="preserve">编写及提供相关资料，复印件均要求加盖公章。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供应商法定代表人（或法定代表人授权代表）签名或签章：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供应商名称（盖公章）：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日 期： 年 月 日</w:t>
      </w: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spacing w:beforeLines="0" w:afterLines="0"/>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b/>
          <w:color w:val="auto"/>
          <w:sz w:val="22"/>
          <w:szCs w:val="22"/>
          <w:highlight w:val="none"/>
          <w:lang w:val="en-US"/>
        </w:rPr>
      </w:pPr>
    </w:p>
    <w:p>
      <w:pPr>
        <w:pStyle w:val="21"/>
        <w:rPr>
          <w:rFonts w:hint="eastAsia" w:ascii="宋体" w:hAnsi="宋体" w:eastAsia="宋体" w:cs="宋体"/>
          <w:b/>
          <w:color w:val="auto"/>
          <w:sz w:val="22"/>
          <w:szCs w:val="22"/>
          <w:highlight w:val="none"/>
          <w:lang w:val="en-US"/>
        </w:rPr>
      </w:pPr>
    </w:p>
    <w:p>
      <w:pPr>
        <w:rPr>
          <w:rFonts w:hint="eastAsia" w:ascii="宋体" w:hAnsi="宋体" w:eastAsia="宋体" w:cs="宋体"/>
          <w:b/>
          <w:color w:val="auto"/>
          <w:sz w:val="22"/>
          <w:szCs w:val="22"/>
          <w:highlight w:val="none"/>
          <w:lang w:val="en-US"/>
        </w:rPr>
      </w:pPr>
    </w:p>
    <w:p>
      <w:pPr>
        <w:pStyle w:val="21"/>
        <w:spacing w:beforeLines="0" w:afterLines="0"/>
        <w:ind w:left="0"/>
        <w:rPr>
          <w:rFonts w:hint="eastAsia" w:ascii="宋体" w:hAnsi="宋体" w:eastAsia="宋体" w:cs="宋体"/>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lang w:val="en-US"/>
        </w:rPr>
      </w:pPr>
    </w:p>
    <w:p>
      <w:pPr>
        <w:spacing w:beforeLines="0" w:afterLines="0" w:line="440" w:lineRule="exact"/>
        <w:ind w:firstLine="2871" w:firstLineChars="1300"/>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lang w:val="en-US" w:eastAsia="zh-CN"/>
        </w:rPr>
        <w:t>6</w:t>
      </w:r>
      <w:r>
        <w:rPr>
          <w:rFonts w:hint="eastAsia" w:ascii="宋体" w:hAnsi="宋体" w:eastAsia="宋体" w:cs="宋体"/>
          <w:b/>
          <w:color w:val="auto"/>
          <w:sz w:val="22"/>
          <w:szCs w:val="22"/>
          <w:highlight w:val="none"/>
          <w:lang w:val="en-US"/>
        </w:rPr>
        <w:t xml:space="preserve">  </w:t>
      </w:r>
      <w:r>
        <w:rPr>
          <w:rFonts w:hint="eastAsia" w:ascii="宋体" w:hAnsi="宋体" w:eastAsia="宋体" w:cs="宋体"/>
          <w:b/>
          <w:color w:val="auto"/>
          <w:sz w:val="22"/>
          <w:szCs w:val="22"/>
          <w:highlight w:val="none"/>
        </w:rPr>
        <w:t>中小企业声明函</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本公司（联合体）郑重声明，根据《政府采购促进中小企业发展管理办法》（财库 ﹝2020﹞46 号）的规定，本公司（联合体）参加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1.（标的名称），属于（</w:t>
      </w:r>
      <w:r>
        <w:rPr>
          <w:rFonts w:hint="eastAsia" w:ascii="宋体" w:hAnsi="宋体" w:eastAsia="宋体" w:cs="宋体"/>
          <w:color w:val="auto"/>
          <w:sz w:val="22"/>
          <w:szCs w:val="22"/>
          <w:highlight w:val="none"/>
          <w:lang w:val="en-US" w:eastAsia="zh-CN"/>
        </w:rPr>
        <w:t>建筑业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2（标的名称），属于（采购文件中明确的所属行业）；承建（承接）企业为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（中型企业、小型企业、微型企业）</w:t>
      </w:r>
      <w:r>
        <w:rPr>
          <w:rFonts w:hint="eastAsia" w:ascii="宋体" w:hAnsi="宋体" w:eastAsia="宋体" w:cs="宋体"/>
          <w:color w:val="auto"/>
          <w:sz w:val="22"/>
          <w:szCs w:val="22"/>
          <w:highlight w:val="none"/>
        </w:rPr>
        <w:t>；</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pPr>
        <w:spacing w:beforeLines="0" w:afterLines="0" w:line="44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本企业对上述声明内容的真实性负责。如有虚假，将依法承担相应责任。</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2860" w:firstLineChars="1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企业名称（盖章）： </w:t>
      </w:r>
    </w:p>
    <w:p>
      <w:pPr>
        <w:spacing w:beforeLines="0" w:afterLines="0" w:line="440" w:lineRule="exact"/>
        <w:ind w:firstLine="2860" w:firstLineChars="1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widowControl/>
        <w:autoSpaceDE/>
        <w:autoSpaceDN/>
        <w:spacing w:beforeLines="0" w:afterLines="0" w:line="400" w:lineRule="exact"/>
        <w:jc w:val="both"/>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备注：1、</w:t>
      </w:r>
      <w:r>
        <w:rPr>
          <w:rFonts w:hint="eastAsia" w:ascii="宋体" w:hAnsi="宋体" w:eastAsia="宋体" w:cs="宋体"/>
          <w:b/>
          <w:color w:val="auto"/>
          <w:sz w:val="22"/>
          <w:szCs w:val="22"/>
          <w:highlight w:val="none"/>
        </w:rPr>
        <w:t>从业人员、营业收入、资产总额填报上一年度数据，无上一年度数据的新成立企业可不填报。</w:t>
      </w:r>
    </w:p>
    <w:p>
      <w:pPr>
        <w:widowControl/>
        <w:numPr>
          <w:ilvl w:val="0"/>
          <w:numId w:val="4"/>
        </w:numPr>
        <w:autoSpaceDE/>
        <w:autoSpaceDN/>
        <w:spacing w:beforeLines="0" w:afterLines="0" w:line="400" w:lineRule="exact"/>
        <w:ind w:firstLine="663" w:firstLineChars="300"/>
        <w:jc w:val="both"/>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投标人为中小企业时需提供本声明函，并完整填写从业人员、营业收入、资产总额等内容，否则评审时不能享受相应的价格扣除。</w:t>
      </w:r>
    </w:p>
    <w:p>
      <w:pPr>
        <w:pStyle w:val="21"/>
        <w:numPr>
          <w:ilvl w:val="0"/>
          <w:numId w:val="0"/>
        </w:numPr>
        <w:spacing w:beforeLines="0" w:afterLines="0"/>
        <w:ind w:left="0"/>
        <w:rPr>
          <w:rFonts w:hint="eastAsia" w:ascii="宋体" w:hAnsi="宋体" w:eastAsia="宋体" w:cs="宋体"/>
          <w:color w:val="auto"/>
          <w:sz w:val="22"/>
          <w:szCs w:val="22"/>
          <w:highlight w:val="none"/>
          <w:lang w:val="en-US"/>
        </w:rPr>
      </w:pPr>
    </w:p>
    <w:p>
      <w:pPr>
        <w:spacing w:beforeLines="0" w:afterLines="0" w:line="440" w:lineRule="exact"/>
        <w:ind w:firstLine="0" w:firstLineChars="0"/>
        <w:jc w:val="both"/>
        <w:rPr>
          <w:rFonts w:hint="eastAsia" w:ascii="宋体" w:hAnsi="宋体" w:eastAsia="宋体" w:cs="宋体"/>
          <w:b/>
          <w:color w:val="auto"/>
          <w:sz w:val="22"/>
          <w:szCs w:val="22"/>
          <w:highlight w:val="none"/>
          <w:lang w:val="en-US"/>
        </w:rPr>
      </w:pPr>
    </w:p>
    <w:p>
      <w:pPr>
        <w:pStyle w:val="2"/>
        <w:rPr>
          <w:rFonts w:hint="eastAsia" w:ascii="宋体" w:hAnsi="宋体" w:eastAsia="宋体" w:cs="宋体"/>
          <w:b/>
          <w:color w:val="auto"/>
          <w:sz w:val="22"/>
          <w:szCs w:val="22"/>
          <w:highlight w:val="none"/>
          <w:lang w:val="en-US"/>
        </w:rPr>
      </w:pPr>
    </w:p>
    <w:p>
      <w:pPr>
        <w:pStyle w:val="3"/>
        <w:rPr>
          <w:rFonts w:hint="eastAsia"/>
          <w:lang w:val="en-US"/>
        </w:rPr>
      </w:pPr>
    </w:p>
    <w:p>
      <w:pPr>
        <w:spacing w:beforeLines="0" w:afterLines="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lang w:val="en-US" w:eastAsia="zh-CN"/>
        </w:rPr>
        <w:t>7</w:t>
      </w:r>
      <w:r>
        <w:rPr>
          <w:rFonts w:hint="eastAsia" w:ascii="宋体" w:hAnsi="宋体" w:eastAsia="宋体" w:cs="宋体"/>
          <w:b/>
          <w:color w:val="auto"/>
          <w:sz w:val="22"/>
          <w:szCs w:val="22"/>
          <w:highlight w:val="none"/>
          <w:lang w:val="en-US"/>
        </w:rPr>
        <w:t xml:space="preserve"> </w:t>
      </w:r>
      <w:r>
        <w:rPr>
          <w:rFonts w:hint="eastAsia" w:ascii="宋体" w:hAnsi="宋体" w:eastAsia="宋体" w:cs="宋体"/>
          <w:b/>
          <w:color w:val="auto"/>
          <w:sz w:val="22"/>
          <w:szCs w:val="22"/>
          <w:highlight w:val="none"/>
        </w:rPr>
        <w:t>残疾人福利性单位声明函（</w:t>
      </w:r>
      <w:r>
        <w:rPr>
          <w:rFonts w:hint="eastAsia" w:ascii="宋体" w:hAnsi="宋体" w:eastAsia="宋体" w:cs="宋体"/>
          <w:b/>
          <w:color w:val="auto"/>
          <w:sz w:val="22"/>
          <w:szCs w:val="22"/>
          <w:highlight w:val="none"/>
          <w:lang w:val="en-US"/>
        </w:rPr>
        <w:t>可选</w:t>
      </w:r>
      <w:r>
        <w:rPr>
          <w:rFonts w:hint="eastAsia" w:ascii="宋体" w:hAnsi="宋体" w:eastAsia="宋体" w:cs="宋体"/>
          <w:b/>
          <w:color w:val="auto"/>
          <w:sz w:val="22"/>
          <w:szCs w:val="22"/>
          <w:highlight w:val="none"/>
        </w:rPr>
        <w:t>）</w:t>
      </w:r>
    </w:p>
    <w:p>
      <w:pPr>
        <w:spacing w:beforeLines="0" w:afterLines="0" w:line="360" w:lineRule="auto"/>
        <w:rPr>
          <w:rFonts w:hint="eastAsia" w:ascii="宋体" w:hAnsi="宋体" w:eastAsia="宋体" w:cs="宋体"/>
          <w:b/>
          <w:color w:val="auto"/>
          <w:spacing w:val="6"/>
          <w:sz w:val="22"/>
          <w:szCs w:val="22"/>
          <w:highlight w:val="none"/>
        </w:rPr>
      </w:pPr>
    </w:p>
    <w:p>
      <w:pPr>
        <w:spacing w:beforeLines="0" w:afterLines="0"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z w:val="22"/>
          <w:szCs w:val="22"/>
          <w:highlight w:val="none"/>
          <w:u w:val="single"/>
        </w:rPr>
        <w:t>XXXX</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z w:val="22"/>
          <w:szCs w:val="22"/>
          <w:highlight w:val="none"/>
          <w:u w:val="single"/>
        </w:rPr>
        <w:t>XXXX</w:t>
      </w:r>
      <w:r>
        <w:rPr>
          <w:rFonts w:hint="eastAsia" w:ascii="宋体" w:hAnsi="宋体" w:eastAsia="宋体" w:cs="宋体"/>
          <w:color w:val="auto"/>
          <w:spacing w:val="6"/>
          <w:sz w:val="22"/>
          <w:szCs w:val="22"/>
          <w:highlight w:val="none"/>
        </w:rPr>
        <w:t>项目采购活动由本单位承担工程。</w:t>
      </w:r>
    </w:p>
    <w:p>
      <w:pPr>
        <w:spacing w:beforeLines="0" w:afterLines="0"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pacing w:beforeLines="0" w:afterLines="0" w:line="360" w:lineRule="auto"/>
        <w:rPr>
          <w:rFonts w:hint="eastAsia" w:ascii="宋体" w:hAnsi="宋体" w:eastAsia="宋体" w:cs="宋体"/>
          <w:color w:val="auto"/>
          <w:spacing w:val="6"/>
          <w:sz w:val="22"/>
          <w:szCs w:val="22"/>
          <w:highlight w:val="none"/>
        </w:rPr>
      </w:pPr>
    </w:p>
    <w:p>
      <w:pPr>
        <w:spacing w:beforeLines="0" w:afterLines="0" w:line="360" w:lineRule="auto"/>
        <w:rPr>
          <w:rFonts w:hint="eastAsia" w:ascii="宋体" w:hAnsi="宋体" w:eastAsia="宋体" w:cs="宋体"/>
          <w:color w:val="auto"/>
          <w:spacing w:val="6"/>
          <w:sz w:val="22"/>
          <w:szCs w:val="22"/>
          <w:highlight w:val="none"/>
        </w:rPr>
      </w:pPr>
    </w:p>
    <w:p>
      <w:pPr>
        <w:spacing w:beforeLines="0" w:afterLines="0"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供应商名称：XXXX（加盖公章）</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日期：XXX年XXX月XXX日</w:t>
      </w:r>
    </w:p>
    <w:p>
      <w:pPr>
        <w:spacing w:beforeLines="0" w:afterLines="0" w:line="360" w:lineRule="auto"/>
        <w:ind w:firstLine="440" w:firstLineChars="200"/>
        <w:rPr>
          <w:rFonts w:hint="eastAsia" w:ascii="宋体" w:hAnsi="宋体" w:eastAsia="宋体" w:cs="宋体"/>
          <w:color w:val="auto"/>
          <w:sz w:val="22"/>
          <w:szCs w:val="22"/>
          <w:highlight w:val="none"/>
        </w:rPr>
      </w:pPr>
    </w:p>
    <w:p>
      <w:pPr>
        <w:spacing w:beforeLines="0" w:afterLines="0" w:line="360" w:lineRule="auto"/>
        <w:rPr>
          <w:rFonts w:hint="eastAsia" w:ascii="宋体" w:hAnsi="宋体" w:eastAsia="宋体" w:cs="宋体"/>
          <w:color w:val="auto"/>
          <w:sz w:val="22"/>
          <w:szCs w:val="22"/>
          <w:highlight w:val="none"/>
        </w:rPr>
      </w:pPr>
    </w:p>
    <w:p>
      <w:pPr>
        <w:spacing w:beforeLines="0" w:afterLines="0" w:line="360" w:lineRule="auto"/>
        <w:rPr>
          <w:rFonts w:hint="eastAsia" w:ascii="宋体" w:hAnsi="宋体" w:eastAsia="宋体" w:cs="宋体"/>
          <w:color w:val="auto"/>
          <w:sz w:val="22"/>
          <w:szCs w:val="22"/>
          <w:highlight w:val="none"/>
        </w:rPr>
      </w:pPr>
    </w:p>
    <w:p>
      <w:pPr>
        <w:spacing w:beforeLines="0" w:afterLines="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spacing w:beforeLines="0" w:afterLines="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1.残疾人福利性单位视同小型、微型企业，享受预留份额、评审中价格扣除等促进中小企业发展的政府采购政策。残疾人福利性单位属于小型、微型企业的，不重复享受政策。</w:t>
      </w:r>
    </w:p>
    <w:p>
      <w:pPr>
        <w:spacing w:beforeLines="0" w:afterLines="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2.供应商为非残疾人福利性单位的，不得提供此声明，提供此声明的，声明无效。</w:t>
      </w:r>
    </w:p>
    <w:p>
      <w:pPr>
        <w:spacing w:beforeLines="0" w:afterLines="0" w:line="360" w:lineRule="auto"/>
        <w:ind w:firstLine="431" w:firstLineChars="196"/>
        <w:outlineLvl w:val="1"/>
        <w:rPr>
          <w:rFonts w:hint="eastAsia" w:ascii="宋体" w:hAnsi="宋体" w:eastAsia="宋体" w:cs="宋体"/>
          <w:color w:val="auto"/>
          <w:sz w:val="22"/>
          <w:szCs w:val="22"/>
          <w:highlight w:val="none"/>
        </w:rPr>
      </w:pPr>
    </w:p>
    <w:p>
      <w:pPr>
        <w:spacing w:beforeLines="0" w:afterLines="0" w:line="360" w:lineRule="auto"/>
        <w:rPr>
          <w:rFonts w:hint="eastAsia" w:ascii="宋体" w:hAnsi="宋体" w:eastAsia="宋体" w:cs="宋体"/>
          <w:b/>
          <w:color w:val="auto"/>
          <w:sz w:val="22"/>
          <w:szCs w:val="22"/>
          <w:highlight w:val="none"/>
        </w:rPr>
        <w:sectPr>
          <w:headerReference r:id="rId10" w:type="default"/>
          <w:footerReference r:id="rId11" w:type="default"/>
          <w:pgSz w:w="11907" w:h="16840"/>
          <w:pgMar w:top="1440" w:right="1797" w:bottom="1440" w:left="1797" w:header="851" w:footer="992" w:gutter="0"/>
          <w:lnNumType w:countBy="0" w:distance="360"/>
          <w:pgNumType w:fmt="numberInDash" w:chapStyle="1"/>
          <w:cols w:space="720" w:num="1"/>
          <w:titlePg/>
          <w:docGrid w:type="lines" w:linePitch="312" w:charSpace="0"/>
        </w:sectPr>
      </w:pPr>
    </w:p>
    <w:p>
      <w:pPr>
        <w:spacing w:beforeLines="0" w:afterLines="0"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2.</w:t>
      </w:r>
      <w:r>
        <w:rPr>
          <w:rFonts w:hint="eastAsia" w:ascii="宋体" w:hAnsi="宋体" w:eastAsia="宋体" w:cs="宋体"/>
          <w:b/>
          <w:color w:val="auto"/>
          <w:sz w:val="22"/>
          <w:szCs w:val="22"/>
          <w:highlight w:val="none"/>
          <w:lang w:val="en-US" w:eastAsia="zh-CN"/>
        </w:rPr>
        <w:t>8</w:t>
      </w:r>
      <w:r>
        <w:rPr>
          <w:rFonts w:hint="eastAsia" w:ascii="宋体" w:hAnsi="宋体" w:eastAsia="宋体" w:cs="宋体"/>
          <w:b/>
          <w:color w:val="auto"/>
          <w:sz w:val="22"/>
          <w:szCs w:val="22"/>
          <w:highlight w:val="none"/>
          <w:lang w:val="en-US"/>
        </w:rPr>
        <w:t xml:space="preserve"> </w:t>
      </w:r>
      <w:r>
        <w:rPr>
          <w:rFonts w:hint="eastAsia" w:ascii="宋体" w:hAnsi="宋体" w:eastAsia="宋体" w:cs="宋体"/>
          <w:b/>
          <w:color w:val="auto"/>
          <w:sz w:val="22"/>
          <w:szCs w:val="22"/>
          <w:highlight w:val="none"/>
        </w:rPr>
        <w:t>监狱企业证明（</w:t>
      </w:r>
      <w:r>
        <w:rPr>
          <w:rFonts w:hint="eastAsia" w:ascii="宋体" w:hAnsi="宋体" w:eastAsia="宋体" w:cs="宋体"/>
          <w:b/>
          <w:color w:val="auto"/>
          <w:sz w:val="22"/>
          <w:szCs w:val="22"/>
          <w:highlight w:val="none"/>
          <w:lang w:val="en-US"/>
        </w:rPr>
        <w:t>可选</w:t>
      </w:r>
      <w:r>
        <w:rPr>
          <w:rFonts w:hint="eastAsia" w:ascii="宋体" w:hAnsi="宋体" w:eastAsia="宋体" w:cs="宋体"/>
          <w:b/>
          <w:color w:val="auto"/>
          <w:sz w:val="22"/>
          <w:szCs w:val="22"/>
          <w:highlight w:val="none"/>
        </w:rPr>
        <w:t>）</w:t>
      </w:r>
    </w:p>
    <w:p>
      <w:pPr>
        <w:spacing w:beforeLines="0" w:afterLines="0" w:line="360" w:lineRule="auto"/>
        <w:jc w:val="center"/>
        <w:rPr>
          <w:rFonts w:hint="eastAsia" w:ascii="宋体" w:hAnsi="宋体" w:eastAsia="宋体" w:cs="宋体"/>
          <w:b/>
          <w:color w:val="auto"/>
          <w:sz w:val="22"/>
          <w:szCs w:val="22"/>
          <w:highlight w:val="none"/>
        </w:rPr>
      </w:pPr>
    </w:p>
    <w:p>
      <w:pPr>
        <w:spacing w:beforeLines="0" w:afterLines="0" w:line="360" w:lineRule="auto"/>
        <w:jc w:val="center"/>
        <w:rPr>
          <w:rFonts w:hint="eastAsia" w:ascii="宋体" w:hAnsi="宋体" w:eastAsia="宋体" w:cs="宋体"/>
          <w:b/>
          <w:color w:val="auto"/>
          <w:sz w:val="22"/>
          <w:szCs w:val="22"/>
          <w:highlight w:val="none"/>
        </w:rPr>
      </w:pPr>
    </w:p>
    <w:p>
      <w:pPr>
        <w:spacing w:beforeLines="0" w:after="160" w:afterLines="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注：1.监狱企业参加政府采购活动时，应当提供由省级以上监狱管理局、戒毒管理局（含新疆生产建设兵团）出具的属于监狱企业的证明文件，并加盖单位公章。</w:t>
      </w:r>
    </w:p>
    <w:p>
      <w:pPr>
        <w:spacing w:beforeLines="0" w:after="160" w:afterLines="0"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2.监狱企业视同小型、微型企业，享受预留份额、评审中价格扣除等政府采购促进中小企业发展的政府采购政策。监狱企业属于小型、微型企业的，不重复享受政策。</w:t>
      </w: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rPr>
          <w:rFonts w:hint="eastAsia" w:ascii="宋体" w:hAnsi="宋体" w:eastAsia="宋体" w:cs="宋体"/>
          <w:color w:val="auto"/>
          <w:sz w:val="22"/>
          <w:szCs w:val="22"/>
          <w:highlight w:val="none"/>
          <w:lang w:val="en-US"/>
        </w:rPr>
      </w:pPr>
    </w:p>
    <w:p>
      <w:pPr>
        <w:pStyle w:val="21"/>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三、技术文件</w:t>
      </w: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 xml:space="preserve">3.1  技术服务内容 </w:t>
      </w:r>
    </w:p>
    <w:p>
      <w:pPr>
        <w:spacing w:beforeLines="0" w:afterLines="0" w:line="440" w:lineRule="exact"/>
        <w:rPr>
          <w:rFonts w:hint="eastAsia" w:ascii="宋体" w:hAnsi="宋体" w:eastAsia="宋体" w:cs="宋体"/>
          <w:b/>
          <w:color w:val="auto"/>
          <w:sz w:val="22"/>
          <w:szCs w:val="22"/>
          <w:highlight w:val="none"/>
          <w:lang w:val="en-US"/>
        </w:rPr>
      </w:pPr>
    </w:p>
    <w:p>
      <w:pPr>
        <w:spacing w:beforeLines="0" w:afterLines="0" w:line="440" w:lineRule="exact"/>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 xml:space="preserve">应包括但不局限于以下内容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技术方案必须科学合理、真实可行，能充分体现出自身技术和专业优势。其要点和主要内容不限于如下内容：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4.2.1 项目实施方案；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4.2.2 施工工期保证措施；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4.2.3 质量管理及质量保证措施；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4.2.4 施工安全及文明施工措施；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4.2.5 应急服务方案；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4.2.6 员工权益保障方案； </w:t>
      </w: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 xml:space="preserve">4.2.7 企业规章制度情况。 </w:t>
      </w: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注：根据</w:t>
      </w:r>
      <w:r>
        <w:rPr>
          <w:rFonts w:hint="eastAsia" w:ascii="宋体" w:hAnsi="宋体" w:eastAsia="宋体" w:cs="宋体"/>
          <w:color w:val="auto"/>
          <w:sz w:val="22"/>
          <w:szCs w:val="22"/>
          <w:highlight w:val="none"/>
          <w:lang w:val="en-US" w:eastAsia="zh-CN"/>
        </w:rPr>
        <w:t>采购项目需求</w:t>
      </w:r>
      <w:r>
        <w:rPr>
          <w:rFonts w:hint="eastAsia" w:ascii="宋体" w:hAnsi="宋体" w:eastAsia="宋体" w:cs="宋体"/>
          <w:color w:val="auto"/>
          <w:sz w:val="22"/>
          <w:szCs w:val="22"/>
          <w:highlight w:val="none"/>
          <w:lang w:val="en-US"/>
        </w:rPr>
        <w:t>提供相应证明材料。</w:t>
      </w: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rPr>
          <w:rFonts w:hint="eastAsia" w:ascii="宋体" w:hAnsi="宋体" w:eastAsia="宋体" w:cs="宋体"/>
          <w:color w:val="auto"/>
          <w:sz w:val="22"/>
          <w:szCs w:val="22"/>
          <w:highlight w:val="none"/>
          <w:lang w:val="en-US"/>
        </w:rPr>
      </w:pPr>
    </w:p>
    <w:p>
      <w:pPr>
        <w:pStyle w:val="21"/>
        <w:spacing w:beforeLines="0" w:afterLines="0"/>
        <w:ind w:left="0"/>
        <w:rPr>
          <w:rFonts w:hint="eastAsia" w:ascii="宋体" w:hAnsi="宋体" w:eastAsia="宋体" w:cs="宋体"/>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lang w:val="en-US"/>
        </w:r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四、价格部分</w:t>
      </w:r>
    </w:p>
    <w:p>
      <w:pPr>
        <w:spacing w:beforeLines="0" w:afterLines="0"/>
        <w:rPr>
          <w:rFonts w:hint="eastAsia" w:ascii="宋体" w:hAnsi="宋体" w:eastAsia="宋体" w:cs="宋体"/>
          <w:color w:val="auto"/>
          <w:sz w:val="22"/>
          <w:szCs w:val="22"/>
          <w:highlight w:val="none"/>
          <w:lang w:val="en-US"/>
        </w:rPr>
      </w:pPr>
    </w:p>
    <w:p>
      <w:pPr>
        <w:pStyle w:val="21"/>
        <w:spacing w:beforeLines="0" w:afterLines="0"/>
        <w:rPr>
          <w:rFonts w:hint="eastAsia" w:ascii="宋体" w:hAnsi="宋体" w:eastAsia="宋体" w:cs="宋体"/>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4.1 报价</w:t>
      </w:r>
      <w:r>
        <w:rPr>
          <w:rFonts w:hint="eastAsia" w:ascii="宋体" w:hAnsi="宋体" w:eastAsia="宋体" w:cs="宋体"/>
          <w:b/>
          <w:color w:val="auto"/>
          <w:sz w:val="22"/>
          <w:szCs w:val="22"/>
          <w:highlight w:val="none"/>
        </w:rPr>
        <w:t>一览表(首次报价表)</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both"/>
        <w:textAlignment w:val="auto"/>
        <w:rPr>
          <w:rFonts w:hint="eastAsia" w:ascii="仿宋" w:hAnsi="仿宋" w:eastAsia="仿宋" w:cs="仿宋"/>
          <w:color w:val="auto"/>
          <w:sz w:val="24"/>
          <w:szCs w:val="24"/>
          <w:highlight w:val="none"/>
        </w:rPr>
      </w:pPr>
    </w:p>
    <w:tbl>
      <w:tblPr>
        <w:tblStyle w:val="4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7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项目名称</w:t>
            </w:r>
          </w:p>
        </w:tc>
        <w:tc>
          <w:tcPr>
            <w:tcW w:w="7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项目编号</w:t>
            </w:r>
          </w:p>
        </w:tc>
        <w:tc>
          <w:tcPr>
            <w:tcW w:w="7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谈判报价</w:t>
            </w:r>
          </w:p>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（人民币元）</w:t>
            </w:r>
          </w:p>
        </w:tc>
        <w:tc>
          <w:tcPr>
            <w:tcW w:w="7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 xml:space="preserve">小写：                   </w:t>
            </w:r>
          </w:p>
          <w:p>
            <w:pPr>
              <w:keepNext w:val="0"/>
              <w:keepLines w:val="0"/>
              <w:widowControl/>
              <w:suppressLineNumbers w:val="0"/>
              <w:jc w:val="lef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大写：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完工期</w:t>
            </w:r>
          </w:p>
        </w:tc>
        <w:tc>
          <w:tcPr>
            <w:tcW w:w="7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项目负责人</w:t>
            </w:r>
          </w:p>
        </w:tc>
        <w:tc>
          <w:tcPr>
            <w:tcW w:w="7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备注</w:t>
            </w:r>
          </w:p>
        </w:tc>
        <w:tc>
          <w:tcPr>
            <w:tcW w:w="7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0"/>
                <w:szCs w:val="20"/>
                <w:highlight w:val="none"/>
                <w:u w:val="none"/>
              </w:rPr>
            </w:pPr>
          </w:p>
        </w:tc>
      </w:tr>
    </w:tbl>
    <w:p>
      <w:pPr>
        <w:spacing w:beforeLines="0" w:afterLines="0"/>
        <w:rPr>
          <w:rFonts w:hint="eastAsia" w:ascii="宋体" w:hAnsi="宋体" w:eastAsia="宋体" w:cs="宋体"/>
          <w:color w:val="auto"/>
          <w:sz w:val="22"/>
          <w:szCs w:val="22"/>
          <w:highlight w:val="none"/>
          <w:lang w:val="en-US"/>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注：</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1.供应商须按要求填写所有信息。本表格式内容不得改动。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 总报价不得超出本项目采购预算价，否则视作无效响应文件。</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供应商名称（单位盖公章）：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法定代表人或供应商授权代表（签名或盖章）：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sectPr>
          <w:headerReference r:id="rId12" w:type="default"/>
          <w:pgSz w:w="11910" w:h="16840"/>
          <w:pgMar w:top="1984" w:right="1531" w:bottom="2098" w:left="1531" w:header="670" w:footer="1041" w:gutter="0"/>
          <w:lnNumType w:countBy="0" w:distance="360"/>
          <w:pgNumType w:fmt="numberInDash" w:chapStyle="1"/>
          <w:cols w:space="720" w:num="1"/>
          <w:titlePg/>
          <w:docGrid w:type="lines" w:linePitch="1" w:charSpace="0"/>
        </w:sectPr>
        <w:pPrChange w:id="3" w:author="user" w:date="2025-06-03T17:04:01Z">
          <w:pPr>
            <w:spacing w:beforeLines="0" w:afterLines="0" w:line="440" w:lineRule="exact"/>
            <w:ind w:firstLine="440" w:firstLineChars="200"/>
          </w:pPr>
        </w:pPrChange>
      </w:pPr>
    </w:p>
    <w:p>
      <w:pPr>
        <w:spacing w:beforeLines="0" w:afterLines="0" w:line="440" w:lineRule="exact"/>
        <w:ind w:firstLine="0" w:firstLineChars="0"/>
        <w:rPr>
          <w:rFonts w:hint="eastAsia" w:ascii="宋体" w:hAnsi="宋体" w:eastAsia="宋体" w:cs="宋体"/>
          <w:color w:val="auto"/>
          <w:sz w:val="22"/>
          <w:szCs w:val="22"/>
          <w:highlight w:val="none"/>
        </w:rPr>
      </w:pPr>
    </w:p>
    <w:p>
      <w:pPr>
        <w:spacing w:beforeLines="0" w:afterLines="0" w:line="440" w:lineRule="exact"/>
        <w:ind w:firstLine="442" w:firstLineChars="20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4.2 标价的工程量清单</w:t>
      </w:r>
      <w:r>
        <w:rPr>
          <w:rFonts w:hint="eastAsia" w:ascii="宋体" w:hAnsi="宋体" w:eastAsia="宋体" w:cs="宋体"/>
          <w:b/>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采购项目名称：</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采购项目编号：  </w:t>
      </w:r>
    </w:p>
    <w:p>
      <w:pPr>
        <w:pStyle w:val="21"/>
        <w:spacing w:beforeLines="0" w:afterLines="0"/>
        <w:ind w:left="0"/>
        <w:rPr>
          <w:rFonts w:hint="eastAsia" w:ascii="宋体" w:hAnsi="宋体" w:eastAsia="宋体" w:cs="宋体"/>
          <w:color w:val="auto"/>
          <w:sz w:val="22"/>
          <w:szCs w:val="22"/>
          <w:highlight w:val="none"/>
          <w:lang w:val="en-US"/>
        </w:rPr>
      </w:pPr>
    </w:p>
    <w:p>
      <w:pPr>
        <w:pStyle w:val="21"/>
        <w:spacing w:beforeLines="0" w:afterLines="0"/>
        <w:ind w:left="0" w:firstLine="1320" w:firstLineChars="6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w:t>
      </w:r>
    </w:p>
    <w:p>
      <w:pPr>
        <w:spacing w:beforeLines="0" w:afterLines="0"/>
        <w:rPr>
          <w:rFonts w:hint="eastAsia" w:ascii="宋体" w:hAnsi="宋体" w:eastAsia="宋体" w:cs="宋体"/>
          <w:color w:val="auto"/>
          <w:sz w:val="22"/>
          <w:szCs w:val="22"/>
          <w:highlight w:val="none"/>
        </w:rPr>
      </w:pPr>
    </w:p>
    <w:p>
      <w:pPr>
        <w:pStyle w:val="21"/>
        <w:spacing w:beforeLines="0" w:afterLines="0"/>
        <w:ind w:left="0" w:firstLine="1320" w:firstLineChars="6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w:t>
      </w:r>
    </w:p>
    <w:p>
      <w:pPr>
        <w:pStyle w:val="21"/>
        <w:spacing w:beforeLines="0" w:afterLines="0"/>
        <w:rPr>
          <w:rFonts w:hint="eastAsia" w:ascii="宋体" w:hAnsi="宋体" w:eastAsia="宋体" w:cs="宋体"/>
          <w:color w:val="auto"/>
          <w:sz w:val="22"/>
          <w:szCs w:val="22"/>
          <w:highlight w:val="none"/>
        </w:rPr>
      </w:pPr>
    </w:p>
    <w:p>
      <w:pPr>
        <w:pStyle w:val="21"/>
        <w:spacing w:beforeLines="0" w:afterLines="0"/>
        <w:ind w:left="0" w:firstLine="1320" w:firstLineChars="60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w:t>
      </w: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注： </w:t>
      </w:r>
    </w:p>
    <w:p>
      <w:pPr>
        <w:spacing w:beforeLines="0" w:afterLines="0" w:line="440" w:lineRule="exact"/>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rPr>
        <w:t>此表为《</w:t>
      </w:r>
      <w:r>
        <w:rPr>
          <w:rFonts w:hint="eastAsia" w:ascii="宋体" w:hAnsi="宋体" w:eastAsia="宋体" w:cs="宋体"/>
          <w:color w:val="auto"/>
          <w:sz w:val="22"/>
          <w:szCs w:val="22"/>
          <w:highlight w:val="none"/>
          <w:lang w:val="en-US"/>
        </w:rPr>
        <w:t>报价</w:t>
      </w:r>
      <w:r>
        <w:rPr>
          <w:rFonts w:hint="eastAsia" w:ascii="宋体" w:hAnsi="宋体" w:eastAsia="宋体" w:cs="宋体"/>
          <w:color w:val="auto"/>
          <w:sz w:val="22"/>
          <w:szCs w:val="22"/>
          <w:highlight w:val="none"/>
        </w:rPr>
        <w:t>一览表(首次报价表)》的报价明细表，</w:t>
      </w:r>
      <w:r>
        <w:rPr>
          <w:rFonts w:hint="eastAsia" w:ascii="宋体" w:hAnsi="宋体" w:eastAsia="宋体" w:cs="宋体"/>
          <w:color w:val="auto"/>
          <w:sz w:val="22"/>
          <w:szCs w:val="22"/>
          <w:highlight w:val="none"/>
          <w:lang w:val="en-US" w:bidi="ar"/>
        </w:rPr>
        <w:t>具体内容及所需的表格，以</w:t>
      </w:r>
      <w:r>
        <w:rPr>
          <w:rFonts w:hint="eastAsia" w:ascii="宋体" w:hAnsi="宋体" w:eastAsia="宋体" w:cs="宋体"/>
          <w:color w:val="auto"/>
          <w:sz w:val="22"/>
          <w:szCs w:val="22"/>
          <w:highlight w:val="none"/>
          <w:lang w:val="en-US" w:eastAsia="zh-CN" w:bidi="ar"/>
        </w:rPr>
        <w:t>谈判</w:t>
      </w:r>
      <w:r>
        <w:rPr>
          <w:rFonts w:hint="eastAsia" w:ascii="宋体" w:hAnsi="宋体" w:eastAsia="宋体" w:cs="宋体"/>
          <w:color w:val="auto"/>
          <w:sz w:val="22"/>
          <w:szCs w:val="22"/>
          <w:highlight w:val="none"/>
          <w:lang w:val="en-US" w:bidi="ar"/>
        </w:rPr>
        <w:t>文件的“附件：工程量清单”为准。</w:t>
      </w:r>
    </w:p>
    <w:p>
      <w:pPr>
        <w:pStyle w:val="21"/>
        <w:ind w:lef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2.需本单位造价师签字盖章。</w:t>
      </w: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供应商名称（单位盖公章）：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法定代表人或供应商授权代表（签名或盖章）：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u w:val="singl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sectPr>
          <w:pgSz w:w="11910" w:h="16840"/>
          <w:pgMar w:top="1984" w:right="1531" w:bottom="2098" w:left="1531" w:header="670" w:footer="1041" w:gutter="0"/>
          <w:lnNumType w:countBy="0" w:distance="360"/>
          <w:pgNumType w:fmt="numberInDash" w:chapStyle="1"/>
          <w:cols w:space="720" w:num="1"/>
          <w:titlePg/>
          <w:docGrid w:type="lines" w:linePitch="1" w:charSpace="0"/>
        </w:sect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五、供应商认为需要提供的其他资料</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bidi="ar"/>
        </w:rPr>
        <w:t xml:space="preserve"> </w:t>
      </w:r>
    </w:p>
    <w:p>
      <w:pPr>
        <w:widowControl/>
        <w:spacing w:beforeLines="0" w:afterLines="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 xml:space="preserve">供应商认为需要提供的其他证明文件或图片、文字说明等其他资料。 </w:t>
      </w:r>
    </w:p>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注：本项内容由供应商根据本</w:t>
      </w:r>
      <w:r>
        <w:rPr>
          <w:rFonts w:hint="eastAsia" w:ascii="宋体" w:hAnsi="宋体" w:eastAsia="宋体" w:cs="宋体"/>
          <w:color w:val="auto"/>
          <w:sz w:val="22"/>
          <w:szCs w:val="22"/>
          <w:highlight w:val="none"/>
          <w:lang w:val="en-US" w:eastAsia="zh-CN" w:bidi="ar"/>
        </w:rPr>
        <w:t>谈判</w:t>
      </w:r>
      <w:r>
        <w:rPr>
          <w:rFonts w:hint="eastAsia" w:ascii="宋体" w:hAnsi="宋体" w:eastAsia="宋体" w:cs="宋体"/>
          <w:color w:val="auto"/>
          <w:sz w:val="22"/>
          <w:szCs w:val="22"/>
          <w:highlight w:val="none"/>
          <w:lang w:val="en-US" w:bidi="ar"/>
        </w:rPr>
        <w:t xml:space="preserve">文件的内容自行决定。 </w:t>
      </w:r>
    </w:p>
    <w:p>
      <w:pPr>
        <w:widowControl/>
        <w:spacing w:beforeLines="0" w:afterLines="0"/>
        <w:rPr>
          <w:rFonts w:hint="eastAsia" w:ascii="宋体" w:hAnsi="宋体" w:eastAsia="宋体" w:cs="宋体"/>
          <w:color w:val="auto"/>
          <w:sz w:val="22"/>
          <w:szCs w:val="22"/>
          <w:highlight w:val="none"/>
          <w:lang w:val="en-US" w:bidi="ar"/>
        </w:rPr>
      </w:pPr>
    </w:p>
    <w:p>
      <w:pPr>
        <w:widowControl/>
        <w:spacing w:beforeLines="0" w:afterLines="0"/>
        <w:rPr>
          <w:rFonts w:hint="eastAsia" w:ascii="宋体" w:hAnsi="宋体" w:eastAsia="宋体" w:cs="宋体"/>
          <w:color w:val="auto"/>
          <w:sz w:val="22"/>
          <w:szCs w:val="22"/>
          <w:highlight w:val="none"/>
          <w:lang w:val="en-US" w:bidi="ar"/>
        </w:rPr>
      </w:pPr>
    </w:p>
    <w:p>
      <w:pPr>
        <w:widowControl/>
        <w:spacing w:beforeLines="0" w:afterLines="0"/>
        <w:rPr>
          <w:rFonts w:hint="eastAsia" w:ascii="宋体" w:hAnsi="宋体" w:eastAsia="宋体" w:cs="宋体"/>
          <w:color w:val="auto"/>
          <w:sz w:val="22"/>
          <w:szCs w:val="22"/>
          <w:highlight w:val="none"/>
          <w:lang w:val="en-US" w:bidi="ar"/>
        </w:rPr>
      </w:pPr>
    </w:p>
    <w:p>
      <w:pPr>
        <w:widowControl/>
        <w:spacing w:beforeLines="0" w:afterLines="0"/>
        <w:rPr>
          <w:rFonts w:hint="eastAsia" w:ascii="宋体" w:hAnsi="宋体" w:eastAsia="宋体" w:cs="宋体"/>
          <w:color w:val="auto"/>
          <w:sz w:val="22"/>
          <w:szCs w:val="22"/>
          <w:highlight w:val="none"/>
          <w:lang w:val="en-US" w:bidi="ar"/>
        </w:rPr>
      </w:pPr>
    </w:p>
    <w:p>
      <w:pPr>
        <w:widowControl/>
        <w:spacing w:beforeLines="0" w:afterLines="0"/>
        <w:rPr>
          <w:rFonts w:hint="eastAsia" w:ascii="宋体" w:hAnsi="宋体" w:eastAsia="宋体" w:cs="宋体"/>
          <w:color w:val="auto"/>
          <w:sz w:val="22"/>
          <w:szCs w:val="22"/>
          <w:highlight w:val="none"/>
          <w:lang w:val="en-US" w:bidi="ar"/>
        </w:rPr>
      </w:pPr>
    </w:p>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 xml:space="preserve">供应商法定代表人（或法定代表人授权代表）签字或签章： </w:t>
      </w:r>
    </w:p>
    <w:p>
      <w:pPr>
        <w:widowControl/>
        <w:spacing w:beforeLines="0" w:afterLine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 xml:space="preserve">供应商名称（盖公章）： </w:t>
      </w:r>
    </w:p>
    <w:p>
      <w:pPr>
        <w:widowControl/>
        <w:spacing w:beforeLines="0" w:afterLines="0"/>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日期： 年 月 日</w:t>
      </w: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rPr>
          <w:rFonts w:hint="eastAsia" w:ascii="宋体" w:hAnsi="宋体" w:eastAsia="宋体" w:cs="宋体"/>
          <w:b/>
          <w:color w:val="auto"/>
          <w:sz w:val="22"/>
          <w:szCs w:val="22"/>
          <w:highlight w:val="none"/>
        </w:r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六、其他文件格式</w:t>
      </w:r>
    </w:p>
    <w:p>
      <w:pPr>
        <w:spacing w:beforeLines="0" w:afterLines="0" w:line="440" w:lineRule="exact"/>
        <w:rPr>
          <w:rFonts w:hint="eastAsia" w:ascii="宋体" w:hAnsi="宋体" w:eastAsia="宋体" w:cs="宋体"/>
          <w:color w:val="auto"/>
          <w:sz w:val="22"/>
          <w:szCs w:val="22"/>
          <w:highlight w:val="none"/>
        </w:rPr>
      </w:pPr>
    </w:p>
    <w:p>
      <w:pPr>
        <w:pStyle w:val="34"/>
        <w:spacing w:beforeLines="0" w:afterLines="0"/>
        <w:rPr>
          <w:rFonts w:hint="eastAsia" w:ascii="宋体" w:hAnsi="宋体" w:eastAsia="宋体" w:cs="宋体"/>
          <w:color w:val="auto"/>
          <w:sz w:val="22"/>
          <w:szCs w:val="22"/>
          <w:highlight w:val="none"/>
        </w:rPr>
      </w:pPr>
    </w:p>
    <w:p>
      <w:pPr>
        <w:pStyle w:val="9"/>
        <w:spacing w:beforeLines="0" w:afterLines="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 xml:space="preserve">6.1 法定代表人授权委托书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本授权委托书声明：注册于</w:t>
      </w:r>
      <w:r>
        <w:rPr>
          <w:rFonts w:hint="eastAsia" w:ascii="宋体" w:hAnsi="宋体" w:eastAsia="宋体" w:cs="宋体"/>
          <w:color w:val="auto"/>
          <w:sz w:val="22"/>
          <w:szCs w:val="22"/>
          <w:highlight w:val="none"/>
          <w:u w:val="single"/>
        </w:rPr>
        <w:t xml:space="preserve"> （供应商地址） </w:t>
      </w:r>
      <w:r>
        <w:rPr>
          <w:rFonts w:hint="eastAsia" w:ascii="宋体" w:hAnsi="宋体" w:eastAsia="宋体" w:cs="宋体"/>
          <w:color w:val="auto"/>
          <w:sz w:val="22"/>
          <w:szCs w:val="22"/>
          <w:highlight w:val="none"/>
        </w:rPr>
        <w:t xml:space="preserve"> 的 </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在下面签名的（</w:t>
      </w:r>
      <w:r>
        <w:rPr>
          <w:rFonts w:hint="eastAsia" w:ascii="宋体" w:hAnsi="宋体" w:eastAsia="宋体" w:cs="宋体"/>
          <w:color w:val="auto"/>
          <w:sz w:val="22"/>
          <w:szCs w:val="22"/>
          <w:highlight w:val="none"/>
          <w:u w:val="single"/>
        </w:rPr>
        <w:t>法定代表人姓名、职务</w:t>
      </w:r>
      <w:r>
        <w:rPr>
          <w:rFonts w:hint="eastAsia" w:ascii="宋体" w:hAnsi="宋体" w:eastAsia="宋体" w:cs="宋体"/>
          <w:color w:val="auto"/>
          <w:sz w:val="22"/>
          <w:szCs w:val="22"/>
          <w:highlight w:val="none"/>
        </w:rPr>
        <w:t>），现任我单位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职务，为法定代表人。在此授权（</w:t>
      </w:r>
      <w:r>
        <w:rPr>
          <w:rFonts w:hint="eastAsia" w:ascii="宋体" w:hAnsi="宋体" w:eastAsia="宋体" w:cs="宋体"/>
          <w:color w:val="auto"/>
          <w:sz w:val="22"/>
          <w:szCs w:val="22"/>
          <w:highlight w:val="none"/>
          <w:u w:val="single"/>
        </w:rPr>
        <w:t>被授权人姓名、职务</w:t>
      </w:r>
      <w:r>
        <w:rPr>
          <w:rFonts w:hint="eastAsia" w:ascii="宋体" w:hAnsi="宋体" w:eastAsia="宋体" w:cs="宋体"/>
          <w:color w:val="auto"/>
          <w:sz w:val="22"/>
          <w:szCs w:val="22"/>
          <w:highlight w:val="none"/>
        </w:rPr>
        <w:t>）作为我公司的合法代理人，就（</w:t>
      </w:r>
      <w:r>
        <w:rPr>
          <w:rFonts w:hint="eastAsia" w:ascii="宋体" w:hAnsi="宋体" w:eastAsia="宋体" w:cs="宋体"/>
          <w:color w:val="auto"/>
          <w:sz w:val="22"/>
          <w:szCs w:val="22"/>
          <w:highlight w:val="none"/>
          <w:u w:val="single"/>
        </w:rPr>
        <w:t>采购项目名称、采购项目编号</w:t>
      </w:r>
      <w:r>
        <w:rPr>
          <w:rFonts w:hint="eastAsia" w:ascii="宋体" w:hAnsi="宋体" w:eastAsia="宋体" w:cs="宋体"/>
          <w:color w:val="auto"/>
          <w:sz w:val="22"/>
          <w:szCs w:val="22"/>
          <w:highlight w:val="none"/>
        </w:rPr>
        <w:t>）采购活动相关的响应、</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 xml:space="preserve">、合同执行，以我公司的名义处理一切与之有关的事务。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被授权人（供应商授权代表）无转委托权限。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37" name="文本框 388"/>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2"/>
                              <w:spacing w:beforeLines="0" w:afterLines="0" w:line="211" w:lineRule="exact"/>
                              <w:rPr>
                                <w:rFonts w:hint="default"/>
                                <w:sz w:val="21"/>
                                <w:szCs w:val="21"/>
                              </w:rPr>
                            </w:pPr>
                            <w:r>
                              <w:rPr>
                                <w:rFonts w:hint="default"/>
                                <w:sz w:val="21"/>
                                <w:szCs w:val="21"/>
                              </w:rPr>
                              <w:t xml:space="preserve"> </w:t>
                            </w:r>
                          </w:p>
                        </w:txbxContent>
                      </wps:txbx>
                      <wps:bodyPr wrap="square" lIns="0" tIns="0" rIns="0" bIns="0" upright="1"/>
                    </wps:wsp>
                  </a:graphicData>
                </a:graphic>
              </wp:anchor>
            </w:drawing>
          </mc:Choice>
          <mc:Fallback>
            <w:pict>
              <v:shape id="文本框 388"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F2pN7/GAQAAgQMAAA4AAABkcnMvZTJvRG9jLnhtbK1T&#10;S27bMBDdF+gdCO5r+VM4hmA5QGEkCFC0BdIcgKYoiwB/naEt+QLtDbrqpvuey+fokLacTzdZdEON&#10;ZkZv3ntDLa97a9heAWrvKj4ZjTlTTvpau23FH77evFtwhlG4WhjvVMUPCvn16u2bZRdKNfWtN7UC&#10;RiAOyy5UvI0xlEWBslVW4MgH5ajYeLAi0itsixpER+jWFNPxeF50HuoAXipEyq5PRX5GhNcA+qbR&#10;Uq293Fnl4gkVlBGRJGGrA/JVZts0SsbPTYMqMlNxUhrzSUMo3qSzWC1FuQURWi3PFMRrKLzQZIV2&#10;NPQCtRZRsB3of6CsluDRN3EkvS1OQrIjpGIyfuHNfSuCylrIagwX0/H/wcpP+y/AdF3x2RVnTlja&#10;+PHnj+OvP8ff39lssUgOdQFLarwP1Br7D76nezPkkZJJeN+ATU+SxKhO/h4u/qo+MknJ+dVsQgVJ&#10;lcns/Xya7S8evw2A8VZ5y1JQcaDtZVPF/iNG4kGtQ0sa5fyNNiZv0LhnCWpMmSIRPxFMUew3/VnN&#10;xtcHEtPR4iuO33YCFGfmzpGz6ZYMAQzBZgh2AfS2JXLZgDyANpOpnW9RWv3T90zj8c9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QMvo2QAAAAsBAAAPAAAAAAAAAAEAIAAAACIAAABkcnMvZG93&#10;bnJldi54bWxQSwECFAAUAAAACACHTuJAXak3v8YBAACBAwAADgAAAAAAAAABACAAAAAoAQAAZHJz&#10;L2Uyb0RvYy54bWxQSwUGAAAAAAYABgBZAQAAYAUAAAAA&#10;">
                <v:fill on="f" focussize="0,0"/>
                <v:stroke on="f"/>
                <v:imagedata o:title=""/>
                <o:lock v:ext="edit" aspectratio="f"/>
                <v:textbox inset="0mm,0mm,0mm,0mm">
                  <w:txbxContent>
                    <w:p>
                      <w:pPr>
                        <w:pStyle w:val="2"/>
                        <w:spacing w:beforeLines="0" w:afterLines="0" w:line="211" w:lineRule="exact"/>
                        <w:rPr>
                          <w:rFonts w:hint="default"/>
                          <w:sz w:val="21"/>
                          <w:szCs w:val="21"/>
                        </w:rPr>
                      </w:pPr>
                      <w:r>
                        <w:rPr>
                          <w:rFonts w:hint="default"/>
                          <w:sz w:val="21"/>
                          <w:szCs w:val="21"/>
                        </w:rPr>
                        <w:t xml:space="preserve"> </w:t>
                      </w:r>
                    </w:p>
                  </w:txbxContent>
                </v:textbox>
              </v:shape>
            </w:pict>
          </mc:Fallback>
        </mc:AlternateContent>
      </w:r>
      <w:r>
        <w:rPr>
          <w:rFonts w:hint="eastAsia" w:ascii="宋体" w:hAnsi="宋体" w:eastAsia="宋体" w:cs="宋体"/>
          <w:color w:val="auto"/>
          <w:sz w:val="22"/>
          <w:szCs w:val="22"/>
          <w:highlight w:val="none"/>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34" name="文本框 389"/>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2"/>
                              <w:spacing w:beforeLines="0" w:afterLines="0"/>
                              <w:rPr>
                                <w:rFonts w:hint="default"/>
                                <w:sz w:val="20"/>
                                <w:szCs w:val="21"/>
                              </w:rPr>
                            </w:pPr>
                          </w:p>
                          <w:p>
                            <w:pPr>
                              <w:pStyle w:val="2"/>
                              <w:spacing w:beforeLines="0" w:afterLines="0"/>
                              <w:rPr>
                                <w:rFonts w:hint="default"/>
                                <w:sz w:val="20"/>
                                <w:szCs w:val="21"/>
                              </w:rPr>
                            </w:pPr>
                          </w:p>
                          <w:p>
                            <w:pPr>
                              <w:pStyle w:val="2"/>
                              <w:spacing w:before="1" w:beforeLines="0" w:afterLines="0"/>
                              <w:rPr>
                                <w:rFonts w:hint="default"/>
                                <w:sz w:val="16"/>
                                <w:szCs w:val="21"/>
                              </w:rPr>
                            </w:pPr>
                          </w:p>
                          <w:p>
                            <w:pPr>
                              <w:pStyle w:val="2"/>
                              <w:spacing w:beforeLines="0" w:afterLines="0" w:line="278" w:lineRule="auto"/>
                              <w:ind w:left="1091" w:right="1498" w:firstLine="314"/>
                              <w:rPr>
                                <w:rFonts w:hint="default"/>
                                <w:sz w:val="21"/>
                                <w:szCs w:val="21"/>
                              </w:rPr>
                            </w:pPr>
                            <w:r>
                              <w:rPr>
                                <w:rFonts w:hint="default"/>
                                <w:spacing w:val="-1"/>
                                <w:sz w:val="21"/>
                                <w:szCs w:val="21"/>
                              </w:rPr>
                              <w:t xml:space="preserve">法定代表人  </w:t>
                            </w:r>
                            <w:r>
                              <w:rPr>
                                <w:rFonts w:hint="default"/>
                                <w:spacing w:val="-5"/>
                                <w:sz w:val="21"/>
                                <w:szCs w:val="21"/>
                              </w:rPr>
                              <w:t>居民身份证复印件</w:t>
                            </w:r>
                          </w:p>
                          <w:p>
                            <w:pPr>
                              <w:pStyle w:val="2"/>
                              <w:spacing w:before="4" w:beforeLines="0" w:afterLines="0"/>
                              <w:rPr>
                                <w:rFonts w:hint="default"/>
                                <w:sz w:val="24"/>
                                <w:szCs w:val="21"/>
                              </w:rPr>
                            </w:pPr>
                          </w:p>
                          <w:p>
                            <w:pPr>
                              <w:pStyle w:val="2"/>
                              <w:spacing w:before="1" w:beforeLines="0" w:afterLines="0"/>
                              <w:ind w:left="1405"/>
                              <w:rPr>
                                <w:rFonts w:hint="default"/>
                                <w:sz w:val="21"/>
                                <w:szCs w:val="21"/>
                              </w:rPr>
                            </w:pPr>
                            <w:r>
                              <w:rPr>
                                <w:rFonts w:hint="default"/>
                                <w:sz w:val="21"/>
                                <w:szCs w:val="21"/>
                              </w:rPr>
                              <w:t>（反面）</w:t>
                            </w:r>
                          </w:p>
                        </w:txbxContent>
                      </wps:txbx>
                      <wps:bodyPr wrap="square" lIns="0" tIns="0" rIns="0" bIns="0" upright="1"/>
                    </wps:wsp>
                  </a:graphicData>
                </a:graphic>
              </wp:anchor>
            </w:drawing>
          </mc:Choice>
          <mc:Fallback>
            <w:pict>
              <v:shape id="文本框 389"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r4Hz3IgIAAEMEAAAOAAAAZHJzL2Uyb0RvYy54bWyt&#10;U82O0zAQviPxDpbvNElLYbdquhKURUgIkBYewLWdxJL/8LhN+gLwBpy47J3n6nMwdtouLJceyCGZ&#10;2ONv5vvm8/JmMJrsZADlbE2rSUmJtNwJZduafvl8++yKEojMCqadlTXdS6A3q6dPlr1fyKnrnBYy&#10;EASxsOh9TbsY/aIogHfSMJg4Ly1uNi4YFvE3tIUIrEd0o4tpWb4oeheED45LAFxdj5v0iBguAXRN&#10;o7hcO7410sYRNUjNIlKCTnmgq9xt00gePzYNyEh0TZFpzG8sgvEmvYvVki3awHyn+LEFdkkLjzgZ&#10;piwWPUOtWWRkG9Q/UEbx4MA1ccKdKUYiWRFkUZWPtLnrmJeZC0oN/iw6/D9Y/mH3KRAlajp7Toll&#10;Bid++PH98PPX4f4bmV1dJ4V6DwtMvPOYGodXbkDfnNYBFxPxoQkmfZESwX3Ud3/WVw6RcFycvpzO&#10;5tWcEo571byqZmWeQPFw3AeIb6UzJAU1DTjArCvbvYeIrWDqKSVVs+5WaZ2HqC3pa3o9nyZ8hsZs&#10;0BAYGo/kwLYZBpxWIh1JhyG0m9c6kB1L5shPYoUl/kpL9dYMujEvb422MSrKkGt3kok3VpC496if&#10;xXtDUzNGCkq0xGuWopwZmdKXZGIT2mIvSfpR4hTFYTMgTAo3TuxxHD1aF+l93bKANfU7i95IPj8F&#10;4RRsTsHWB9V2qG0eYS6A3sq0j/cgmffP/9zGw91f/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10;UC1l2gAAAAoBAAAPAAAAAAAAAAEAIAAAACIAAABkcnMvZG93bnJldi54bWxQSwECFAAUAAAACACH&#10;TuJA6+B89yICAABDBAAADgAAAAAAAAABACAAAAApAQAAZHJzL2Uyb0RvYy54bWxQSwUGAAAAAAYA&#10;BgBZAQAAvQUAAAAA&#10;">
                <v:fill on="f" focussize="0,0"/>
                <v:stroke color="#000000" joinstyle="miter"/>
                <v:imagedata o:title=""/>
                <o:lock v:ext="edit" aspectratio="f"/>
                <v:textbox inset="0mm,0mm,0mm,0mm">
                  <w:txbxContent>
                    <w:p>
                      <w:pPr>
                        <w:pStyle w:val="2"/>
                        <w:spacing w:beforeLines="0" w:afterLines="0"/>
                        <w:rPr>
                          <w:rFonts w:hint="default"/>
                          <w:sz w:val="20"/>
                          <w:szCs w:val="21"/>
                        </w:rPr>
                      </w:pPr>
                    </w:p>
                    <w:p>
                      <w:pPr>
                        <w:pStyle w:val="2"/>
                        <w:spacing w:beforeLines="0" w:afterLines="0"/>
                        <w:rPr>
                          <w:rFonts w:hint="default"/>
                          <w:sz w:val="20"/>
                          <w:szCs w:val="21"/>
                        </w:rPr>
                      </w:pPr>
                    </w:p>
                    <w:p>
                      <w:pPr>
                        <w:pStyle w:val="2"/>
                        <w:spacing w:before="1" w:beforeLines="0" w:afterLines="0"/>
                        <w:rPr>
                          <w:rFonts w:hint="default"/>
                          <w:sz w:val="16"/>
                          <w:szCs w:val="21"/>
                        </w:rPr>
                      </w:pPr>
                    </w:p>
                    <w:p>
                      <w:pPr>
                        <w:pStyle w:val="2"/>
                        <w:spacing w:beforeLines="0" w:afterLines="0" w:line="278" w:lineRule="auto"/>
                        <w:ind w:left="1091" w:right="1498" w:firstLine="314"/>
                        <w:rPr>
                          <w:rFonts w:hint="default"/>
                          <w:sz w:val="21"/>
                          <w:szCs w:val="21"/>
                        </w:rPr>
                      </w:pPr>
                      <w:r>
                        <w:rPr>
                          <w:rFonts w:hint="default"/>
                          <w:spacing w:val="-1"/>
                          <w:sz w:val="21"/>
                          <w:szCs w:val="21"/>
                        </w:rPr>
                        <w:t xml:space="preserve">法定代表人  </w:t>
                      </w:r>
                      <w:r>
                        <w:rPr>
                          <w:rFonts w:hint="default"/>
                          <w:spacing w:val="-5"/>
                          <w:sz w:val="21"/>
                          <w:szCs w:val="21"/>
                        </w:rPr>
                        <w:t>居民身份证复印件</w:t>
                      </w:r>
                    </w:p>
                    <w:p>
                      <w:pPr>
                        <w:pStyle w:val="2"/>
                        <w:spacing w:before="4" w:beforeLines="0" w:afterLines="0"/>
                        <w:rPr>
                          <w:rFonts w:hint="default"/>
                          <w:sz w:val="24"/>
                          <w:szCs w:val="21"/>
                        </w:rPr>
                      </w:pPr>
                    </w:p>
                    <w:p>
                      <w:pPr>
                        <w:pStyle w:val="2"/>
                        <w:spacing w:before="1" w:beforeLines="0" w:afterLines="0"/>
                        <w:ind w:left="1405"/>
                        <w:rPr>
                          <w:rFonts w:hint="default"/>
                          <w:sz w:val="21"/>
                          <w:szCs w:val="21"/>
                        </w:rPr>
                      </w:pPr>
                      <w:r>
                        <w:rPr>
                          <w:rFonts w:hint="default"/>
                          <w:sz w:val="21"/>
                          <w:szCs w:val="21"/>
                        </w:rPr>
                        <w:t>（反面）</w:t>
                      </w:r>
                    </w:p>
                  </w:txbxContent>
                </v:textbox>
              </v:shape>
            </w:pict>
          </mc:Fallback>
        </mc:AlternateContent>
      </w:r>
      <w:r>
        <w:rPr>
          <w:rFonts w:hint="eastAsia" w:ascii="宋体" w:hAnsi="宋体" w:eastAsia="宋体" w:cs="宋体"/>
          <w:color w:val="auto"/>
          <w:sz w:val="22"/>
          <w:szCs w:val="22"/>
          <w:highlight w:val="none"/>
        </w:rPr>
        <w:t>本授权书自法定代表人签字之日起生效，特此声明。</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4445" t="4445" r="14605" b="18415"/>
                <wp:wrapNone/>
                <wp:docPr id="40" name="组合 390"/>
                <wp:cNvGraphicFramePr/>
                <a:graphic xmlns:a="http://schemas.openxmlformats.org/drawingml/2006/main">
                  <a:graphicData uri="http://schemas.microsoft.com/office/word/2010/wordprocessingGroup">
                    <wpg:wgp>
                      <wpg:cNvGrpSpPr/>
                      <wpg:grpSpPr>
                        <a:xfrm>
                          <a:off x="0" y="0"/>
                          <a:ext cx="2724150" cy="1539240"/>
                          <a:chOff x="1222" y="896"/>
                          <a:chExt cx="4275" cy="2754"/>
                        </a:xfrm>
                      </wpg:grpSpPr>
                      <wps:wsp>
                        <wps:cNvPr id="38" name="矩形 391"/>
                        <wps:cNvSpPr/>
                        <wps:spPr>
                          <a:xfrm>
                            <a:off x="1222" y="896"/>
                            <a:ext cx="4275" cy="2754"/>
                          </a:xfrm>
                          <a:prstGeom prst="rect">
                            <a:avLst/>
                          </a:prstGeom>
                          <a:solidFill>
                            <a:srgbClr val="FFFFFF"/>
                          </a:solidFill>
                          <a:ln>
                            <a:noFill/>
                          </a:ln>
                        </wps:spPr>
                        <wps:bodyPr wrap="square" upright="1"/>
                      </wps:wsp>
                      <wps:wsp>
                        <wps:cNvPr id="39" name="文本框 392"/>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default"/>
                                  <w:sz w:val="20"/>
                                  <w:szCs w:val="22"/>
                                </w:rPr>
                              </w:pPr>
                            </w:p>
                            <w:p>
                              <w:pPr>
                                <w:spacing w:beforeLines="0" w:afterLines="0"/>
                                <w:rPr>
                                  <w:rFonts w:hint="default"/>
                                  <w:sz w:val="20"/>
                                  <w:szCs w:val="22"/>
                                </w:rPr>
                              </w:pPr>
                            </w:p>
                            <w:p>
                              <w:pPr>
                                <w:spacing w:before="1" w:beforeLines="0" w:afterLines="0"/>
                                <w:rPr>
                                  <w:rFonts w:hint="default"/>
                                  <w:sz w:val="16"/>
                                  <w:szCs w:val="22"/>
                                </w:rPr>
                              </w:pPr>
                            </w:p>
                            <w:p>
                              <w:pPr>
                                <w:spacing w:beforeLines="0" w:afterLines="0" w:line="278" w:lineRule="auto"/>
                                <w:ind w:left="1194" w:right="1380" w:firstLine="314"/>
                                <w:rPr>
                                  <w:rFonts w:hint="default"/>
                                  <w:sz w:val="21"/>
                                  <w:szCs w:val="22"/>
                                </w:rPr>
                              </w:pPr>
                              <w:r>
                                <w:rPr>
                                  <w:rFonts w:hint="default"/>
                                  <w:spacing w:val="-1"/>
                                  <w:sz w:val="21"/>
                                  <w:szCs w:val="22"/>
                                </w:rPr>
                                <w:t xml:space="preserve">法定代表人  </w:t>
                              </w:r>
                              <w:r>
                                <w:rPr>
                                  <w:rFonts w:hint="default"/>
                                  <w:spacing w:val="-5"/>
                                  <w:sz w:val="21"/>
                                  <w:szCs w:val="22"/>
                                </w:rPr>
                                <w:t>居民身份证复印件</w:t>
                              </w:r>
                            </w:p>
                            <w:p>
                              <w:pPr>
                                <w:spacing w:before="4" w:beforeLines="0" w:afterLines="0"/>
                                <w:rPr>
                                  <w:rFonts w:hint="default"/>
                                  <w:sz w:val="24"/>
                                  <w:szCs w:val="22"/>
                                </w:rPr>
                              </w:pPr>
                            </w:p>
                            <w:p>
                              <w:pPr>
                                <w:spacing w:before="1" w:beforeLines="0" w:afterLines="0"/>
                                <w:ind w:left="1491" w:right="1888"/>
                                <w:jc w:val="center"/>
                                <w:rPr>
                                  <w:rFonts w:hint="default"/>
                                  <w:sz w:val="21"/>
                                  <w:szCs w:val="22"/>
                                </w:rPr>
                              </w:pPr>
                              <w:r>
                                <w:rPr>
                                  <w:rFonts w:hint="default"/>
                                  <w:sz w:val="21"/>
                                  <w:szCs w:val="22"/>
                                </w:rPr>
                                <w:t>（</w:t>
                              </w:r>
                              <w:r>
                                <w:rPr>
                                  <w:rFonts w:hint="default"/>
                                  <w:spacing w:val="-2"/>
                                  <w:sz w:val="21"/>
                                  <w:szCs w:val="22"/>
                                </w:rPr>
                                <w:t>正面</w:t>
                              </w:r>
                              <w:r>
                                <w:rPr>
                                  <w:rFonts w:hint="default"/>
                                  <w:sz w:val="21"/>
                                  <w:szCs w:val="22"/>
                                </w:rPr>
                                <w:t>）</w:t>
                              </w:r>
                            </w:p>
                          </w:txbxContent>
                        </wps:txbx>
                        <wps:bodyPr wrap="square" lIns="0" tIns="0" rIns="0" bIns="0" upright="1"/>
                      </wps:wsp>
                    </wpg:wgp>
                  </a:graphicData>
                </a:graphic>
              </wp:anchor>
            </w:drawing>
          </mc:Choice>
          <mc:Fallback>
            <w:pict>
              <v:group id="组合 390" o:spid="_x0000_s1026" o:spt="203" style="position:absolute;left:0pt;margin-left:62.2pt;margin-top:21.65pt;height:121.2pt;width:214.5pt;mso-position-horizontal-relative:page;z-index:-251655168;mso-width-relative:page;mso-height-relative:page;" coordorigin="1222,896" coordsize="4275,2754"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ENJBeLBAgAABwcAAA4AAABkcnMvZTJvRG9jLnhtbMWV&#10;zW7UMBCA70i8g+U7zW6623ajZivBthUSgkqFB/AmTmLJf9jeTfaOgGNPnJAQ3JB4A8TjtLwGYyfZ&#10;ttsWVSBEDsnYHo893/xk/6ARHC2psUzJFA+3BhhRmamcyTLFr14ePdrDyDoic8KVpCleUYsPpg8f&#10;7Nc6obGqFM+pQWBE2qTWKa6c00kU2ayigtgtpamExUIZQRwMTRnlhtRgXfAoHgx2olqZXBuVUWth&#10;dtYu4s6iuY9BVRQsozOVLQSVrrVqKCcOXLIV0xZPw22LgmbuRVFY6hBPMXjqwhsOAXnu39F0nySl&#10;IbpiWXcFcp8rbPgkCJNw6NrUjDiCFobdMCVYZpRVhdvKlIhaRwIR8GI42GBzbNRCB1/KpC71GjoE&#10;aoP6H5vNni9PDGJ5ikeARBIBEf/5/c352Xu0PQl4al0moHVs9Kk+McDLT5TtyHvcFEb4L/iCmgB2&#10;tQZLG4cymIx349FwDAdksDYcb09iOC2gzyqIj983jOMYI1jem+z0S4fd9lG8O273gjDyq1F/bnTt&#10;NrWGnLSXoOzfgTqtiKaBv/UIOlDbUCAdqE9fz398AVBDfyd/OGitKdnEArBbEN10tef0G0dJoo11&#10;x1QJ5IUUG8jtkHJk+cy6lkmv4g+1irP8iHEeBqacP+EGLQnUwVF4OozX1Lj0ylL5ba1FPwOMe1+8&#10;NFf5ClDUUDQptq8XxFCMFtqwsoJrBRRhBwSihfLvIzLpI3Lx4d3Fx28Xn99CUOKNoCDXPFY+0/r5&#10;/xqeNWSScInqFE/GsU9yD7WAVgai0FCWVpYhytfiZK+GcxCe28Lp02FGbNWGPVjwaiQRzFETpIqS&#10;/FDmyK00VL6Ejo/9ZQTNMeIUfhBeCpqOMH4fTSjNW5LGNfMGzNyZP/yphGL1HboXTC/Me+GuHAs9&#10;APpjaAtdL/cN+Oo4ZPHl/2v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EoTIsHZAAAACgEAAA8A&#10;AAAAAAAAAQAgAAAAIgAAAGRycy9kb3ducmV2LnhtbFBLAQIUABQAAAAIAIdO4kBDSQXiwQIAAAcH&#10;AAAOAAAAAAAAAAEAIAAAACgBAABkcnMvZTJvRG9jLnhtbFBLBQYAAAAABgAGAFkBAABbBgAAAAA=&#10;">
                <o:lock v:ext="edit" aspectratio="f"/>
                <v:rect id="矩形 391" o:spid="_x0000_s1026" o:spt="1" style="position:absolute;left:1222;top:896;height:2754;width:4275;" fillcolor="#FFFFFF" filled="t" stroked="f" coordsize="21600,21600" o:gfxdata="UEsDBAoAAAAAAIdO4kAAAAAAAAAAAAAAAAAEAAAAZHJzL1BLAwQUAAAACACHTuJAExiYT7oAAADb&#10;AAAADwAAAGRycy9kb3ducmV2LnhtbEVPy2rCQBTdF/yH4Ra6a2Y0Gmzq6EIQCq0LH+D2krl50Myd&#10;mBlj+vedheDycN6rzWhbMVDvG8capokCQVw403Cl4XzavS9B+IBssHVMGv7Iw2Y9eVlhbtydDzQc&#10;QyViCPscNdQhdLmUvqjJok9cRxy50vUWQ4R9JU2P9xhuWzlTKpMWG44NNXa0ran4Pd6sBszm5rov&#10;05/T9y3Dj2pUu8VFaf32OlWfIAKN4Sl+uL+MhjSOjV/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JhPugAAANsA&#10;AAAPAAAAAAAAAAEAIAAAACIAAABkcnMvZG93bnJldi54bWxQSwECFAAUAAAACACHTuJAMy8FnjsA&#10;AAA5AAAAEAAAAAAAAAABACAAAAAJAQAAZHJzL3NoYXBleG1sLnhtbFBLBQYAAAAABgAGAFsBAACz&#10;Aw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AGC5374AAADb&#10;AAAADwAAAGRycy9kb3ducmV2LnhtbEWPQWsCMRSE74X+h/AKvRRNrCC6Gj2IQg+lqK3o8bF5bpbd&#10;vCyb1NV/bwTB4zAz3zCzxcXV4kxtKD1rGPQVCOLcm5ILDX+/694YRIjIBmvPpOFKARbz15cZZsZ3&#10;vKXzLhYiQThkqMHG2GRShtySw9D3DXHyTr51GJNsC2la7BLc1fJTqZF0WHJasNjQ0lJe7f6dhurH&#10;braH7+Ux/5BUFd1eHcbXldbvbwM1BRHpEp/hR/vLaBhO4P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C53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Lines="0" w:afterLines="0"/>
                          <w:rPr>
                            <w:rFonts w:hint="default"/>
                            <w:sz w:val="20"/>
                            <w:szCs w:val="22"/>
                          </w:rPr>
                        </w:pPr>
                      </w:p>
                      <w:p>
                        <w:pPr>
                          <w:spacing w:beforeLines="0" w:afterLines="0"/>
                          <w:rPr>
                            <w:rFonts w:hint="default"/>
                            <w:sz w:val="20"/>
                            <w:szCs w:val="22"/>
                          </w:rPr>
                        </w:pPr>
                      </w:p>
                      <w:p>
                        <w:pPr>
                          <w:spacing w:before="1" w:beforeLines="0" w:afterLines="0"/>
                          <w:rPr>
                            <w:rFonts w:hint="default"/>
                            <w:sz w:val="16"/>
                            <w:szCs w:val="22"/>
                          </w:rPr>
                        </w:pPr>
                      </w:p>
                      <w:p>
                        <w:pPr>
                          <w:spacing w:beforeLines="0" w:afterLines="0" w:line="278" w:lineRule="auto"/>
                          <w:ind w:left="1194" w:right="1380" w:firstLine="314"/>
                          <w:rPr>
                            <w:rFonts w:hint="default"/>
                            <w:sz w:val="21"/>
                            <w:szCs w:val="22"/>
                          </w:rPr>
                        </w:pPr>
                        <w:r>
                          <w:rPr>
                            <w:rFonts w:hint="default"/>
                            <w:spacing w:val="-1"/>
                            <w:sz w:val="21"/>
                            <w:szCs w:val="22"/>
                          </w:rPr>
                          <w:t xml:space="preserve">法定代表人  </w:t>
                        </w:r>
                        <w:r>
                          <w:rPr>
                            <w:rFonts w:hint="default"/>
                            <w:spacing w:val="-5"/>
                            <w:sz w:val="21"/>
                            <w:szCs w:val="22"/>
                          </w:rPr>
                          <w:t>居民身份证复印件</w:t>
                        </w:r>
                      </w:p>
                      <w:p>
                        <w:pPr>
                          <w:spacing w:before="4" w:beforeLines="0" w:afterLines="0"/>
                          <w:rPr>
                            <w:rFonts w:hint="default"/>
                            <w:sz w:val="24"/>
                            <w:szCs w:val="22"/>
                          </w:rPr>
                        </w:pPr>
                      </w:p>
                      <w:p>
                        <w:pPr>
                          <w:spacing w:before="1" w:beforeLines="0" w:afterLines="0"/>
                          <w:ind w:left="1491" w:right="1888"/>
                          <w:jc w:val="center"/>
                          <w:rPr>
                            <w:rFonts w:hint="default"/>
                            <w:sz w:val="21"/>
                            <w:szCs w:val="22"/>
                          </w:rPr>
                        </w:pPr>
                        <w:r>
                          <w:rPr>
                            <w:rFonts w:hint="default"/>
                            <w:sz w:val="21"/>
                            <w:szCs w:val="22"/>
                          </w:rPr>
                          <w:t>（</w:t>
                        </w:r>
                        <w:r>
                          <w:rPr>
                            <w:rFonts w:hint="default"/>
                            <w:spacing w:val="-2"/>
                            <w:sz w:val="21"/>
                            <w:szCs w:val="22"/>
                          </w:rPr>
                          <w:t>正面</w:t>
                        </w:r>
                        <w:r>
                          <w:rPr>
                            <w:rFonts w:hint="default"/>
                            <w:sz w:val="21"/>
                            <w:szCs w:val="22"/>
                          </w:rPr>
                          <w:t>）</w:t>
                        </w:r>
                      </w:p>
                    </w:txbxContent>
                  </v:textbox>
                </v:shape>
              </v:group>
            </w:pict>
          </mc:Fallback>
        </mc:AlternateContent>
      </w:r>
      <w:r>
        <w:rPr>
          <w:rFonts w:hint="eastAsia" w:ascii="宋体" w:hAnsi="宋体" w:eastAsia="宋体" w:cs="宋体"/>
          <w:b/>
          <w:color w:val="auto"/>
          <w:sz w:val="22"/>
          <w:szCs w:val="22"/>
          <w:highlight w:val="none"/>
        </w:rPr>
        <w:t>附：法定代表人身份证复印件</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g">
            <w:drawing>
              <wp:anchor distT="0" distB="0" distL="114300" distR="114300" simplePos="0" relativeHeight="251666432" behindDoc="1" locked="0" layoutInCell="1" allowOverlap="1">
                <wp:simplePos x="0" y="0"/>
                <wp:positionH relativeFrom="page">
                  <wp:posOffset>695960</wp:posOffset>
                </wp:positionH>
                <wp:positionV relativeFrom="paragraph">
                  <wp:posOffset>293370</wp:posOffset>
                </wp:positionV>
                <wp:extent cx="2834005" cy="1572260"/>
                <wp:effectExtent l="4445" t="4445" r="19050" b="23495"/>
                <wp:wrapTopAndBottom/>
                <wp:docPr id="48" name="组合 393"/>
                <wp:cNvGraphicFramePr/>
                <a:graphic xmlns:a="http://schemas.openxmlformats.org/drawingml/2006/main">
                  <a:graphicData uri="http://schemas.microsoft.com/office/word/2010/wordprocessingGroup">
                    <wpg:wgp>
                      <wpg:cNvGrpSpPr/>
                      <wpg:grpSpPr>
                        <a:xfrm>
                          <a:off x="0" y="0"/>
                          <a:ext cx="2834005" cy="1572260"/>
                          <a:chOff x="1104" y="469"/>
                          <a:chExt cx="4448" cy="2775"/>
                        </a:xfrm>
                      </wpg:grpSpPr>
                      <wps:wsp>
                        <wps:cNvPr id="46" name="矩形 394"/>
                        <wps:cNvSpPr/>
                        <wps:spPr>
                          <a:xfrm>
                            <a:off x="1104" y="469"/>
                            <a:ext cx="4448" cy="2775"/>
                          </a:xfrm>
                          <a:prstGeom prst="rect">
                            <a:avLst/>
                          </a:prstGeom>
                          <a:solidFill>
                            <a:srgbClr val="FFFFFF"/>
                          </a:solidFill>
                          <a:ln>
                            <a:noFill/>
                          </a:ln>
                        </wps:spPr>
                        <wps:bodyPr wrap="square" upright="1"/>
                      </wps:wsp>
                      <wps:wsp>
                        <wps:cNvPr id="47" name="文本框 395"/>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spacing w:beforeLines="0" w:afterLines="0"/>
                                <w:rPr>
                                  <w:rFonts w:hint="eastAsia" w:ascii="微软雅黑" w:eastAsia="微软雅黑"/>
                                  <w:b/>
                                  <w:sz w:val="20"/>
                                  <w:szCs w:val="22"/>
                                </w:rPr>
                              </w:pPr>
                            </w:p>
                            <w:p>
                              <w:pPr>
                                <w:spacing w:before="1" w:beforeLines="0" w:afterLines="0"/>
                                <w:rPr>
                                  <w:rFonts w:hint="eastAsia" w:ascii="微软雅黑" w:eastAsia="微软雅黑"/>
                                  <w:b/>
                                  <w:sz w:val="19"/>
                                  <w:szCs w:val="22"/>
                                </w:rPr>
                              </w:pPr>
                            </w:p>
                            <w:p>
                              <w:pPr>
                                <w:spacing w:beforeLines="0" w:afterLines="0" w:line="278" w:lineRule="auto"/>
                                <w:ind w:left="1166" w:right="1161"/>
                                <w:jc w:val="center"/>
                                <w:rPr>
                                  <w:rFonts w:hint="default"/>
                                  <w:sz w:val="21"/>
                                  <w:szCs w:val="22"/>
                                </w:rPr>
                              </w:pPr>
                              <w:r>
                                <w:rPr>
                                  <w:rFonts w:hint="default"/>
                                  <w:sz w:val="21"/>
                                  <w:szCs w:val="22"/>
                                </w:rPr>
                                <w:t>被授权人（授权代表） 居民身份证复印件</w:t>
                              </w:r>
                            </w:p>
                            <w:p>
                              <w:pPr>
                                <w:spacing w:before="16" w:beforeLines="0" w:afterLines="0"/>
                                <w:rPr>
                                  <w:rFonts w:hint="eastAsia" w:ascii="微软雅黑" w:eastAsia="微软雅黑"/>
                                  <w:b/>
                                  <w:sz w:val="16"/>
                                  <w:szCs w:val="22"/>
                                </w:rPr>
                              </w:pPr>
                            </w:p>
                            <w:p>
                              <w:pPr>
                                <w:spacing w:before="1" w:beforeLines="0" w:afterLines="0"/>
                                <w:ind w:left="1161" w:right="1161"/>
                                <w:jc w:val="center"/>
                                <w:rPr>
                                  <w:rFonts w:hint="default"/>
                                  <w:sz w:val="21"/>
                                  <w:szCs w:val="22"/>
                                </w:rPr>
                              </w:pPr>
                              <w:r>
                                <w:rPr>
                                  <w:rFonts w:hint="default"/>
                                  <w:sz w:val="21"/>
                                  <w:szCs w:val="22"/>
                                </w:rPr>
                                <w:t>（正面）</w:t>
                              </w:r>
                            </w:p>
                          </w:txbxContent>
                        </wps:txbx>
                        <wps:bodyPr wrap="square" lIns="0" tIns="0" rIns="0" bIns="0" upright="1"/>
                      </wps:wsp>
                    </wpg:wgp>
                  </a:graphicData>
                </a:graphic>
              </wp:anchor>
            </w:drawing>
          </mc:Choice>
          <mc:Fallback>
            <w:pict>
              <v:group id="组合 393" o:spid="_x0000_s1026" o:spt="203" style="position:absolute;left:0pt;margin-left:54.8pt;margin-top:23.1pt;height:123.8pt;width:223.15pt;mso-position-horizontal-relative:page;mso-wrap-distance-bottom:0pt;mso-wrap-distance-top:0pt;z-index:-251650048;mso-width-relative:page;mso-height-relative:page;" coordorigin="1104,469" coordsize="4448,2775"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AmZUBoxQIAAAcHAAAOAAAAZHJzL2Uyb0RvYy54bWzF&#10;Vc1u1DAQviPxDpbvNNk0u9tGzVaCbSskBJUKD+B1nB/JsY3t3ezeEXDsiRMSghsSb4B4nJbXYOz8&#10;9B9VIEEOydgez8/3zUz29tc1RyumTSVFikdbIUZMUJlVokjxq5eHj3YwMpaIjHApWIo3zOD92cMH&#10;e41KWCRLyTOmERgRJmlUiktrVRIEhpasJmZLKibgMJe6JhaWuggyTRqwXvMgCsNJ0EidKS0pMwZ2&#10;5+0h7izq+xiUeV5RNpd0WTNhW6uacWIhJVNWyuCZjzbPGbUv8twwi3iKIVPr3+AE5IV7B7M9khSa&#10;qLKiXQjkPiFcy6kmlQCng6k5sQQtdXXDVF1RLY3M7RaVddAm4hGBLEbhNWyOtFwqn0uRNIUaQAei&#10;rqH+x2bp89WxRlWW4hh4F6QGxn9+f3N2+h5t7247eBpVJKB1pNWJOtbdRtGuXMbrXNfuC7mgtQd2&#10;MwDL1hZR2Ix2tuMwHGNE4Ww0nkbRpIOelsCPuzcahTFGcBxPdltWaHnQXY9jF5y7G02nY3ca9H4D&#10;F94QTaOgJs0FUObvgDopiWIef+Mg6IGaDEB9+nr24wsAFbdAea0BJZMYAOwWiG6m2uP0m0RJorSx&#10;R0zWyAkp1lDbvuTI6pmxLSa9inNqJK+yw4pzv9DF4gnXaEWgDw7908F4RY0Lpyyku9ZadDuAcZ+L&#10;kxYy2wAUDTRNis3rJdEMo6XSVVFCWCNvtyPCVc+/YGTaM3L+4d35x2/nn98CKb5QnH+gzpGC7Pqx&#10;dJXWk/Vf6RlAJgkXqEnx7jhyDeJAzWGUgVgraEsjCs/yFZ7MZTpD/9xGpyuHOTFlS7u34NRIUleW&#10;aS+VjGQHIkN2o6DzBUx87IKpWYYRZ/CDcJLXtKTi99GE1rylaOx6sQYzd9YPfyqgWd2E7gXdC4te&#10;uKvG/AyA+ejHQjfL3QC+vPZVfPH/m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9t6/CdoAAAAK&#10;AQAADwAAAAAAAAABACAAAAAiAAAAZHJzL2Rvd25yZXYueG1sUEsBAhQAFAAAAAgAh07iQCZlQGjF&#10;AgAABwcAAA4AAAAAAAAAAQAgAAAAKQEAAGRycy9lMm9Eb2MueG1sUEsFBgAAAAAGAAYAWQEAAGAG&#10;AAAAAA==&#10;">
                <o:lock v:ext="edit" aspectratio="f"/>
                <v:rect id="矩形 394" o:spid="_x0000_s1026" o:spt="1" style="position:absolute;left:1104;top:469;height:2775;width:4448;" fillcolor="#FFFFFF" filled="t" stroked="f" coordsize="21600,21600" o:gfxdata="UEsDBAoAAAAAAIdO4kAAAAAAAAAAAAAAAAAEAAAAZHJzL1BLAwQUAAAACACHTuJAVc3a270AAADb&#10;AAAADwAAAGRycy9kb3ducmV2LnhtbEWPQWvCQBSE7wX/w/KE3ppdWxs0unooCAXtoabQ6yP7TILZ&#10;t2l2E+O/dwuCx2FmvmHW29E2YqDO1441zBIFgrhwpuZSw0++e1mA8AHZYOOYNFzJw3YzeVpjZtyF&#10;v2k4hlJECPsMNVQhtJmUvqjIok9cSxy9k+sshii7UpoOLxFuG/mqVCot1hwXKmzpo6LifOytBkzn&#10;5u/r9HbI932Ky3JUu/dfpfXzdKZWIAKN4RG+tz+NhnkK/1/i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zdrbvQAA&#10;ANsAAAAPAAAAAAAAAAEAIAAAACIAAABkcnMvZG93bnJldi54bWxQSwECFAAUAAAACACHTuJAMy8F&#10;njsAAAA5AAAAEAAAAAAAAAABACAAAAAMAQAAZHJzL3NoYXBleG1sLnhtbFBLBQYAAAAABgAGAFsB&#10;AAC2AwAAAAA=&#10;">
                  <v:fill on="t" focussize="0,0"/>
                  <v:stroke on="f"/>
                  <v:imagedata o:title=""/>
                  <o:lock v:ext="edit" aspectratio="f"/>
                </v:rect>
                <v:shape id="文本框 395" o:spid="_x0000_s1026" o:spt="202" type="#_x0000_t202" style="position:absolute;left:1104;top:469;height:2775;width:4448;" filled="f" stroked="t" coordsize="21600,21600" o:gfxdata="UEsDBAoAAAAAAIdO4kAAAAAAAAAAAAAAAAAEAAAAZHJzL1BLAwQUAAAACACHTuJARrX7S74AAADb&#10;AAAADwAAAGRycy9kb3ducmV2LnhtbEWPQWsCMRSE70L/Q3iFXkQTi1hZjR5EoYdS1Lbo8bF5bpbd&#10;vCyb1NV/bwTB4zAz3zDz5cXV4kxtKD1rGA0VCOLcm5ILDb8/m8EURIjIBmvPpOFKAZaLl94cM+M7&#10;3tF5HwuRIBwy1GBjbDIpQ27JYRj6hjh5J986jEm2hTQtdgnuavmu1EQ6LDktWGxoZSmv9v9OQ/Vt&#10;t7vD1+qY9yVVRfenDtPrWuu315GagYh0ic/wo/1pNIw/4P4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X7S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spacing w:beforeLines="0" w:afterLines="0"/>
                          <w:rPr>
                            <w:rFonts w:hint="eastAsia" w:ascii="微软雅黑" w:eastAsia="微软雅黑"/>
                            <w:b/>
                            <w:sz w:val="20"/>
                            <w:szCs w:val="22"/>
                          </w:rPr>
                        </w:pPr>
                      </w:p>
                      <w:p>
                        <w:pPr>
                          <w:spacing w:before="1" w:beforeLines="0" w:afterLines="0"/>
                          <w:rPr>
                            <w:rFonts w:hint="eastAsia" w:ascii="微软雅黑" w:eastAsia="微软雅黑"/>
                            <w:b/>
                            <w:sz w:val="19"/>
                            <w:szCs w:val="22"/>
                          </w:rPr>
                        </w:pPr>
                      </w:p>
                      <w:p>
                        <w:pPr>
                          <w:spacing w:beforeLines="0" w:afterLines="0" w:line="278" w:lineRule="auto"/>
                          <w:ind w:left="1166" w:right="1161"/>
                          <w:jc w:val="center"/>
                          <w:rPr>
                            <w:rFonts w:hint="default"/>
                            <w:sz w:val="21"/>
                            <w:szCs w:val="22"/>
                          </w:rPr>
                        </w:pPr>
                        <w:r>
                          <w:rPr>
                            <w:rFonts w:hint="default"/>
                            <w:sz w:val="21"/>
                            <w:szCs w:val="22"/>
                          </w:rPr>
                          <w:t>被授权人（授权代表） 居民身份证复印件</w:t>
                        </w:r>
                      </w:p>
                      <w:p>
                        <w:pPr>
                          <w:spacing w:before="16" w:beforeLines="0" w:afterLines="0"/>
                          <w:rPr>
                            <w:rFonts w:hint="eastAsia" w:ascii="微软雅黑" w:eastAsia="微软雅黑"/>
                            <w:b/>
                            <w:sz w:val="16"/>
                            <w:szCs w:val="22"/>
                          </w:rPr>
                        </w:pPr>
                      </w:p>
                      <w:p>
                        <w:pPr>
                          <w:spacing w:before="1" w:beforeLines="0" w:afterLines="0"/>
                          <w:ind w:left="1161" w:right="1161"/>
                          <w:jc w:val="center"/>
                          <w:rPr>
                            <w:rFonts w:hint="default"/>
                            <w:sz w:val="21"/>
                            <w:szCs w:val="22"/>
                          </w:rPr>
                        </w:pPr>
                        <w:r>
                          <w:rPr>
                            <w:rFonts w:hint="default"/>
                            <w:sz w:val="21"/>
                            <w:szCs w:val="22"/>
                          </w:rPr>
                          <w:t>（正面）</w:t>
                        </w:r>
                      </w:p>
                    </w:txbxContent>
                  </v:textbox>
                </v:shape>
                <w10:wrap type="topAndBottom"/>
              </v:group>
            </w:pict>
          </mc:Fallback>
        </mc:AlternateContent>
      </w:r>
      <w:r>
        <w:rPr>
          <w:rFonts w:hint="eastAsia" w:ascii="宋体" w:hAnsi="宋体" w:eastAsia="宋体" w:cs="宋体"/>
          <w:color w:val="auto"/>
          <w:sz w:val="22"/>
          <w:szCs w:val="22"/>
          <w:highlight w:val="none"/>
        </w:rPr>
        <mc:AlternateContent>
          <mc:Choice Requires="wps">
            <w:drawing>
              <wp:anchor distT="0" distB="0" distL="114300" distR="114300" simplePos="0" relativeHeight="251667456"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52" name="文本框 396"/>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2"/>
                              <w:spacing w:beforeLines="0" w:afterLines="0"/>
                              <w:rPr>
                                <w:rFonts w:hint="eastAsia" w:ascii="微软雅黑" w:eastAsia="微软雅黑"/>
                                <w:b/>
                                <w:sz w:val="20"/>
                                <w:szCs w:val="21"/>
                              </w:rPr>
                            </w:pPr>
                          </w:p>
                          <w:p>
                            <w:pPr>
                              <w:pStyle w:val="2"/>
                              <w:spacing w:before="1" w:beforeLines="0" w:afterLines="0"/>
                              <w:rPr>
                                <w:rFonts w:hint="eastAsia" w:ascii="微软雅黑" w:eastAsia="微软雅黑"/>
                                <w:b/>
                                <w:sz w:val="19"/>
                                <w:szCs w:val="21"/>
                              </w:rPr>
                            </w:pPr>
                          </w:p>
                          <w:p>
                            <w:pPr>
                              <w:pStyle w:val="2"/>
                              <w:spacing w:beforeLines="0" w:afterLines="0" w:line="278" w:lineRule="auto"/>
                              <w:ind w:left="1168" w:right="1159"/>
                              <w:jc w:val="center"/>
                              <w:rPr>
                                <w:rFonts w:hint="default"/>
                                <w:sz w:val="21"/>
                                <w:szCs w:val="21"/>
                              </w:rPr>
                            </w:pPr>
                            <w:r>
                              <w:rPr>
                                <w:rFonts w:hint="default"/>
                                <w:sz w:val="21"/>
                                <w:szCs w:val="21"/>
                              </w:rPr>
                              <w:t>被授权人（授权代表） 居民身份证复印件</w:t>
                            </w:r>
                          </w:p>
                          <w:p>
                            <w:pPr>
                              <w:pStyle w:val="2"/>
                              <w:spacing w:before="16" w:beforeLines="0" w:afterLines="0"/>
                              <w:rPr>
                                <w:rFonts w:hint="eastAsia" w:ascii="微软雅黑" w:eastAsia="微软雅黑"/>
                                <w:b/>
                                <w:sz w:val="16"/>
                                <w:szCs w:val="21"/>
                              </w:rPr>
                            </w:pPr>
                          </w:p>
                          <w:p>
                            <w:pPr>
                              <w:pStyle w:val="2"/>
                              <w:spacing w:before="1" w:beforeLines="0" w:afterLines="0"/>
                              <w:ind w:left="1165" w:right="1161"/>
                              <w:jc w:val="center"/>
                              <w:rPr>
                                <w:rFonts w:hint="default"/>
                                <w:sz w:val="21"/>
                                <w:szCs w:val="21"/>
                              </w:rPr>
                            </w:pPr>
                            <w:r>
                              <w:rPr>
                                <w:rFonts w:hint="default"/>
                                <w:sz w:val="21"/>
                                <w:szCs w:val="21"/>
                              </w:rPr>
                              <w:t>（反面）</w:t>
                            </w:r>
                          </w:p>
                        </w:txbxContent>
                      </wps:txbx>
                      <wps:bodyPr wrap="square" lIns="0" tIns="0" rIns="0" bIns="0" upright="1"/>
                    </wps:wsp>
                  </a:graphicData>
                </a:graphic>
              </wp:anchor>
            </w:drawing>
          </mc:Choice>
          <mc:Fallback>
            <w:pict>
              <v:shape id="文本框 396" o:spid="_x0000_s1026" o:spt="202" type="#_x0000_t202" style="position:absolute;left:0pt;margin-left:283.75pt;margin-top:23.45pt;height:125.3pt;width:222.4pt;mso-position-horizontal-relative:page;mso-wrap-distance-bottom:0pt;mso-wrap-distance-top:0pt;z-index:-251649024;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O7AtLCICAABDBAAADgAAAGRycy9lMm9Eb2MueG1s&#10;rVNLjhMxEN0jcQfLe9JJz2Q0idIZCcIgJARIAwdw3O5uS/5hO+nOBeAGrNiw51w5B8/OZ2DYZEEW&#10;nWpX9at6r54Xd4NWZCt8kNZUdDIaUyIMt7U0bUU/f7p/cUtJiMzUTFkjKroTgd4tnz9b9G4uSttZ&#10;VQtPAGLCvHcV7WJ086IIvBOahZF1wiDZWK9ZxKtvi9qzHuhaFeV4fFP01tfOWy5CwOnqkKRHRH8J&#10;oG0aycXK8o0WJh5QvVAsglLopAt0madtGsHjh6YJIhJVUTCN+YkmiNfpWSwXbN565jrJjyOwS0Z4&#10;wkkzadD0DLVikZGNl/9Aacm9DbaJI251cSCSFQGLyfiJNg8dcyJzgdTBnUUP/w+Wv99+9ETWFZ2W&#10;lBimsfH992/7H7/2P7+Sq9lNUqh3YY7CB4fSOLy0A3xzOg84TMSHxuv0D0oEeei7O+srhkg4Dsvb&#10;8vr6FimO3GQ6m1xN8gaKx8+dD/GNsJqkoKIeC8y6su27EDEKSk8lqZux91KpvERlSF/R2bScAp/B&#10;mA0MgVA7kAumzTDBKlmnT9LHwbfrV8qTLUvmyL/ECi3+Kkv9Vix0h7qcOthGyyh87t0JVr82NYk7&#10;B/0M7g1Nw2hRU6IErlmKcmVkUl1SiSGUwSxJ+oPEKYrDegBMCte23mEdPawLel82zKOnemvgjeTz&#10;U+BPwfoUbJyXbQdt8wpzA3gr0z7eg2TeP9/zGI93f/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5wacNsAAAALAQAADwAAAAAAAAABACAAAAAiAAAAZHJzL2Rvd25yZXYueG1sUEsBAhQAFAAAAAgA&#10;h07iQDuwLSwiAgAAQwQAAA4AAAAAAAAAAQAgAAAAKgEAAGRycy9lMm9Eb2MueG1sUEsFBgAAAAAG&#10;AAYAWQEAAL4FAAAAAA==&#10;">
                <v:fill on="f" focussize="0,0"/>
                <v:stroke color="#000000" joinstyle="miter"/>
                <v:imagedata o:title=""/>
                <o:lock v:ext="edit" aspectratio="f"/>
                <v:textbox inset="0mm,0mm,0mm,0mm">
                  <w:txbxContent>
                    <w:p>
                      <w:pPr>
                        <w:pStyle w:val="2"/>
                        <w:spacing w:beforeLines="0" w:afterLines="0"/>
                        <w:rPr>
                          <w:rFonts w:hint="eastAsia" w:ascii="微软雅黑" w:eastAsia="微软雅黑"/>
                          <w:b/>
                          <w:sz w:val="20"/>
                          <w:szCs w:val="21"/>
                        </w:rPr>
                      </w:pPr>
                    </w:p>
                    <w:p>
                      <w:pPr>
                        <w:pStyle w:val="2"/>
                        <w:spacing w:before="1" w:beforeLines="0" w:afterLines="0"/>
                        <w:rPr>
                          <w:rFonts w:hint="eastAsia" w:ascii="微软雅黑" w:eastAsia="微软雅黑"/>
                          <w:b/>
                          <w:sz w:val="19"/>
                          <w:szCs w:val="21"/>
                        </w:rPr>
                      </w:pPr>
                    </w:p>
                    <w:p>
                      <w:pPr>
                        <w:pStyle w:val="2"/>
                        <w:spacing w:beforeLines="0" w:afterLines="0" w:line="278" w:lineRule="auto"/>
                        <w:ind w:left="1168" w:right="1159"/>
                        <w:jc w:val="center"/>
                        <w:rPr>
                          <w:rFonts w:hint="default"/>
                          <w:sz w:val="21"/>
                          <w:szCs w:val="21"/>
                        </w:rPr>
                      </w:pPr>
                      <w:r>
                        <w:rPr>
                          <w:rFonts w:hint="default"/>
                          <w:sz w:val="21"/>
                          <w:szCs w:val="21"/>
                        </w:rPr>
                        <w:t>被授权人（授权代表） 居民身份证复印件</w:t>
                      </w:r>
                    </w:p>
                    <w:p>
                      <w:pPr>
                        <w:pStyle w:val="2"/>
                        <w:spacing w:before="16" w:beforeLines="0" w:afterLines="0"/>
                        <w:rPr>
                          <w:rFonts w:hint="eastAsia" w:ascii="微软雅黑" w:eastAsia="微软雅黑"/>
                          <w:b/>
                          <w:sz w:val="16"/>
                          <w:szCs w:val="21"/>
                        </w:rPr>
                      </w:pPr>
                    </w:p>
                    <w:p>
                      <w:pPr>
                        <w:pStyle w:val="2"/>
                        <w:spacing w:before="1" w:beforeLines="0" w:afterLines="0"/>
                        <w:ind w:left="1165" w:right="1161"/>
                        <w:jc w:val="center"/>
                        <w:rPr>
                          <w:rFonts w:hint="default"/>
                          <w:sz w:val="21"/>
                          <w:szCs w:val="21"/>
                        </w:rPr>
                      </w:pPr>
                      <w:r>
                        <w:rPr>
                          <w:rFonts w:hint="default"/>
                          <w:sz w:val="21"/>
                          <w:szCs w:val="21"/>
                        </w:rPr>
                        <w:t>（反面）</w:t>
                      </w:r>
                    </w:p>
                  </w:txbxContent>
                </v:textbox>
                <w10:wrap type="topAndBottom"/>
              </v:shape>
            </w:pict>
          </mc:Fallback>
        </mc:AlternateContent>
      </w:r>
      <w:r>
        <w:rPr>
          <w:rFonts w:hint="eastAsia" w:ascii="宋体" w:hAnsi="宋体" w:eastAsia="宋体" w:cs="宋体"/>
          <w:color w:val="auto"/>
          <w:sz w:val="22"/>
          <w:szCs w:val="22"/>
          <w:highlight w:val="none"/>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41" name="文本框 397"/>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2"/>
                              <w:spacing w:beforeLines="0" w:afterLines="0" w:line="241" w:lineRule="exact"/>
                              <w:rPr>
                                <w:rFonts w:hint="default"/>
                                <w:sz w:val="21"/>
                                <w:szCs w:val="21"/>
                              </w:rPr>
                            </w:pPr>
                            <w:r>
                              <w:rPr>
                                <w:rFonts w:hint="default"/>
                                <w:sz w:val="21"/>
                                <w:szCs w:val="21"/>
                              </w:rPr>
                              <w:t xml:space="preserve"> </w:t>
                            </w:r>
                          </w:p>
                          <w:p>
                            <w:pPr>
                              <w:pStyle w:val="2"/>
                              <w:spacing w:before="6"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6" w:beforeLines="0" w:afterLines="0"/>
                              <w:rPr>
                                <w:rFonts w:hint="default"/>
                                <w:sz w:val="15"/>
                                <w:szCs w:val="21"/>
                              </w:rPr>
                            </w:pPr>
                          </w:p>
                          <w:p>
                            <w:pPr>
                              <w:pStyle w:val="2"/>
                              <w:spacing w:beforeLines="0" w:afterLines="0" w:line="240" w:lineRule="exact"/>
                              <w:rPr>
                                <w:rFonts w:hint="default"/>
                                <w:sz w:val="21"/>
                                <w:szCs w:val="21"/>
                              </w:rPr>
                            </w:pPr>
                            <w:r>
                              <w:rPr>
                                <w:rFonts w:hint="default"/>
                                <w:sz w:val="21"/>
                                <w:szCs w:val="21"/>
                              </w:rPr>
                              <w:t xml:space="preserve"> </w:t>
                            </w:r>
                          </w:p>
                        </w:txbxContent>
                      </wps:txbx>
                      <wps:bodyPr wrap="square" lIns="0" tIns="0" rIns="0" bIns="0" upright="1"/>
                    </wps:wsp>
                  </a:graphicData>
                </a:graphic>
              </wp:anchor>
            </w:drawing>
          </mc:Choice>
          <mc:Fallback>
            <w:pict>
              <v:shape id="文本框 397"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MQDEbxgEAAIIDAAAOAAAAZHJzL2Uyb0RvYy54bWytU82O&#10;0zAQviPxDpbvNEkXuhA1XQlVi5AQIC08gOs4jSX/MeM26QvAG3Diwp3n6nMwdpsuLJc9cHEmM5Nv&#10;vu8bZ3kzWsP2ClB71/BqVnKmnPStdtuGf/50++wlZxiFa4XxTjX8oJDfrJ4+WQ6hVnPfe9MqYATi&#10;sB5Cw/sYQ10UKHtlBc58UI6KnQcrIr3CtmhBDIRuTTEvy0UxeGgDeKkQKbs+FfkZER4D6LtOS7X2&#10;cmeViydUUEZEkoS9DshXmW3XKRk/dB2qyEzDSWnMJw2heJPOYrUU9RZE6LU8UxCPofBAkxXa0dAL&#10;1FpEwXag/4GyWoJH38WZ9LY4CcmOkIqqfODNXS+CylrIagwX0/H/wcr3+4/AdNvw5xVnTlja+PH7&#10;t+OPX8efX9nVq+vk0BCwpsa7QK1xfO1HujdTHimZhI8d2PQkSYzq5O/h4q8aI5OUXFxfVVSQVKkW&#10;8/LFPPtf3H8cAOMb5S1LQcOB1pddFft3GIkItU4taZbzt9qYvELj/kpQY8oUifmJYYriuBnPcja+&#10;PZCagTbfcPyyE6A4M28dWZuuyRTAFGymYBdAb3silx3IA2g1mdr5GqXd//meadz/O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eVQx9cAAAAKAQAADwAAAAAAAAABACAAAAAiAAAAZHJzL2Rvd25y&#10;ZXYueG1sUEsBAhQAFAAAAAgAh07iQMxAMRvGAQAAggMAAA4AAAAAAAAAAQAgAAAAJgEAAGRycy9l&#10;Mm9Eb2MueG1sUEsFBgAAAAAGAAYAWQEAAF4FAAAAAA==&#10;">
                <v:fill on="f" focussize="0,0"/>
                <v:stroke on="f"/>
                <v:imagedata o:title=""/>
                <o:lock v:ext="edit" aspectratio="f"/>
                <v:textbox inset="0mm,0mm,0mm,0mm">
                  <w:txbxContent>
                    <w:p>
                      <w:pPr>
                        <w:pStyle w:val="2"/>
                        <w:spacing w:beforeLines="0" w:afterLines="0" w:line="241" w:lineRule="exact"/>
                        <w:rPr>
                          <w:rFonts w:hint="default"/>
                          <w:sz w:val="21"/>
                          <w:szCs w:val="21"/>
                        </w:rPr>
                      </w:pPr>
                      <w:r>
                        <w:rPr>
                          <w:rFonts w:hint="default"/>
                          <w:sz w:val="21"/>
                          <w:szCs w:val="21"/>
                        </w:rPr>
                        <w:t xml:space="preserve"> </w:t>
                      </w:r>
                    </w:p>
                    <w:p>
                      <w:pPr>
                        <w:pStyle w:val="2"/>
                        <w:spacing w:before="6"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7" w:beforeLines="0" w:afterLines="0"/>
                        <w:rPr>
                          <w:rFonts w:hint="default"/>
                          <w:sz w:val="15"/>
                          <w:szCs w:val="21"/>
                        </w:rPr>
                      </w:pPr>
                    </w:p>
                    <w:p>
                      <w:pPr>
                        <w:pStyle w:val="2"/>
                        <w:spacing w:beforeLines="0" w:afterLines="0"/>
                        <w:rPr>
                          <w:rFonts w:hint="default"/>
                          <w:sz w:val="21"/>
                          <w:szCs w:val="21"/>
                        </w:rPr>
                      </w:pPr>
                      <w:r>
                        <w:rPr>
                          <w:rFonts w:hint="default"/>
                          <w:sz w:val="21"/>
                          <w:szCs w:val="21"/>
                        </w:rPr>
                        <w:t xml:space="preserve"> </w:t>
                      </w:r>
                    </w:p>
                    <w:p>
                      <w:pPr>
                        <w:pStyle w:val="2"/>
                        <w:spacing w:before="6" w:beforeLines="0" w:afterLines="0"/>
                        <w:rPr>
                          <w:rFonts w:hint="default"/>
                          <w:sz w:val="15"/>
                          <w:szCs w:val="21"/>
                        </w:rPr>
                      </w:pPr>
                    </w:p>
                    <w:p>
                      <w:pPr>
                        <w:pStyle w:val="2"/>
                        <w:spacing w:beforeLines="0" w:afterLines="0" w:line="240" w:lineRule="exact"/>
                        <w:rPr>
                          <w:rFonts w:hint="default"/>
                          <w:sz w:val="21"/>
                          <w:szCs w:val="21"/>
                        </w:rPr>
                      </w:pPr>
                      <w:r>
                        <w:rPr>
                          <w:rFonts w:hint="default"/>
                          <w:sz w:val="21"/>
                          <w:szCs w:val="21"/>
                        </w:rPr>
                        <w:t xml:space="preserve"> </w:t>
                      </w:r>
                    </w:p>
                  </w:txbxContent>
                </v:textbox>
              </v:shape>
            </w:pict>
          </mc:Fallback>
        </mc:AlternateContent>
      </w:r>
      <w:r>
        <w:rPr>
          <w:rFonts w:hint="eastAsia" w:ascii="宋体" w:hAnsi="宋体" w:eastAsia="宋体" w:cs="宋体"/>
          <w:color w:val="auto"/>
          <w:sz w:val="22"/>
          <w:szCs w:val="22"/>
          <w:highlight w:val="none"/>
        </w:rPr>
        <w:t xml:space="preserve">附：被授权代表人身份证复印件 </w:t>
      </w:r>
    </w:p>
    <w:p>
      <w:pPr>
        <w:spacing w:beforeLines="0" w:afterLines="0" w:line="440" w:lineRule="exact"/>
        <w:ind w:firstLine="440" w:firstLineChars="200"/>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法定代表人（签名或盖章）：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职务：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被授权人（签名）：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供应商名称（单位盖公章）：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sectPr>
          <w:headerReference r:id="rId13" w:type="default"/>
          <w:pgSz w:w="11910" w:h="16840"/>
          <w:pgMar w:top="1984" w:right="1531" w:bottom="2098" w:left="1531" w:header="670" w:footer="1041" w:gutter="0"/>
          <w:lnNumType w:countBy="0" w:distance="360"/>
          <w:pgNumType w:fmt="numberInDash" w:chapStyle="1"/>
          <w:cols w:space="720" w:num="1"/>
          <w:titlePg/>
          <w:docGrid w:type="lines" w:linePitch="1" w:charSpace="0"/>
        </w:sectPr>
      </w:pPr>
    </w:p>
    <w:p>
      <w:pPr>
        <w:pStyle w:val="34"/>
        <w:spacing w:beforeLines="0" w:afterLines="0"/>
        <w:rPr>
          <w:rFonts w:hint="eastAsia" w:ascii="宋体" w:hAnsi="宋体" w:eastAsia="宋体" w:cs="宋体"/>
          <w:color w:val="auto"/>
          <w:sz w:val="22"/>
          <w:szCs w:val="22"/>
          <w:highlight w:val="none"/>
        </w:rPr>
      </w:pPr>
    </w:p>
    <w:p>
      <w:pPr>
        <w:spacing w:beforeLines="0" w:afterLines="0" w:line="440" w:lineRule="exact"/>
        <w:ind w:firstLine="442" w:firstLineChars="20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6.2 供应商资格声明函</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00" w:lineRule="exact"/>
        <w:rPr>
          <w:rFonts w:hint="eastAsia" w:ascii="宋体" w:hAnsi="宋体" w:eastAsia="宋体" w:cs="宋体"/>
          <w:color w:val="auto"/>
          <w:sz w:val="22"/>
          <w:szCs w:val="22"/>
          <w:highlight w:val="none"/>
        </w:rPr>
      </w:pPr>
      <w:r>
        <w:rPr>
          <w:rFonts w:hint="default" w:ascii="宋体" w:hAnsi="宋体" w:eastAsia="宋体" w:cs="宋体"/>
          <w:b/>
          <w:color w:val="auto"/>
          <w:sz w:val="22"/>
          <w:szCs w:val="22"/>
          <w:highlight w:val="none"/>
          <w:lang w:val="en-US" w:eastAsia="zh-CN"/>
        </w:rPr>
        <w:t>吐鲁番市行政服务中心（市公共资源交易中心）</w:t>
      </w:r>
      <w:r>
        <w:rPr>
          <w:rFonts w:hint="eastAsia" w:ascii="宋体" w:hAnsi="宋体" w:eastAsia="宋体" w:cs="宋体"/>
          <w:color w:val="auto"/>
          <w:sz w:val="22"/>
          <w:szCs w:val="22"/>
          <w:highlight w:val="none"/>
        </w:rPr>
        <w:t xml:space="preserve">：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关于贵公司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日发布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项目（采购项目编号：）的</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公告，本公司（企业）愿意参加</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，并声明：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本公司（企业）具备下列《中华人民共和国政府采购法》第二十二条资格条件，并已清楚</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文件的要求及有关文件规定。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本公司（企业）已清楚</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 xml:space="preserve">文件的要求及有关文件规定。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本公司（企业）的法定代表人或单位负责人与本项目其他供应商的法定代表人或单位负责人不为同一人且与其他供应商之间不存在直接控股、管理关系。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本公司（企业）承诺：若为本采购项目提供整体设计、规范编制或者项目管理、监理、检测等服务的供应商，将不再参加该采购项目的其他采购活动。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本公司（企业）承诺在本次采购活动中，如有违法、违规、弄虚作假行为，所造成的损失、不良后果及法律责任，一律由我公司（企业）承担。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特此声明！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供应商名称（单位盖公章）：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0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日期: </w:t>
      </w:r>
      <w:r>
        <w:rPr>
          <w:rFonts w:hint="eastAsia" w:ascii="宋体" w:hAnsi="宋体" w:eastAsia="宋体" w:cs="宋体"/>
          <w:color w:val="auto"/>
          <w:sz w:val="22"/>
          <w:szCs w:val="22"/>
          <w:highlight w:val="none"/>
          <w:u w:val="single"/>
        </w:rPr>
        <w:t xml:space="preserve">         </w:t>
      </w:r>
    </w:p>
    <w:p>
      <w:pPr>
        <w:spacing w:beforeLines="0" w:afterLines="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br w:type="page"/>
      </w:r>
    </w:p>
    <w:p>
      <w:pPr>
        <w:pStyle w:val="10"/>
        <w:spacing w:beforeLines="0" w:afterLines="0"/>
        <w:ind w:firstLine="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rPr>
        <w:t xml:space="preserve">6.3 </w:t>
      </w:r>
      <w:r>
        <w:rPr>
          <w:rFonts w:hint="eastAsia" w:ascii="宋体" w:hAnsi="宋体" w:eastAsia="宋体" w:cs="宋体"/>
          <w:b/>
          <w:color w:val="auto"/>
          <w:sz w:val="22"/>
          <w:szCs w:val="22"/>
          <w:highlight w:val="none"/>
        </w:rPr>
        <w:t>具备履行合同所必需的设备和专业技术能力的书面声明</w:t>
      </w:r>
    </w:p>
    <w:p>
      <w:pPr>
        <w:pStyle w:val="10"/>
        <w:spacing w:beforeLines="0" w:afterLines="0"/>
        <w:ind w:firstLine="0"/>
        <w:jc w:val="center"/>
        <w:rPr>
          <w:rFonts w:hint="eastAsia" w:ascii="宋体" w:hAnsi="宋体" w:eastAsia="宋体" w:cs="宋体"/>
          <w:b/>
          <w:color w:val="auto"/>
          <w:sz w:val="22"/>
          <w:szCs w:val="22"/>
          <w:highlight w:val="none"/>
        </w:rPr>
      </w:pPr>
    </w:p>
    <w:p>
      <w:pPr>
        <w:spacing w:before="145" w:beforeLines="50" w:after="145" w:afterLines="50" w:line="300" w:lineRule="auto"/>
        <w:ind w:firstLine="4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主要设备有：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spacing w:before="145" w:beforeLines="50" w:after="145" w:afterLines="50" w:line="300" w:lineRule="auto"/>
        <w:ind w:firstLine="49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主要专业技术能力有：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111"/>
        <w:spacing w:before="145" w:beforeLines="50" w:after="145" w:afterLines="50" w:line="300" w:lineRule="auto"/>
        <w:ind w:left="5460" w:leftChars="2400" w:hanging="660" w:hangingChars="300"/>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rPr>
        <w:t xml:space="preserve">投标人名称（盖章）： </w:t>
      </w:r>
    </w:p>
    <w:p>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______年____月____日</w:t>
      </w: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1"/>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spacing w:beforeLines="0" w:afterLines="0" w:line="440" w:lineRule="exact"/>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6.4 参加政府采购活动前 3 年内在经营活动中没有重大违法记录的书面声明</w:t>
      </w:r>
    </w:p>
    <w:p>
      <w:pPr>
        <w:pStyle w:val="2"/>
        <w:spacing w:beforeLines="0" w:afterLines="0"/>
        <w:rPr>
          <w:rFonts w:hint="eastAsia" w:ascii="宋体" w:hAnsi="宋体" w:eastAsia="宋体" w:cs="宋体"/>
          <w:color w:val="auto"/>
          <w:sz w:val="22"/>
          <w:szCs w:val="22"/>
          <w:highlight w:val="none"/>
          <w:lang w:val="en-US"/>
        </w:rPr>
      </w:pPr>
    </w:p>
    <w:p>
      <w:pPr>
        <w:spacing w:before="145" w:beforeLines="50" w:after="145" w:afterLines="50" w:line="300" w:lineRule="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eastAsia="宋体" w:cs="宋体"/>
          <w:color w:val="auto"/>
          <w:sz w:val="22"/>
          <w:szCs w:val="22"/>
          <w:highlight w:val="none"/>
        </w:rPr>
      </w:pPr>
    </w:p>
    <w:p>
      <w:pPr>
        <w:pStyle w:val="111"/>
        <w:spacing w:before="145" w:beforeLines="50" w:after="145" w:afterLines="50" w:line="300" w:lineRule="auto"/>
        <w:ind w:left="400" w:leftChars="200" w:firstLine="4840" w:firstLineChars="220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 xml:space="preserve">投标人名称（盖章）： </w:t>
      </w:r>
    </w:p>
    <w:p>
      <w:pPr>
        <w:spacing w:before="145" w:beforeLines="50" w:after="145" w:afterLines="50" w:line="300" w:lineRule="auto"/>
        <w:ind w:firstLine="5720" w:firstLineChars="26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______年____月____日</w:t>
      </w:r>
    </w:p>
    <w:p>
      <w:pPr>
        <w:spacing w:beforeLines="0" w:afterLines="0" w:line="400" w:lineRule="exact"/>
        <w:ind w:firstLine="442" w:firstLineChars="200"/>
        <w:jc w:val="center"/>
        <w:rPr>
          <w:rFonts w:hint="eastAsia" w:ascii="宋体" w:hAnsi="宋体" w:eastAsia="宋体" w:cs="宋体"/>
          <w:b/>
          <w:color w:val="auto"/>
          <w:sz w:val="22"/>
          <w:szCs w:val="22"/>
          <w:highlight w:val="none"/>
          <w:lang w:val="en-US"/>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rPr>
          <w:rFonts w:hint="eastAsia"/>
          <w:color w:val="auto"/>
          <w:highlight w:val="none"/>
        </w:rPr>
      </w:pPr>
    </w:p>
    <w:p>
      <w:pPr>
        <w:spacing w:beforeLines="0" w:afterLines="0"/>
        <w:rPr>
          <w:rFonts w:hint="eastAsia" w:ascii="宋体" w:hAnsi="宋体" w:eastAsia="宋体" w:cs="宋体"/>
          <w:color w:val="auto"/>
          <w:sz w:val="22"/>
          <w:szCs w:val="22"/>
          <w:highlight w:val="none"/>
        </w:rPr>
      </w:pPr>
    </w:p>
    <w:p>
      <w:pPr>
        <w:pStyle w:val="21"/>
        <w:spacing w:beforeLines="0" w:afterLines="0"/>
        <w:rPr>
          <w:rFonts w:hint="eastAsia" w:ascii="宋体" w:hAnsi="宋体" w:eastAsia="宋体" w:cs="宋体"/>
          <w:color w:val="auto"/>
          <w:sz w:val="22"/>
          <w:szCs w:val="22"/>
          <w:highlight w:val="none"/>
        </w:rPr>
      </w:pPr>
    </w:p>
    <w:p>
      <w:pPr>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pStyle w:val="3"/>
        <w:rPr>
          <w:rFonts w:hint="eastAsia" w:ascii="宋体" w:hAnsi="宋体" w:eastAsia="宋体" w:cs="宋体"/>
          <w:color w:val="auto"/>
          <w:sz w:val="22"/>
          <w:szCs w:val="22"/>
          <w:highlight w:val="none"/>
        </w:rPr>
      </w:pPr>
    </w:p>
    <w:p>
      <w:pPr>
        <w:pStyle w:val="4"/>
        <w:rPr>
          <w:rFonts w:hint="eastAsia" w:ascii="宋体" w:hAnsi="宋体" w:eastAsia="宋体" w:cs="宋体"/>
          <w:color w:val="auto"/>
          <w:sz w:val="22"/>
          <w:szCs w:val="22"/>
          <w:highlight w:val="none"/>
        </w:rPr>
      </w:pPr>
    </w:p>
    <w:p>
      <w:pPr>
        <w:pStyle w:val="5"/>
        <w:rPr>
          <w:rFonts w:hint="eastAsia"/>
        </w:rPr>
      </w:pPr>
    </w:p>
    <w:p>
      <w:pPr>
        <w:spacing w:beforeLines="0" w:afterLines="0" w:line="440" w:lineRule="exact"/>
        <w:ind w:firstLine="442" w:firstLineChars="20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val="en-US"/>
        </w:rPr>
        <w:t>6.5 政府采购供应商质疑函范本</w:t>
      </w:r>
    </w:p>
    <w:p>
      <w:pPr>
        <w:spacing w:beforeLines="0" w:afterLines="0" w:line="440" w:lineRule="exact"/>
        <w:ind w:firstLine="442" w:firstLineChars="200"/>
        <w:jc w:val="center"/>
        <w:rPr>
          <w:rFonts w:hint="eastAsia" w:ascii="宋体" w:hAnsi="宋体" w:eastAsia="宋体" w:cs="宋体"/>
          <w:b/>
          <w:color w:val="auto"/>
          <w:sz w:val="22"/>
          <w:szCs w:val="22"/>
          <w:highlight w:val="none"/>
          <w:lang w:val="en-US"/>
        </w:rPr>
      </w:pPr>
    </w:p>
    <w:p>
      <w:pPr>
        <w:spacing w:beforeLines="0" w:afterLines="0" w:line="440" w:lineRule="exact"/>
        <w:ind w:firstLine="442" w:firstLineChars="20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质疑函</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（采购人）：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鉴于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（以下简称“供应商”）拟参加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u w:val="single"/>
        </w:rPr>
        <w:t xml:space="preserve">    （采购项目名称）、（采购项目编号）</w:t>
      </w:r>
      <w:r>
        <w:rPr>
          <w:rFonts w:hint="eastAsia" w:ascii="宋体" w:hAnsi="宋体" w:eastAsia="宋体" w:cs="宋体"/>
          <w:color w:val="auto"/>
          <w:sz w:val="22"/>
          <w:szCs w:val="22"/>
          <w:highlight w:val="none"/>
        </w:rPr>
        <w:t>（以下简称“本项目”）投标，于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日获取本项目的</w:t>
      </w:r>
      <w:r>
        <w:rPr>
          <w:rFonts w:hint="eastAsia" w:ascii="宋体" w:hAnsi="宋体" w:eastAsia="宋体" w:cs="宋体"/>
          <w:color w:val="auto"/>
          <w:sz w:val="22"/>
          <w:szCs w:val="22"/>
          <w:highlight w:val="none"/>
          <w:lang w:eastAsia="zh-CN"/>
        </w:rPr>
        <w:t>谈判</w:t>
      </w:r>
      <w:r>
        <w:rPr>
          <w:rFonts w:hint="eastAsia" w:ascii="宋体" w:hAnsi="宋体" w:eastAsia="宋体" w:cs="宋体"/>
          <w:color w:val="auto"/>
          <w:sz w:val="22"/>
          <w:szCs w:val="22"/>
          <w:highlight w:val="none"/>
        </w:rPr>
        <w:t>文件，根据《政府采购法》和《政府采购供应商投诉处理办法》等规定，我公司认为本项目的采购活动中，</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谈判</w:t>
      </w:r>
      <w:r>
        <w:rPr>
          <w:rFonts w:hint="eastAsia" w:ascii="宋体" w:hAnsi="宋体" w:eastAsia="宋体" w:cs="宋体"/>
          <w:color w:val="auto"/>
          <w:sz w:val="22"/>
          <w:szCs w:val="22"/>
          <w:highlight w:val="none"/>
          <w:u w:val="single"/>
        </w:rPr>
        <w:t>文件、采购过程、成交/成交结果）</w:t>
      </w:r>
      <w:r>
        <w:rPr>
          <w:rFonts w:hint="eastAsia" w:ascii="宋体" w:hAnsi="宋体" w:eastAsia="宋体" w:cs="宋体"/>
          <w:color w:val="auto"/>
          <w:sz w:val="22"/>
          <w:szCs w:val="22"/>
          <w:highlight w:val="none"/>
        </w:rPr>
        <w:t xml:space="preserve">损害了我公司权益，特提出质疑。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一、质疑供应商基本信息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联 系 人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联 系 电 话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 权 代 表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身 份 证 号 码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邮编：</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二、质疑事项具体内容 </w:t>
      </w:r>
    </w:p>
    <w:p>
      <w:pPr>
        <w:spacing w:beforeLines="0" w:afterLines="0" w:line="440" w:lineRule="exact"/>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质 疑 事 项1：</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事实依据：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法律依据：</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质疑事项 2 </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w:t>
      </w:r>
      <w:r>
        <w:rPr>
          <w:rFonts w:hint="eastAsia" w:ascii="宋体" w:hAnsi="宋体" w:eastAsia="宋体" w:cs="宋体"/>
          <w:color w:val="auto"/>
          <w:sz w:val="22"/>
          <w:szCs w:val="22"/>
          <w:highlight w:val="none"/>
          <w:u w:val="single"/>
          <w:lang w:eastAsia="zh-CN"/>
        </w:rPr>
        <w:t>谈判</w:t>
      </w:r>
      <w:r>
        <w:rPr>
          <w:rFonts w:hint="eastAsia" w:ascii="宋体" w:hAnsi="宋体" w:eastAsia="宋体" w:cs="宋体"/>
          <w:color w:val="auto"/>
          <w:sz w:val="22"/>
          <w:szCs w:val="22"/>
          <w:highlight w:val="none"/>
          <w:u w:val="single"/>
        </w:rPr>
        <w:t>文件其他内容、其他采购过程、成交结果其他内容</w:t>
      </w:r>
      <w:r>
        <w:rPr>
          <w:rFonts w:hint="eastAsia" w:ascii="宋体" w:hAnsi="宋体" w:eastAsia="宋体" w:cs="宋体"/>
          <w:color w:val="auto"/>
          <w:sz w:val="22"/>
          <w:szCs w:val="22"/>
          <w:highlight w:val="none"/>
        </w:rPr>
        <w:t xml:space="preserve">）无质疑。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三、与质疑事项相关的质疑请求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请求：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 疑 供 应 商 名 称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公 章 ）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（签署） </w:t>
      </w:r>
    </w:p>
    <w:p>
      <w:pPr>
        <w:spacing w:beforeLines="0" w:afterLines="0" w:line="440" w:lineRule="exact"/>
        <w:ind w:firstLine="440" w:firstLineChars="200"/>
        <w:rPr>
          <w:rFonts w:hint="eastAsia" w:ascii="宋体" w:hAnsi="宋体" w:eastAsia="宋体" w:cs="宋体"/>
          <w:color w:val="auto"/>
          <w:sz w:val="22"/>
          <w:szCs w:val="22"/>
          <w:highlight w:val="none"/>
          <w:u w:val="single"/>
          <w:lang w:val="en-US"/>
        </w:rPr>
      </w:pPr>
      <w:r>
        <w:rPr>
          <w:rFonts w:hint="eastAsia" w:ascii="宋体" w:hAnsi="宋体" w:eastAsia="宋体" w:cs="宋体"/>
          <w:color w:val="auto"/>
          <w:sz w:val="22"/>
          <w:szCs w:val="22"/>
          <w:highlight w:val="none"/>
        </w:rPr>
        <w:t>电话（手机/座机）：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递交日期：</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 年</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 xml:space="preserve">日           </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质疑函制作说明：</w:t>
      </w:r>
      <w:r>
        <w:rPr>
          <w:rFonts w:hint="eastAsia" w:ascii="宋体" w:hAnsi="宋体" w:eastAsia="宋体" w:cs="宋体"/>
          <w:color w:val="auto"/>
          <w:sz w:val="22"/>
          <w:szCs w:val="22"/>
          <w:highlight w:val="none"/>
        </w:rPr>
        <w:t xml:space="preserve">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rPr>
        <w:t xml:space="preserve">供应商提出质疑时，应提交质疑函和必要的证明材料。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rPr>
        <w:t xml:space="preserve">质疑供应商若委托代理人进行质疑的，质疑函应按要求列明“授权代表”的有关内容，并在附件中提交由质疑供应商法定代表人签署的授权委托书。授权委托书应载明代理人的姓名或者名称、代理事项、具体权限、期限和相关事项。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 xml:space="preserve">质疑供应商若对项目的某一分包进行质疑，质疑函中应列明具体分包号。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 xml:space="preserve">质疑函的质疑事项应具体、明确，并有必要的事实依据和法律依据。 </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5.</w:t>
      </w:r>
      <w:r>
        <w:rPr>
          <w:rFonts w:hint="eastAsia" w:ascii="宋体" w:hAnsi="宋体" w:eastAsia="宋体" w:cs="宋体"/>
          <w:color w:val="auto"/>
          <w:sz w:val="22"/>
          <w:szCs w:val="22"/>
          <w:highlight w:val="none"/>
        </w:rPr>
        <w:t xml:space="preserve">质疑函的质疑请求应与质疑事项相关。 </w:t>
      </w:r>
    </w:p>
    <w:p>
      <w:pPr>
        <w:spacing w:beforeLines="0" w:afterLines="0" w:line="440" w:lineRule="exact"/>
        <w:ind w:firstLine="440" w:firstLineChars="200"/>
        <w:rPr>
          <w:rFonts w:hint="eastAsia" w:ascii="宋体" w:hAnsi="宋体" w:eastAsia="宋体" w:cs="宋体"/>
          <w:color w:val="auto"/>
          <w:sz w:val="22"/>
          <w:szCs w:val="22"/>
          <w:highlight w:val="none"/>
        </w:rPr>
        <w:sectPr>
          <w:headerReference r:id="rId14" w:type="default"/>
          <w:pgSz w:w="11910" w:h="16840"/>
          <w:pgMar w:top="1984" w:right="1531" w:bottom="2098" w:left="1531" w:header="670" w:footer="1041" w:gutter="0"/>
          <w:lnNumType w:countBy="0" w:distance="360"/>
          <w:pgNumType w:fmt="numberInDash" w:chapStyle="1"/>
          <w:cols w:space="720" w:num="1"/>
          <w:titlePg/>
          <w:docGrid w:type="lines" w:linePitch="1" w:charSpace="0"/>
        </w:sectPr>
      </w:pPr>
      <w:r>
        <w:rPr>
          <w:rFonts w:hint="eastAsia" w:ascii="宋体" w:hAnsi="宋体" w:eastAsia="宋体" w:cs="宋体"/>
          <w:color w:val="auto"/>
          <w:sz w:val="22"/>
          <w:szCs w:val="22"/>
          <w:highlight w:val="none"/>
          <w:lang w:val="en-US"/>
        </w:rPr>
        <w:t>6.</w:t>
      </w:r>
      <w:r>
        <w:rPr>
          <w:rFonts w:hint="eastAsia" w:ascii="宋体" w:hAnsi="宋体" w:eastAsia="宋体" w:cs="宋体"/>
          <w:color w:val="auto"/>
          <w:sz w:val="22"/>
          <w:szCs w:val="22"/>
          <w:highlight w:val="none"/>
        </w:rPr>
        <w:t>质疑供应商为自然人的，质疑函应由本人签字；质疑供应商为法人或者其他组织的，质疑函应由法定代表人、主要负责人，或者其授权代表签字或者盖章，并加盖公章。授权代表签署的需要提交授权委托书及其身份证复印件。</w:t>
      </w:r>
    </w:p>
    <w:p>
      <w:pPr>
        <w:spacing w:beforeLines="0" w:afterLines="0" w:line="440" w:lineRule="exact"/>
        <w:ind w:firstLine="0" w:firstLineChars="0"/>
        <w:jc w:val="center"/>
        <w:rPr>
          <w:rFonts w:hint="eastAsia" w:ascii="宋体" w:hAnsi="宋体" w:eastAsia="宋体" w:cs="宋体"/>
          <w:b/>
          <w:color w:val="auto"/>
          <w:sz w:val="22"/>
          <w:szCs w:val="22"/>
          <w:highlight w:val="none"/>
          <w:lang w:val="en-US"/>
        </w:rPr>
      </w:pPr>
      <w:bookmarkStart w:id="618" w:name="_bookmark3"/>
      <w:bookmarkEnd w:id="618"/>
      <w:r>
        <w:rPr>
          <w:rFonts w:hint="eastAsia" w:ascii="宋体" w:hAnsi="宋体" w:eastAsia="宋体" w:cs="宋体"/>
          <w:b/>
          <w:color w:val="auto"/>
          <w:sz w:val="22"/>
          <w:szCs w:val="22"/>
          <w:highlight w:val="none"/>
          <w:lang w:val="en-US"/>
        </w:rPr>
        <w:t>6.6 联合体共同投标合同书（可选）</w:t>
      </w:r>
    </w:p>
    <w:p>
      <w:pPr>
        <w:spacing w:beforeLines="0" w:afterLines="0" w:line="440" w:lineRule="exact"/>
        <w:ind w:firstLine="0" w:firstLineChars="0"/>
        <w:jc w:val="center"/>
        <w:rPr>
          <w:rFonts w:hint="eastAsia" w:ascii="宋体" w:hAnsi="宋体" w:eastAsia="宋体" w:cs="宋体"/>
          <w:b/>
          <w:color w:val="auto"/>
          <w:sz w:val="22"/>
          <w:szCs w:val="22"/>
          <w:highlight w:val="none"/>
          <w:lang w:val="en-US"/>
        </w:rPr>
      </w:pPr>
      <w:r>
        <w:rPr>
          <w:rFonts w:hint="eastAsia" w:ascii="宋体" w:hAnsi="宋体" w:eastAsia="宋体" w:cs="宋体"/>
          <w:b/>
          <w:color w:val="auto"/>
          <w:sz w:val="22"/>
          <w:szCs w:val="22"/>
          <w:highlight w:val="none"/>
          <w:lang w:val="en-US"/>
        </w:rPr>
        <w:t>联合体共同投标合同书</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3360" behindDoc="1" locked="0" layoutInCell="1" allowOverlap="1">
                <wp:simplePos x="0" y="0"/>
                <wp:positionH relativeFrom="page">
                  <wp:posOffset>1487170</wp:posOffset>
                </wp:positionH>
                <wp:positionV relativeFrom="paragraph">
                  <wp:posOffset>257810</wp:posOffset>
                </wp:positionV>
                <wp:extent cx="3999230" cy="0"/>
                <wp:effectExtent l="0" t="0" r="0" b="0"/>
                <wp:wrapNone/>
                <wp:docPr id="50" name="直线 398"/>
                <wp:cNvGraphicFramePr/>
                <a:graphic xmlns:a="http://schemas.openxmlformats.org/drawingml/2006/main">
                  <a:graphicData uri="http://schemas.microsoft.com/office/word/2010/wordprocessingShape">
                    <wps:wsp>
                      <wps:cNvCnPr/>
                      <wps:spPr>
                        <a:xfrm>
                          <a:off x="0" y="0"/>
                          <a:ext cx="399923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398" o:spid="_x0000_s1026" o:spt="20" style="position:absolute;left:0pt;margin-left:117.1pt;margin-top:20.3pt;height:0pt;width:314.9pt;mso-position-horizontal-relative:page;z-index:-251653120;mso-width-relative:page;mso-height-relative:page;" filled="f" stroked="t" coordsize="21600,21600" o:gfxdata="UEsDBAoAAAAAAIdO4kAAAAAAAAAAAAAAAAAEAAAAZHJzL1BLAwQUAAAACACHTuJA5gvHDNYAAAAJ&#10;AQAADwAAAGRycy9kb3ducmV2LnhtbE2PwU7DMAyG70i8Q2QkbixdqUpVmk6CwREmNsQ5a7ymWuNU&#10;TdYOnh4jDnC0/en391ers+vFhGPoPClYLhIQSI03HbUK3nfPNwWIEDUZ3XtCBZ8YYFVfXlS6NH6m&#10;N5y2sRUcQqHUCmyMQyllaCw6HRZ+QOLbwY9ORx7HVppRzxzuepkmSS6d7og/WD3go8XmuD05BV/5&#10;bNfy6fVuYz/kQ7F52U0prpW6vlom9yAinuMfDD/6rA41O+39iUwQvYL0NksZVZAlOQgGijzjcvvf&#10;hawr+b9B/Q1QSwMEFAAAAAgAh07iQHTNc77pAQAA3gMAAA4AAABkcnMvZTJvRG9jLnhtbK1TS44T&#10;MRDdI3EHy3vS+Yhh0kpnFhOGDYJIwAEqtrvbkn9yOenkLFyDFRuOM9eg7M5kYNhkQS/cZVf5Vb1X&#10;5dXd0Rp2UBG1dw2fTaacKSe81K5r+LevD29uOcMEToLxTjX8pJDfrV+/Wg2hVnPfeyNVZATisB5C&#10;w/uUQl1VKHplASc+KEfO1kcLibaxq2SEgdCtqebT6U01+ChD9EIh0ulmdPIzYrwG0LetFmrjxd4q&#10;l0bUqAwkooS9DsjXpdq2VSJ9bltUiZmGE9NUVkpC9i6v1XoFdRch9FqcS4BrSnjByYJ2lPQCtYEE&#10;bB/1P1BWi+jRt2kivK1GIkURYjGbvtDmSw9BFS4kNYaL6Pj/YMWnwzYyLRv+liRxYKnjj99/PP78&#10;xRbL2yzPELCmqHu3jecdhm3MXI9ttPlPLNixSHq6SKqOiQk6XCyXy/mCoMWTr3q+GCKmD8pblo2G&#10;G+0yW6jh8BETJaPQp5B8bBwbGv7uZp7hgEavpZaTaQOVj64rd9EbLR+0MfkGxm53byI7QG5/+TIl&#10;wv0rLCfZAPZjXHGNg9ErkO+dZOkUSBdH74HnEqySnBlFzydbBAh1Am2uiaTUxlEFWdVRx2ztvDxR&#10;G/Yh6q4nJWalyuyhtpd6zyOa5+rPfUF6fp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YLxwzW&#10;AAAACQEAAA8AAAAAAAAAAQAgAAAAIgAAAGRycy9kb3ducmV2LnhtbFBLAQIUABQAAAAIAIdO4kB0&#10;zXO+6QEAAN4DAAAOAAAAAAAAAAEAIAAAACUBAABkcnMvZTJvRG9jLnhtbFBLBQYAAAAABgAGAFkB&#10;AACABQAAAAA=&#10;">
                <v:fill on="f" focussize="0,0"/>
                <v:stroke weight="0.6pt" color="#000000" joinstyle="round"/>
                <v:imagedata o:title=""/>
                <o:lock v:ext="edit" aspectratio="f"/>
              </v:line>
            </w:pict>
          </mc:Fallback>
        </mc:AlternateContent>
      </w:r>
      <w:r>
        <w:rPr>
          <w:rFonts w:hint="eastAsia" w:ascii="宋体" w:hAnsi="宋体" w:eastAsia="宋体" w:cs="宋体"/>
          <w:color w:val="auto"/>
          <w:sz w:val="22"/>
          <w:szCs w:val="22"/>
          <w:highlight w:val="none"/>
        </w:rPr>
        <w:t>立约方：（甲公司全称）、</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（乙公司全称）</w:t>
      </w:r>
      <w:r>
        <w:rPr>
          <w:rFonts w:hint="eastAsia" w:ascii="宋体" w:hAnsi="宋体" w:eastAsia="宋体" w:cs="宋体"/>
          <w:color w:val="auto"/>
          <w:sz w:val="22"/>
          <w:szCs w:val="22"/>
          <w:highlight w:val="none"/>
        </w:rPr>
        <w:tab/>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（甲公司全称） 、 （乙公司全称）</w:t>
      </w:r>
      <w:r>
        <w:rPr>
          <w:rFonts w:hint="eastAsia" w:ascii="宋体" w:hAnsi="宋体" w:eastAsia="宋体" w:cs="宋体"/>
          <w:color w:val="auto"/>
          <w:sz w:val="22"/>
          <w:szCs w:val="22"/>
          <w:highlight w:val="none"/>
        </w:rPr>
        <w:t>自愿组成联合体，以一个供应商的身份共同参加</w:t>
      </w:r>
      <w:r>
        <w:rPr>
          <w:rFonts w:hint="eastAsia" w:ascii="宋体" w:hAnsi="宋体" w:eastAsia="宋体" w:cs="宋体"/>
          <w:color w:val="auto"/>
          <w:sz w:val="22"/>
          <w:szCs w:val="22"/>
          <w:highlight w:val="none"/>
          <w:u w:val="single"/>
        </w:rPr>
        <w:t>（采购项目名称）</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u w:val="single"/>
        </w:rPr>
        <w:t>（采购项目标号）</w:t>
      </w:r>
      <w:r>
        <w:rPr>
          <w:rFonts w:hint="eastAsia" w:ascii="宋体" w:hAnsi="宋体" w:eastAsia="宋体" w:cs="宋体"/>
          <w:color w:val="auto"/>
          <w:sz w:val="22"/>
          <w:szCs w:val="22"/>
          <w:highlight w:val="none"/>
        </w:rPr>
        <w:t>的投标活动。经各方充分协商一致，就项目的投标响应和合同实施阶段的有关事务协商一致订立合同如下：</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一、联合体各方关系</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（甲公司全称）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（乙公司全称）</w:t>
      </w:r>
      <w:r>
        <w:rPr>
          <w:rFonts w:hint="eastAsia" w:ascii="宋体" w:hAnsi="宋体" w:eastAsia="宋体" w:cs="宋体"/>
          <w:color w:val="auto"/>
          <w:sz w:val="22"/>
          <w:szCs w:val="22"/>
          <w:highlight w:val="none"/>
        </w:rPr>
        <w:t>共同组成一个联合体，以一个投标响应供应商的身份共同参加本项目的投标响应。（甲公司全称）、</w:t>
      </w:r>
      <w:r>
        <w:rPr>
          <w:rFonts w:hint="eastAsia" w:ascii="宋体" w:hAnsi="宋体" w:eastAsia="宋体" w:cs="宋体"/>
          <w:color w:val="auto"/>
          <w:sz w:val="22"/>
          <w:szCs w:val="22"/>
          <w:highlight w:val="none"/>
          <w:u w:val="single"/>
        </w:rPr>
        <w:t>（乙公司全称）</w:t>
      </w:r>
      <w:r>
        <w:rPr>
          <w:rFonts w:hint="eastAsia" w:ascii="宋体" w:hAnsi="宋体" w:eastAsia="宋体" w:cs="宋体"/>
          <w:color w:val="auto"/>
          <w:sz w:val="22"/>
          <w:szCs w:val="22"/>
          <w:highlight w:val="none"/>
        </w:rPr>
        <w:t xml:space="preserve">作为联合体成员,若中标，联合体各方共同与 </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rPr>
        <w:t>签订政府采购合同。其中，（……公司全称）为联合体主办方。</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二、联合体内部有关事项约定如下：</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1.</w:t>
      </w:r>
      <w:r>
        <w:rPr>
          <w:rFonts w:hint="eastAsia" w:ascii="宋体" w:hAnsi="宋体" w:eastAsia="宋体" w:cs="宋体"/>
          <w:color w:val="auto"/>
          <w:sz w:val="22"/>
          <w:szCs w:val="22"/>
          <w:highlight w:val="none"/>
        </w:rPr>
        <w:t>联合体由联合体共同授权人员负责与采购人联系。</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2.</w:t>
      </w:r>
      <w:r>
        <w:rPr>
          <w:rFonts w:hint="eastAsia" w:ascii="宋体" w:hAnsi="宋体" w:eastAsia="宋体" w:cs="宋体"/>
          <w:color w:val="auto"/>
          <w:sz w:val="22"/>
          <w:szCs w:val="22"/>
          <w:highlight w:val="none"/>
        </w:rPr>
        <w:t>联合体投标工作由联合体共同负责，由联合体各方组成的投标响应小组具体实施。</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3.</w:t>
      </w:r>
      <w:r>
        <w:rPr>
          <w:rFonts w:hint="eastAsia" w:ascii="宋体" w:hAnsi="宋体" w:eastAsia="宋体" w:cs="宋体"/>
          <w:color w:val="auto"/>
          <w:sz w:val="22"/>
          <w:szCs w:val="22"/>
          <w:highlight w:val="none"/>
        </w:rPr>
        <w:t>联合体将严格按照响应文件的各项要求，递交投标响应文件，切实执行一切合同文件，共同承担合同规定的一切义务和责任，同时按照内部职责的划分（</w:t>
      </w:r>
      <w:r>
        <w:rPr>
          <w:rFonts w:hint="eastAsia" w:ascii="宋体" w:hAnsi="宋体" w:eastAsia="宋体" w:cs="宋体"/>
          <w:color w:val="auto"/>
          <w:sz w:val="22"/>
          <w:szCs w:val="22"/>
          <w:highlight w:val="none"/>
          <w:u w:val="single"/>
        </w:rPr>
        <w:t>约定各方拟承担的工作和责任</w:t>
      </w:r>
      <w:r>
        <w:rPr>
          <w:rFonts w:hint="eastAsia" w:ascii="宋体" w:hAnsi="宋体" w:eastAsia="宋体" w:cs="宋体"/>
          <w:color w:val="auto"/>
          <w:sz w:val="22"/>
          <w:szCs w:val="22"/>
          <w:highlight w:val="none"/>
        </w:rPr>
        <w:t>），承担自身所负的责任和风险，在法律在承担连带责任。</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rPr>
        <w:t>4.</w:t>
      </w:r>
      <w:r>
        <w:rPr>
          <w:rFonts w:hint="eastAsia" w:ascii="宋体" w:hAnsi="宋体" w:eastAsia="宋体" w:cs="宋体"/>
          <w:color w:val="auto"/>
          <w:sz w:val="22"/>
          <w:szCs w:val="22"/>
          <w:highlight w:val="none"/>
        </w:rPr>
        <w:t>如中标，联合体各</w:t>
      </w:r>
      <w:r>
        <w:rPr>
          <w:rFonts w:hint="eastAsia" w:ascii="宋体" w:hAnsi="宋体" w:eastAsia="宋体" w:cs="宋体"/>
          <w:color w:val="auto"/>
          <w:sz w:val="22"/>
          <w:szCs w:val="22"/>
          <w:highlight w:val="none"/>
          <w:lang w:val="en-US"/>
        </w:rPr>
        <w:t>方共同与</w:t>
      </w:r>
      <w:r>
        <w:rPr>
          <w:rFonts w:hint="eastAsia" w:ascii="宋体" w:hAnsi="宋体" w:eastAsia="宋体" w:cs="宋体"/>
          <w:color w:val="auto"/>
          <w:sz w:val="22"/>
          <w:szCs w:val="22"/>
          <w:highlight w:val="none"/>
          <w:u w:val="single"/>
          <w:lang w:val="en-US"/>
        </w:rPr>
        <w:t>（采购人）</w:t>
      </w:r>
      <w:r>
        <w:rPr>
          <w:rFonts w:hint="eastAsia" w:ascii="宋体" w:hAnsi="宋体" w:eastAsia="宋体" w:cs="宋体"/>
          <w:color w:val="auto"/>
          <w:sz w:val="22"/>
          <w:szCs w:val="22"/>
          <w:highlight w:val="none"/>
        </w:rPr>
        <w:t>签订合同书，并就中标项目向采购人负责有连带的和各自的法律责任；</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联合体各方不得再以自己名义参与本项目投标响应，联合体各方不能作为其它联合体或单独投标响应单位的项目组成员参加本项目投标响应。因发生上述问题导致联合体投标响应成为废标，联合体的其他成员可追究其违约责任和经济损失。</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四、联合体如因违约过失责任而导致采购人经济损失或被索赔时，本联合体任何一方均同意无条件优先清偿采购人的一切债务和经济赔偿。</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五、本合同在自签署之日起生效，投标有效期内有效，如获中标，合同有效期延续至合同履行完毕之日。</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mc:AlternateContent>
          <mc:Choice Requires="wps">
            <w:drawing>
              <wp:anchor distT="0" distB="0" distL="114300" distR="114300" simplePos="0" relativeHeight="251668480" behindDoc="0" locked="0" layoutInCell="1" allowOverlap="1">
                <wp:simplePos x="0" y="0"/>
                <wp:positionH relativeFrom="page">
                  <wp:posOffset>3740150</wp:posOffset>
                </wp:positionH>
                <wp:positionV relativeFrom="paragraph">
                  <wp:posOffset>151130</wp:posOffset>
                </wp:positionV>
                <wp:extent cx="202565" cy="0"/>
                <wp:effectExtent l="0" t="0" r="0" b="0"/>
                <wp:wrapNone/>
                <wp:docPr id="44" name="直线 399"/>
                <wp:cNvGraphicFramePr/>
                <a:graphic xmlns:a="http://schemas.openxmlformats.org/drawingml/2006/main">
                  <a:graphicData uri="http://schemas.microsoft.com/office/word/2010/wordprocessingShape">
                    <wps:wsp>
                      <wps:cNvCnPr/>
                      <wps:spPr>
                        <a:xfrm>
                          <a:off x="0" y="0"/>
                          <a:ext cx="20256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99" o:spid="_x0000_s1026" o:spt="20" style="position:absolute;left:0pt;margin-left:294.5pt;margin-top:11.9pt;height:0pt;width:15.95pt;mso-position-horizontal-relative:page;z-index:251668480;mso-width-relative:page;mso-height-relative:page;" filled="f" stroked="t" coordsize="21600,21600" o:gfxdata="UEsDBAoAAAAAAIdO4kAAAAAAAAAAAAAAAAAEAAAAZHJzL1BLAwQUAAAACACHTuJAL534fNgAAAAJ&#10;AQAADwAAAGRycy9kb3ducmV2LnhtbE2PwU7DMAyG70i8Q2QkbixZESMtTXcAgbQDQmwT56w1bWnj&#10;VE22bm+Ppx3gaPvX7+/Ll0fXiwOOofVkYD5TIJBKX7VUG9huXu80iBAtVbb3hAZOGGBZXF/lNqv8&#10;RJ94WMdacAmFzBpoYhwyKUPZoLNh5gckvn370dnI41jLarQTl7teJkotpLMt8YfGDvjcYNmt987A&#10;u5Yv/qP7Kk8/0+ZN61WXPq62xtzezNUTiIjH+BeGMz6jQ8FMO7+nKojewINO2SUaSO5ZgQOLRKUg&#10;dpeFLHL536D4BVBLAwQUAAAACACHTuJAVCQ6ZOoBAADdAwAADgAAAGRycy9lMm9Eb2MueG1srVNL&#10;jhMxEN0jcQfLe9KdMBORVjqzmDBsEEQCDlCx3d2W/JPL+Z2Fa7Biw3HmGpTdmQwMmyzohbvsKr+q&#10;96q8vDtaw/Yqovau5dNJzZlywkvt+pZ/+/rw5h1nmMBJMN6plp8U8rvV61fLQ2jUzA/eSBUZgThs&#10;DqHlQ0qhqSoUg7KAEx+UI2fno4VE29hXMsKB0K2pZnU9rw4+yhC9UIh0uh6d/IwYrwH0XaeFWnux&#10;s8qlETUqA4ko4aAD8lWptuuUSJ+7DlVipuXENJWVkpC9zWu1WkLTRwiDFucS4JoSXnCyoB0lvUCt&#10;IQHbRf0PlNUievRdmghvq5FIUYRYTOsX2nwZIKjChaTGcBEd/x+s+LTfRKZly29uOHNgqeOP3388&#10;/vzF3i4WWZ5DwIai7t0mnncYNjFzPXbR5j+xYMci6ekiqTomJuhwVs9u57eciSdX9XwvREwflLcs&#10;Gy032mWy0MD+IybKRaFPIfnYOHZo+bxezAkOaPI66jiZNlD16PpyF73R8kEbk29g7Lf3JrI95O6X&#10;LzMi3L/CcpI14DDGFdc4F4MC+d5Jlk6BZHH0HHguwSrJmVH0erJFgNAk0OaaSEptHFWQRR1lzNbW&#10;yxN1YRei7gdSYlqqzB7qeqn3PKF5rP7cF6TnV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10;+HzYAAAACQEAAA8AAAAAAAAAAQAgAAAAIgAAAGRycy9kb3ducmV2LnhtbFBLAQIUABQAAAAIAIdO&#10;4kBUJDpk6gEAAN0DAAAOAAAAAAAAAAEAIAAAACcBAABkcnMvZTJvRG9jLnhtbFBLBQYAAAAABgAG&#10;AFkBAACDBQAAAAA=&#10;">
                <v:fill on="f" focussize="0,0"/>
                <v:stroke weight="0.48pt" color="#000000" joinstyle="round"/>
                <v:imagedata o:title=""/>
                <o:lock v:ext="edit" aspectratio="f"/>
              </v:line>
            </w:pict>
          </mc:Fallback>
        </mc:AlternateContent>
      </w:r>
      <w:r>
        <w:rPr>
          <w:rFonts w:hint="eastAsia" w:ascii="宋体" w:hAnsi="宋体" w:eastAsia="宋体" w:cs="宋体"/>
          <w:color w:val="auto"/>
          <w:sz w:val="22"/>
          <w:szCs w:val="22"/>
          <w:highlight w:val="none"/>
        </w:rPr>
        <w:t>六、本合同书正本一式</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份，随响应文件装订</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份，送采购人</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份，联合体成员各一份；副本一式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份，联合体成员各执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rPr>
        <w:tab/>
      </w:r>
      <w:r>
        <w:rPr>
          <w:rFonts w:hint="eastAsia" w:ascii="宋体" w:hAnsi="宋体" w:eastAsia="宋体" w:cs="宋体"/>
          <w:color w:val="auto"/>
          <w:sz w:val="22"/>
          <w:szCs w:val="22"/>
          <w:highlight w:val="none"/>
        </w:rPr>
        <w:t>份。</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甲公司全称：（公章）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乙公司全称：（公章）</w:t>
      </w:r>
    </w:p>
    <w:p>
      <w:pPr>
        <w:spacing w:beforeLines="0" w:afterLines="0" w:line="440" w:lineRule="exact"/>
        <w:ind w:firstLine="440" w:firstLineChars="200"/>
        <w:rPr>
          <w:rFonts w:hint="eastAsia" w:ascii="宋体" w:hAnsi="宋体" w:eastAsia="宋体" w:cs="宋体"/>
          <w:color w:val="auto"/>
          <w:sz w:val="22"/>
          <w:szCs w:val="22"/>
          <w:highlight w:val="none"/>
        </w:rPr>
      </w:pP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法定代表人：（签名或盖私章） </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法定代表人：（签名或盖私章）</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rPr>
        <w:t xml:space="preserve">  </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rPr>
        <w:tab/>
      </w:r>
      <w:r>
        <w:rPr>
          <w:rFonts w:hint="eastAsia" w:ascii="宋体" w:hAnsi="宋体" w:eastAsia="宋体" w:cs="宋体"/>
          <w:color w:val="auto"/>
          <w:sz w:val="22"/>
          <w:szCs w:val="22"/>
          <w:highlight w:val="none"/>
        </w:rPr>
        <w:t>日</w:t>
      </w:r>
    </w:p>
    <w:p>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注：1．联合投标时需签本合同，联合体</w:t>
      </w:r>
      <w:r>
        <w:rPr>
          <w:rFonts w:hint="eastAsia" w:ascii="宋体" w:hAnsi="宋体" w:eastAsia="宋体" w:cs="宋体"/>
          <w:color w:val="auto"/>
          <w:sz w:val="22"/>
          <w:szCs w:val="22"/>
          <w:highlight w:val="none"/>
          <w:u w:val="single"/>
          <w:lang w:val="en-US"/>
        </w:rPr>
        <w:t xml:space="preserve">     </w:t>
      </w:r>
      <w:r>
        <w:rPr>
          <w:rFonts w:hint="eastAsia" w:ascii="宋体" w:hAnsi="宋体" w:eastAsia="宋体" w:cs="宋体"/>
          <w:color w:val="auto"/>
          <w:sz w:val="22"/>
          <w:szCs w:val="22"/>
          <w:highlight w:val="none"/>
        </w:rPr>
        <w:t>方成员应在本合同上共同盖章确认。</w:t>
      </w:r>
    </w:p>
    <w:p>
      <w:pPr>
        <w:spacing w:beforeLines="0" w:afterLines="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2．本合同内容不得擅自修改。此合同将作为签</w:t>
      </w:r>
      <w:r>
        <w:rPr>
          <w:rFonts w:hint="eastAsia" w:ascii="宋体" w:hAnsi="宋体" w:eastAsia="宋体" w:cs="宋体"/>
          <w:color w:val="auto"/>
          <w:sz w:val="22"/>
          <w:szCs w:val="22"/>
          <w:highlight w:val="none"/>
          <w:lang w:val="en-US"/>
        </w:rPr>
        <w:t>订合同的</w:t>
      </w:r>
      <w:r>
        <w:rPr>
          <w:rFonts w:hint="eastAsia" w:ascii="宋体" w:hAnsi="宋体" w:eastAsia="宋体" w:cs="宋体"/>
          <w:color w:val="auto"/>
          <w:sz w:val="22"/>
          <w:szCs w:val="22"/>
          <w:highlight w:val="none"/>
          <w:lang w:val="en-US" w:eastAsia="zh-CN"/>
        </w:rPr>
        <w:t>依据。</w:t>
      </w:r>
    </w:p>
    <w:sectPr>
      <w:pgSz w:w="11906" w:h="16838"/>
      <w:pgMar w:top="1440" w:right="1797" w:bottom="1440" w:left="1797" w:header="851" w:footer="992" w:gutter="0"/>
      <w:pgNumType w:fmt="numberInDash"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beforeLines="0" w:afterLines="0"/>
      <w:rPr>
        <w:rStyle w:val="46"/>
        <w:rFonts w:hint="default"/>
        <w:sz w:val="18"/>
        <w:szCs w:val="2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- 2 -</w:t>
                    </w:r>
                    <w:r>
                      <w:fldChar w:fldCharType="end"/>
                    </w:r>
                  </w:p>
                </w:txbxContent>
              </v:textbox>
            </v:shape>
          </w:pict>
        </mc:Fallback>
      </mc:AlternateContent>
    </w:r>
  </w:p>
  <w:p>
    <w:pPr>
      <w:pStyle w:val="28"/>
      <w:spacing w:beforeLines="0" w:afterLines="0"/>
      <w:jc w:val="center"/>
      <w:rPr>
        <w:rFonts w:hint="default"/>
        <w:sz w:val="18"/>
        <w:szCs w:val="22"/>
      </w:rPr>
    </w:pPr>
  </w:p>
  <w:p>
    <w:pPr>
      <w:pStyle w:val="28"/>
      <w:spacing w:beforeLines="0" w:afterLines="0"/>
      <w:jc w:val="center"/>
      <w:rPr>
        <w:rFonts w:hint="default"/>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7fvqZ78BAACAAwAADgAAAGRycy9lMm9Eb2MueG1srVNL&#10;btswEN0XyB0I7mPKKmoEguUAhZEiQNAWSHsAmqIsAvxhSFvyBdobdNVN9z2Xz9EhJTlpusmiG2o4&#10;n8d5b0br28FocpQQlLM1XS4KSqQVrlF2X9OvX+6ubygJkduGa2dlTU8y0NvN1Zt17ytZus7pRgJB&#10;EBuq3te0i9FXjAXRScPDwnlpMdg6MDziFfasAd4jutGsLIoV6x00HpyQIaB3OwbphAivAXRtq4Tc&#10;OnEw0sYRFaTmESmFTvlAN7nbtpUifmrbICPRNUWmMZ/4CNq7dLLNmld74L5TYmqBv6aFF5wMVxYf&#10;vUBteeTkAOofKKMEuODauBDOsJFIVgRZLIsX2jx23MvMBaUO/iJ6+H+w4uPxMxDV1LSkxHKDAz//&#10;+H7++fv86xspkzy9DxVmPXrMi8N7N+DSzP6AzsR6aMGkL/IhGEdxTxdx5RCJSEVvV8VN8Y4SgbHl&#10;qijKrD57qvYQ4gfpDElGTQGHlzXlx4cQsRNMnVPSY9bdKa3zALX9y4GJo0fmDZiqE5Gx4WTFYTdM&#10;7HauOSE5fW9R2LQkswGzsZuNgwe177C5LAFLQDiY3Nq0RGnyz+9oP/9xN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ah7OdgAAAAJAQAADwAAAAAAAAABACAAAAAiAAAAZHJzL2Rvd25yZXYueG1s&#10;UEsBAhQAFAAAAAgAh07iQO376me/AQAAgAMAAA4AAAAAAAAAAQAgAAAAJw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kL8AsL4BAACAAwAADgAAAGRycy9lMm9Eb2MueG1srVPN&#10;jtMwEL4j8Q6W79RpBCuImq6EqkVICJCWfQDXsRtL/tPYbdIXgDfgxIU7z9XnYOykZdm97GEvznhm&#10;/M1830xW16M15CAhau9aulxUlEgnfKfdrqV3325evaUkJu46bryTLT3KSK/XL1+shtDI2vfedBII&#10;grjYDKGlfUqhYSyKXloeFz5Ih0HlwfKEV9ixDviA6Nawuqqu2OChC+CFjBG9mylIZ0R4CqBXSgu5&#10;8WJvpUsTKkjDE1KKvQ6Rrku3SkmRvigVZSKmpcg0lROLoL3NJ1uveLMDHnot5hb4U1p4wMly7bDo&#10;BWrDEyd70I+grBbgo1dpIbxlE5GiCLJYVg+0ue15kIULSh3DRfT4fLDi8+ErEN3hJlDiuMWBn37+&#10;OP36c/r9nSyzPEOIDWbdBsxL43s/5tTZH9GZWY8KbP4iH4JxFPd4EVeOiYj86PW7un6DIYGx5VVV&#10;1UV99u91gJg+SG9JNloKOLyiKT98igkrYuo5JRdz/kYbUwZo3H8OTJw8smzA/DoTmRrOVhq348xi&#10;67sjkjMfHQqbl+RswNnYno19AL3rsbkiActAOJjS2rxEefL372jf/3H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kL8AsL4BAACAAwAADgAAAAAAAAABACAAAAAnAQAAZHJzL2Uyb0RvYy54&#10;bWxQSwUGAAAAAAYABgBZAQAAVwU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default"/>
        <w:sz w:val="20"/>
        <w:szCs w:val="21"/>
      </w:rPr>
    </w:pPr>
    <w:r>
      <w:rPr>
        <w:rFonts w:hint="default"/>
        <w:sz w:val="21"/>
        <w:szCs w:val="21"/>
      </w:rPr>
      <mc:AlternateContent>
        <mc:Choice Requires="wps">
          <w:drawing>
            <wp:anchor distT="0" distB="0" distL="114300" distR="114300" simplePos="0" relativeHeight="25166745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4" name="文本框 48"/>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48" o:spid="_x0000_s1026" o:spt="202" type="#_x0000_t202" style="position:absolute;left:0pt;margin-left:76.9pt;margin-top:35.4pt;height:12.6pt;width:107.15pt;mso-position-horizontal-relative:page;mso-position-vertical-relative:page;z-index:-25164902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1SZuOcYBAACBAwAADgAAAGRycy9lMm9Eb2MueG1srVNL&#10;btswEN0X6B0I7mvJbmIYguUAhZEgQNEWSHsAmqIsAvx1hrbkC6Q36Kqb7nsun6ND2nLadJNFN9Rw&#10;OHzz3htqeTNYw/YKUHtX8+mk5Ew56RvttjX/8vn2zYIzjMI1wninan5QyG9Wr18t+1Cpme+8aRQw&#10;AnFY9aHmXYyhKgqUnbICJz4oR4etBysibWFbNCB6QremmJXlvOg9NAG8VIiUXZ8O+RkRXgLo21ZL&#10;tfZyZ5WLJ1RQRkSShJ0OyFeZbdsqGT+2LarITM1JacwrNaF4k9ZitRTVFkTotDxTEC+h8EyTFdpR&#10;0wvUWkTBdqD/gbJagkffxon0tjgJyY6Qimn5zJuHTgSVtZDVGC6m4/+DlR/2n4DppuZXnDlhaeDH&#10;79+OP34dfz6yq0Xypw9YUdlDoMI4vPMDvZoxj5RMsocWbPqSIEbn5O7h4q4aIpPp0tt5uSivOZN0&#10;Np2X5SzbXzzdDoDxTnnLUlBzoOllU8X+PUZiQqVjSWrm/K02Jk/QuL8SVJgyRaJ+opiiOGyGs56N&#10;bw4kp6fB1xy/7gQozsy9I2fTKxkDGIPNGOwC6G1H5LIFuQFNJlM7v6I0+j/3mcbTn7P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2oeznYAAAACQEAAA8AAAAAAAAAAQAgAAAAIgAAAGRycy9kb3du&#10;cmV2LnhtbFBLAQIUABQAAAAIAIdO4kDVJm45xgEAAIEDAAAOAAAAAAAAAAEAIAAAACcBAABkcnMv&#10;ZTJvRG9jLnhtbFBLBQYAAAAABgAGAFkBAABfBQ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r>
      <w:rPr>
        <w:rFonts w:hint="default"/>
        <w:sz w:val="21"/>
        <w:szCs w:val="21"/>
      </w:rPr>
      <mc:AlternateContent>
        <mc:Choice Requires="wps">
          <w:drawing>
            <wp:anchor distT="0" distB="0" distL="114300" distR="114300" simplePos="0" relativeHeight="25166848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5" name="文本框 4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49" o:spid="_x0000_s1026" o:spt="202" type="#_x0000_t202" style="position:absolute;left:0pt;margin-left:407.65pt;margin-top:35.4pt;height:12.6pt;width:117.5pt;mso-position-horizontal-relative:page;mso-position-vertical-relative:page;z-index:-25164800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icLvOMUBAACBAwAADgAAAGRycy9lMm9Eb2MueG1srVNL&#10;btswEN0X6B0I7mvJQhI0guUAhZGiQNEWSHMAmqIsAvx1hrbkC7Q36Kqb7nsun6ND2nLaZJNFNtRw&#10;Zvj43htqcTNaw3YKUHvX8Pms5Ew56VvtNg2//3r75i1nGIVrhfFONXyvkN8sX79aDKFWle+9aRUw&#10;AnFYD6HhfYyhLgqUvbICZz4oR8XOgxWRtrApWhADoVtTVGV5VQwe2gBeKkTKro5FfkKE5wD6rtNS&#10;rbzcWuXiERWUEZEkYa8D8mVm23VKxs9dhyoy03BSGvNKl1C8TmuxXIh6AyL0Wp4oiOdQeKTJCu3o&#10;0jPUSkTBtqCfQFktwaPv4kx6WxyFZEdIxbx85M1dL4LKWshqDGfT8eVg5afdF2C6bfglZ05YGvjh&#10;54/Drz+H39/ZxXXyZwhYU9tdoMY4vvMjvZopj5RMsscObPqSIEZ1cnd/dleNkcl06OK6qi6pJKk2&#10;vyrLKttfPJwOgPG98paloOFA08umit1HjMSEWqeWdJnzt9qYPEHj/ktQY8oUifqRYoriuB5Peta+&#10;3ZOcgQbfcPy2FaA4Mx8cOZteyRTAFKynYBtAb3oily3IF9BkMrXTK0qj/3efaTz8O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q5pQNgAAAAKAQAADwAAAAAAAAABACAAAAAiAAAAZHJzL2Rvd25y&#10;ZXYueG1sUEsBAhQAFAAAAAgAh07iQInC7zjFAQAAgQMAAA4AAAAAAAAAAQAgAAAAJwEAAGRycy9l&#10;Mm9Eb2MueG1sUEsFBgAAAAAGAAYAWQEAAF4FA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default"/>
        <w:sz w:val="20"/>
        <w:szCs w:val="21"/>
      </w:rPr>
    </w:pPr>
    <w:r>
      <w:rPr>
        <w:rFonts w:hint="default"/>
        <w:sz w:val="21"/>
        <w:szCs w:val="21"/>
      </w:rPr>
      <mc:AlternateContent>
        <mc:Choice Requires="wps">
          <w:drawing>
            <wp:anchor distT="0" distB="0" distL="114300" distR="114300" simplePos="0" relativeHeight="251660288"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5" name="文本框 38"/>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38" o:spid="_x0000_s1026" o:spt="202" type="#_x0000_t202" style="position:absolute;left:0pt;margin-left:76.9pt;margin-top:35.4pt;height:12.6pt;width:107.15pt;mso-position-horizontal-relative:page;mso-position-vertical-relative:page;z-index:-251656192;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lBBgWcYBAACCAwAADgAAAGRycy9lMm9Eb2MueG1srVPN&#10;jtMwEL4j8Q6W7zRpK6oqarrSqlqEhABp4QFcx2ks+Y8Zt0lfAN6AExfuPFefg7HbdJflsoe9OOPx&#10;+Jvv+8ZZ3QzWsIMC1N7VfDopOVNO+ka7Xc2/frl7s+QMo3CNMN6pmh8V8pv161erPlRq5jtvGgWM&#10;QBxWfah5F2OoigJlp6zAiQ/K0WHrwYpIW9gVDYie0K0pZmW5KHoPTQAvFSJlN+dDfkGE5wD6ttVS&#10;bbzcW+XiGRWUEZEkYacD8nVm27ZKxk9tiyoyU3NSGvNKTSjeprVYr0S1AxE6LS8UxHMoPNFkhXbU&#10;9Aq1EVGwPej/oKyW4NG3cSK9Lc5CsiOkYlo+8ea+E0FlLWQ1hqvp+HKw8uPhMzDd1Hz+ljMnLE38&#10;9PPH6def0+/vbL5MBvUBK6q7D1QZh1s/0LMZ80jJpHtowaYvKWJ0TvYer/aqITKZLs0X5bKkNpLO&#10;pouynGX/i4fbATC+U96yFNQcaHzZVXH4gJGYUOlYkpo5f6eNySM07p8EFaZMkaifKaYoDtvhomfr&#10;myPJ6WnyNcdvewGKM/PekbXpmYwBjMF2DPYB9K4jctmC3IBGk6ldnlGa/eN9pvHw6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2oeznYAAAACQEAAA8AAAAAAAAAAQAgAAAAIgAAAGRycy9kb3du&#10;cmV2LnhtbFBLAQIUABQAAAAIAIdO4kCUEGBZxgEAAIIDAAAOAAAAAAAAAAEAIAAAACcBAABkcnMv&#10;ZTJvRG9jLnhtbFBLBQYAAAAABgAGAFkBAABfBQ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r>
      <w:rPr>
        <w:rFonts w:hint="default"/>
        <w:sz w:val="21"/>
        <w:szCs w:val="21"/>
      </w:rP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45" name="文本框 3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39"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t9xh5scBAACCAwAADgAAAGRycy9lMm9Eb2MueG1srVPN&#10;jtMwEL4j8Q6W7zRp2F2xUdOVULUICQHSwgO4jtNY8h8zbpO+ALwBJy7cea4+B2O36bK7lz1wccYz&#10;48/f942zuBmtYTsFqL1r+HxWcqac9K12m4Z//XL76g1nGIVrhfFONXyvkN8sX75YDKFWle+9aRUw&#10;AnFYD6HhfYyhLgqUvbICZz4oR8XOgxWRtrApWhADoVtTVGV5VQwe2gBeKkTKro5FfkKE5wD6rtNS&#10;rbzcWuXiERWUEZEkYa8D8mVm23VKxk9dhyoy03BSGvNKl1C8TmuxXIh6AyL0Wp4oiOdQeKTJCu3o&#10;0jPUSkTBtqCfQFktwaPv4kx6WxyFZEdIxbx85M1dL4LKWshqDGfT8f/Byo+7z8B02/CLS86csDTx&#10;w88fh19/Dr+/s9fXyaAhYE19d4E64/jWj/RspjxSMukeO7DpS4oY1cne/dleNUYm06GL66q6pJKk&#10;2vyqLKvsf3F/OgDGd8pbloKGA40vuyp2HzASE2qdWtJlzt9qY/IIjXuQoMaUKRL1I8UUxXE9nvSs&#10;fbsnOQNNvuH4bStAcWbeO7I2PZMpgClYT8E2gN70RC5bkC+g0WRqp2eUZv/vPtO4/3W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rmlA2AAAAAoBAAAPAAAAAAAAAAEAIAAAACIAAABkcnMvZG93&#10;bnJldi54bWxQSwECFAAUAAAACACHTuJAt9xh5scBAACCAwAADgAAAAAAAAABACAAAAAnAQAAZHJz&#10;L2Uyb0RvYy54bWxQSwUGAAAAAAYABgBZAQAAYAU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default"/>
        <w:sz w:val="20"/>
        <w:szCs w:val="21"/>
      </w:rPr>
    </w:pPr>
    <w:r>
      <w:rPr>
        <w:rFonts w:hint="default"/>
        <w:sz w:val="21"/>
        <w:szCs w:val="21"/>
      </w:rP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54" name="文本框 4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44"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J3Qu5McBAACCAwAADgAAAGRycy9lMm9Eb2MueG1srVNL&#10;btswEN0X6B0I7mvJrmMEguUAhZGiQNEWSHMAmqIsAvx1hrbkC7Q36Kqb7nsun6ND2nLaZJNFNtRw&#10;OHzz3htqeTNYw/YKUHtX8+mk5Ew56RvttjW//3r75pozjMI1wninan5QyG9Wr18t+1Cpme+8aRQw&#10;AnFY9aHmXYyhKgqUnbICJz4oR4etBysibWFbNCB6QremmJXloug9NAG8VIiUXZ8O+RkRngPo21ZL&#10;tfZyZ5WLJ1RQRkSShJ0OyFeZbdsqGT+3LarITM1JacwrNaF4k9ZitRTVFkTotDxTEM+h8EiTFdpR&#10;0wvUWkTBdqCfQFktwaNv40R6W5yEZEdIxbR85M1dJ4LKWshqDBfT8eVg5af9F2C6qfnVnDMnLE38&#10;+PPH8def4+/vbD5PBvUBK6q7C1QZh3d+oGcz5pGSSffQgk1fUsTonOw9XOxVQ2QyXXq7KK/LK84k&#10;nU0XZTnL/hcPtwNgfK+8ZSmoOdD4sqti/xEjMaHSsSQ1c/5WG5NHaNx/CSpMmSJRP1FMURw2w1nP&#10;xjcHktPT5GuO33YCFGfmgyNr0zMZAxiDzRjsAuhtR+SyBbkBjSZTOz+jNPt/95nGw6+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qHs52AAAAAkBAAAPAAAAAAAAAAEAIAAAACIAAABkcnMvZG93&#10;bnJldi54bWxQSwECFAAUAAAACACHTuJAJ3Qu5McBAACCAwAADgAAAAAAAAABACAAAAAnAQAAZHJz&#10;L2Uyb0RvYy54bWxQSwUGAAAAAAYABgBZAQAAYAU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default"/>
        <w:sz w:val="20"/>
        <w:szCs w:val="21"/>
      </w:rPr>
    </w:pPr>
    <w:r>
      <w:rPr>
        <w:rFonts w:hint="default"/>
        <w:sz w:val="21"/>
        <w:szCs w:val="21"/>
      </w:rP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53" name="文本框 50"/>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pPr>
                            <w:spacing w:beforeLines="0" w:afterLines="0"/>
                            <w:rPr>
                              <w:rFonts w:hint="default"/>
                              <w:sz w:val="22"/>
                              <w:szCs w:val="22"/>
                            </w:rPr>
                          </w:pPr>
                        </w:p>
                      </w:txbxContent>
                    </wps:txbx>
                    <wps:bodyPr wrap="square" lIns="0" tIns="0" rIns="0" bIns="0" upright="1"/>
                  </wps:wsp>
                </a:graphicData>
              </a:graphic>
            </wp:anchor>
          </w:drawing>
        </mc:Choice>
        <mc:Fallback>
          <w:pict>
            <v:shape id="文本框 50"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Oi+OsUBAACCAwAADgAAAGRycy9lMm9Eb2MueG1srVNL&#10;btswEN0XyB0I7mvJDmwEguUAhZEiQNEUSHsAmqIsAvx1hrbkC6Q36Kqb7nsun6ND+tcmmyyyoYbD&#10;4Zv33lDz28EatlWA2ruaj0clZ8pJ32i3rvm3r3fvbzjDKFwjjHeq5juF/HZx9W7eh0pNfOdNo4AR&#10;iMOqDzXvYgxVUaDslBU48kE5Omw9WBFpC+uiAdETujXFpCxnRe+hCeClQqTs8nDIj4jwGkDftlqq&#10;pZcbq1w8oIIyIpIk7HRAvshs21bJ+NC2qCIzNSelMa/UhOJVWovFXFRrEKHT8khBvIbCM01WaEdN&#10;z1BLEQXbgH4BZbUEj76NI+ltcRCSHSEV4/KZN4+dCCprIasxnE3Ht4OVn7dfgOmm5tNrzpywNPH9&#10;zx/7X3/2v5/YNBvUB6yo7jFQZRw++IGeTTIu5ZGSSffQgk1fUsTonOzdne1VQ2QyXbqelTfllDNJ&#10;Z+NZWU4yfHG5HQDjR+UtS0HNgcaXXRXbTxipI5WeSlIz5++0MXmExv2XoMKUKS4UUxSH1XDkvfLN&#10;juT0NPma4/eNAMWZuXdkbXompwBOweoUbALodUfksgW5AY0mUzs+ozT7f/eZxuXX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ah7OdgAAAAJAQAADwAAAAAAAAABACAAAAAiAAAAZHJzL2Rvd25y&#10;ZXYueG1sUEsBAhQAFAAAAAgAh07iQFTovjrFAQAAggMAAA4AAAAAAAAAAQAgAAAAJwEAAGRycy9l&#10;Mm9Eb2MueG1sUEsFBgAAAAAGAAYAWQEAAF4FAAAAAA==&#10;">
              <v:fill on="f" focussize="0,0"/>
              <v:stroke on="f"/>
              <v:imagedata o:title=""/>
              <o:lock v:ext="edit" aspectratio="f"/>
              <v:textbox inset="0mm,0mm,0mm,0mm">
                <w:txbxContent>
                  <w:p>
                    <w:pPr>
                      <w:spacing w:beforeLines="0" w:afterLines="0"/>
                      <w:rPr>
                        <w:rFonts w:hint="default"/>
                        <w:sz w:val="22"/>
                        <w:szCs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C9C33"/>
    <w:multiLevelType w:val="singleLevel"/>
    <w:tmpl w:val="C00C9C33"/>
    <w:lvl w:ilvl="0" w:tentative="0">
      <w:start w:val="1"/>
      <w:numFmt w:val="chineseCounting"/>
      <w:suff w:val="nothing"/>
      <w:lvlText w:val="%1、"/>
      <w:lvlJc w:val="left"/>
      <w:rPr>
        <w:rFonts w:hint="eastAsia"/>
      </w:rPr>
    </w:lvl>
  </w:abstractNum>
  <w:abstractNum w:abstractNumId="1">
    <w:nsid w:val="24E409BB"/>
    <w:multiLevelType w:val="multilevel"/>
    <w:tmpl w:val="24E409BB"/>
    <w:lvl w:ilvl="0" w:tentative="0">
      <w:start w:val="1"/>
      <w:numFmt w:val="decimal"/>
      <w:pStyle w:val="5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D8D7295"/>
    <w:multiLevelType w:val="multilevel"/>
    <w:tmpl w:val="4D8D7295"/>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E109669"/>
    <w:multiLevelType w:val="singleLevel"/>
    <w:tmpl w:val="7E109669"/>
    <w:lvl w:ilvl="0" w:tentative="0">
      <w:start w:val="5"/>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xzfw009">
    <w15:presenceInfo w15:providerId="None" w15:userId="xzfw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CB0"/>
    <w:rsid w:val="000145C3"/>
    <w:rsid w:val="00023700"/>
    <w:rsid w:val="00026418"/>
    <w:rsid w:val="00031E00"/>
    <w:rsid w:val="00032523"/>
    <w:rsid w:val="00033A83"/>
    <w:rsid w:val="00035FAD"/>
    <w:rsid w:val="00042FBE"/>
    <w:rsid w:val="00045BCC"/>
    <w:rsid w:val="0005092E"/>
    <w:rsid w:val="00052D00"/>
    <w:rsid w:val="00061C5D"/>
    <w:rsid w:val="000712E6"/>
    <w:rsid w:val="00071C7D"/>
    <w:rsid w:val="00085089"/>
    <w:rsid w:val="00086BA9"/>
    <w:rsid w:val="000A12B6"/>
    <w:rsid w:val="000A7EEF"/>
    <w:rsid w:val="000B017F"/>
    <w:rsid w:val="000C0528"/>
    <w:rsid w:val="000D063A"/>
    <w:rsid w:val="000D4970"/>
    <w:rsid w:val="000D7CDA"/>
    <w:rsid w:val="000E5B3E"/>
    <w:rsid w:val="000E5EDD"/>
    <w:rsid w:val="00106C8B"/>
    <w:rsid w:val="00110118"/>
    <w:rsid w:val="0011072C"/>
    <w:rsid w:val="00117642"/>
    <w:rsid w:val="00121295"/>
    <w:rsid w:val="00122224"/>
    <w:rsid w:val="001305C1"/>
    <w:rsid w:val="00135A00"/>
    <w:rsid w:val="0013698D"/>
    <w:rsid w:val="0013744F"/>
    <w:rsid w:val="00137E9C"/>
    <w:rsid w:val="00142467"/>
    <w:rsid w:val="00144174"/>
    <w:rsid w:val="00151E18"/>
    <w:rsid w:val="00155FE5"/>
    <w:rsid w:val="00156404"/>
    <w:rsid w:val="001608F3"/>
    <w:rsid w:val="00163D42"/>
    <w:rsid w:val="00164517"/>
    <w:rsid w:val="00170106"/>
    <w:rsid w:val="00172A27"/>
    <w:rsid w:val="00177103"/>
    <w:rsid w:val="00183035"/>
    <w:rsid w:val="001861C3"/>
    <w:rsid w:val="00187951"/>
    <w:rsid w:val="00193AF6"/>
    <w:rsid w:val="00194377"/>
    <w:rsid w:val="001A70E1"/>
    <w:rsid w:val="001B18B5"/>
    <w:rsid w:val="001C20A9"/>
    <w:rsid w:val="001C28D2"/>
    <w:rsid w:val="001C4C83"/>
    <w:rsid w:val="001D34A1"/>
    <w:rsid w:val="001D4F34"/>
    <w:rsid w:val="001D5CF4"/>
    <w:rsid w:val="001D6119"/>
    <w:rsid w:val="001D73FD"/>
    <w:rsid w:val="001E70F7"/>
    <w:rsid w:val="001E7528"/>
    <w:rsid w:val="001E7C8F"/>
    <w:rsid w:val="001F0230"/>
    <w:rsid w:val="001F18FA"/>
    <w:rsid w:val="001F7544"/>
    <w:rsid w:val="00215A28"/>
    <w:rsid w:val="00217AF2"/>
    <w:rsid w:val="0022315D"/>
    <w:rsid w:val="002235EC"/>
    <w:rsid w:val="0022782E"/>
    <w:rsid w:val="00231D27"/>
    <w:rsid w:val="002320E9"/>
    <w:rsid w:val="00232E6C"/>
    <w:rsid w:val="00236C3C"/>
    <w:rsid w:val="00243D4A"/>
    <w:rsid w:val="00246EB4"/>
    <w:rsid w:val="00253224"/>
    <w:rsid w:val="002765D1"/>
    <w:rsid w:val="00281807"/>
    <w:rsid w:val="00283483"/>
    <w:rsid w:val="002848FD"/>
    <w:rsid w:val="00284D02"/>
    <w:rsid w:val="00285703"/>
    <w:rsid w:val="00285A3C"/>
    <w:rsid w:val="00285E30"/>
    <w:rsid w:val="002924AC"/>
    <w:rsid w:val="002948A9"/>
    <w:rsid w:val="00294FF5"/>
    <w:rsid w:val="00295EEA"/>
    <w:rsid w:val="002A1C44"/>
    <w:rsid w:val="002A6419"/>
    <w:rsid w:val="002A6F0B"/>
    <w:rsid w:val="002B0F7E"/>
    <w:rsid w:val="002B1464"/>
    <w:rsid w:val="002B3C16"/>
    <w:rsid w:val="002B6896"/>
    <w:rsid w:val="002C5952"/>
    <w:rsid w:val="002D02B6"/>
    <w:rsid w:val="002D0326"/>
    <w:rsid w:val="002D1A64"/>
    <w:rsid w:val="002E0240"/>
    <w:rsid w:val="002E0E4D"/>
    <w:rsid w:val="002E1666"/>
    <w:rsid w:val="002E23AD"/>
    <w:rsid w:val="002E4A44"/>
    <w:rsid w:val="002F127D"/>
    <w:rsid w:val="002F5ED5"/>
    <w:rsid w:val="00304807"/>
    <w:rsid w:val="00305B19"/>
    <w:rsid w:val="003071B9"/>
    <w:rsid w:val="00311B72"/>
    <w:rsid w:val="0031218A"/>
    <w:rsid w:val="00316B85"/>
    <w:rsid w:val="00316E3F"/>
    <w:rsid w:val="00320EA1"/>
    <w:rsid w:val="00320F0D"/>
    <w:rsid w:val="00321D10"/>
    <w:rsid w:val="003223AC"/>
    <w:rsid w:val="00335F1B"/>
    <w:rsid w:val="00337427"/>
    <w:rsid w:val="00344234"/>
    <w:rsid w:val="003466BC"/>
    <w:rsid w:val="00357433"/>
    <w:rsid w:val="003613FD"/>
    <w:rsid w:val="00364115"/>
    <w:rsid w:val="00365404"/>
    <w:rsid w:val="00377249"/>
    <w:rsid w:val="00390BA5"/>
    <w:rsid w:val="00396637"/>
    <w:rsid w:val="003B05C2"/>
    <w:rsid w:val="003B3A79"/>
    <w:rsid w:val="003B75F1"/>
    <w:rsid w:val="003E184F"/>
    <w:rsid w:val="003E1AFB"/>
    <w:rsid w:val="003E3B03"/>
    <w:rsid w:val="003F6F8F"/>
    <w:rsid w:val="00411267"/>
    <w:rsid w:val="00411598"/>
    <w:rsid w:val="004144A0"/>
    <w:rsid w:val="00414F59"/>
    <w:rsid w:val="004205A3"/>
    <w:rsid w:val="00424001"/>
    <w:rsid w:val="00424A95"/>
    <w:rsid w:val="00432D80"/>
    <w:rsid w:val="0043492B"/>
    <w:rsid w:val="00434FD8"/>
    <w:rsid w:val="0043646D"/>
    <w:rsid w:val="004508FF"/>
    <w:rsid w:val="004556C9"/>
    <w:rsid w:val="004640E5"/>
    <w:rsid w:val="004704A9"/>
    <w:rsid w:val="00470AEA"/>
    <w:rsid w:val="0047254D"/>
    <w:rsid w:val="004727E8"/>
    <w:rsid w:val="00472E5E"/>
    <w:rsid w:val="00480B49"/>
    <w:rsid w:val="004817F7"/>
    <w:rsid w:val="00482CBA"/>
    <w:rsid w:val="00483EA5"/>
    <w:rsid w:val="004A1E13"/>
    <w:rsid w:val="004B25CD"/>
    <w:rsid w:val="004B5DEB"/>
    <w:rsid w:val="004C0F45"/>
    <w:rsid w:val="004C397F"/>
    <w:rsid w:val="004C3B6D"/>
    <w:rsid w:val="004D29B4"/>
    <w:rsid w:val="004E5ADB"/>
    <w:rsid w:val="004E6708"/>
    <w:rsid w:val="004F2836"/>
    <w:rsid w:val="004F407C"/>
    <w:rsid w:val="004F6C1B"/>
    <w:rsid w:val="00503749"/>
    <w:rsid w:val="00504D5B"/>
    <w:rsid w:val="00504E32"/>
    <w:rsid w:val="00506397"/>
    <w:rsid w:val="005136F3"/>
    <w:rsid w:val="00521A54"/>
    <w:rsid w:val="00522C0C"/>
    <w:rsid w:val="00522D8C"/>
    <w:rsid w:val="00523A57"/>
    <w:rsid w:val="00541F8F"/>
    <w:rsid w:val="005420C2"/>
    <w:rsid w:val="00542F93"/>
    <w:rsid w:val="00546993"/>
    <w:rsid w:val="005518D7"/>
    <w:rsid w:val="00556C47"/>
    <w:rsid w:val="00570368"/>
    <w:rsid w:val="00570B1E"/>
    <w:rsid w:val="005749DA"/>
    <w:rsid w:val="00577F0F"/>
    <w:rsid w:val="00592E51"/>
    <w:rsid w:val="0059682C"/>
    <w:rsid w:val="005A20F1"/>
    <w:rsid w:val="005B0A84"/>
    <w:rsid w:val="005C5CAA"/>
    <w:rsid w:val="005C5E25"/>
    <w:rsid w:val="005D1CCF"/>
    <w:rsid w:val="005D29BA"/>
    <w:rsid w:val="005E3AC7"/>
    <w:rsid w:val="005E4E1C"/>
    <w:rsid w:val="005E5B4C"/>
    <w:rsid w:val="005F3A11"/>
    <w:rsid w:val="00602E25"/>
    <w:rsid w:val="006070F6"/>
    <w:rsid w:val="00615F01"/>
    <w:rsid w:val="006240BF"/>
    <w:rsid w:val="00626065"/>
    <w:rsid w:val="00635BC5"/>
    <w:rsid w:val="00635F88"/>
    <w:rsid w:val="00640A53"/>
    <w:rsid w:val="006530D1"/>
    <w:rsid w:val="00662B9F"/>
    <w:rsid w:val="00664AE6"/>
    <w:rsid w:val="0066639C"/>
    <w:rsid w:val="0067412D"/>
    <w:rsid w:val="00681B01"/>
    <w:rsid w:val="006826E3"/>
    <w:rsid w:val="00690771"/>
    <w:rsid w:val="006945A8"/>
    <w:rsid w:val="00697B18"/>
    <w:rsid w:val="006A4112"/>
    <w:rsid w:val="006A69E4"/>
    <w:rsid w:val="006B0CFE"/>
    <w:rsid w:val="006B0E16"/>
    <w:rsid w:val="006C3221"/>
    <w:rsid w:val="006D01FC"/>
    <w:rsid w:val="006D6869"/>
    <w:rsid w:val="006E058B"/>
    <w:rsid w:val="006F2073"/>
    <w:rsid w:val="006F20C5"/>
    <w:rsid w:val="00716586"/>
    <w:rsid w:val="007206FC"/>
    <w:rsid w:val="007219AC"/>
    <w:rsid w:val="00722F9D"/>
    <w:rsid w:val="00730DD8"/>
    <w:rsid w:val="00732468"/>
    <w:rsid w:val="00734F82"/>
    <w:rsid w:val="00735EB6"/>
    <w:rsid w:val="007365BA"/>
    <w:rsid w:val="00736666"/>
    <w:rsid w:val="00752D17"/>
    <w:rsid w:val="00762137"/>
    <w:rsid w:val="007633C0"/>
    <w:rsid w:val="007764A4"/>
    <w:rsid w:val="00776772"/>
    <w:rsid w:val="00785895"/>
    <w:rsid w:val="00786652"/>
    <w:rsid w:val="007904CF"/>
    <w:rsid w:val="00796A4D"/>
    <w:rsid w:val="007A4951"/>
    <w:rsid w:val="007B21A1"/>
    <w:rsid w:val="007B2EB3"/>
    <w:rsid w:val="007B535D"/>
    <w:rsid w:val="007B5B5F"/>
    <w:rsid w:val="007B723F"/>
    <w:rsid w:val="007C0695"/>
    <w:rsid w:val="007C1303"/>
    <w:rsid w:val="007C4398"/>
    <w:rsid w:val="007C5D9E"/>
    <w:rsid w:val="007C6089"/>
    <w:rsid w:val="007C791E"/>
    <w:rsid w:val="007D1F5A"/>
    <w:rsid w:val="007E2F0E"/>
    <w:rsid w:val="007E4E4E"/>
    <w:rsid w:val="007E530E"/>
    <w:rsid w:val="007F1A74"/>
    <w:rsid w:val="0080348E"/>
    <w:rsid w:val="00803D5E"/>
    <w:rsid w:val="0081063C"/>
    <w:rsid w:val="00812F5F"/>
    <w:rsid w:val="00814F18"/>
    <w:rsid w:val="00817C10"/>
    <w:rsid w:val="0082673B"/>
    <w:rsid w:val="008268DF"/>
    <w:rsid w:val="00830B23"/>
    <w:rsid w:val="00832473"/>
    <w:rsid w:val="00833CFD"/>
    <w:rsid w:val="00834D20"/>
    <w:rsid w:val="00842455"/>
    <w:rsid w:val="008427F5"/>
    <w:rsid w:val="008573C2"/>
    <w:rsid w:val="00861BB0"/>
    <w:rsid w:val="00863806"/>
    <w:rsid w:val="00864025"/>
    <w:rsid w:val="00871434"/>
    <w:rsid w:val="00876AC8"/>
    <w:rsid w:val="008813C3"/>
    <w:rsid w:val="00882657"/>
    <w:rsid w:val="00886ED8"/>
    <w:rsid w:val="0089325E"/>
    <w:rsid w:val="00893C14"/>
    <w:rsid w:val="008A1502"/>
    <w:rsid w:val="008A2E3D"/>
    <w:rsid w:val="008A2F4A"/>
    <w:rsid w:val="008A5AA5"/>
    <w:rsid w:val="008A6DE9"/>
    <w:rsid w:val="008B09B9"/>
    <w:rsid w:val="008B11C7"/>
    <w:rsid w:val="008B14D1"/>
    <w:rsid w:val="008C19AB"/>
    <w:rsid w:val="008C1C1B"/>
    <w:rsid w:val="008C5926"/>
    <w:rsid w:val="008C7065"/>
    <w:rsid w:val="008E5E14"/>
    <w:rsid w:val="008F181E"/>
    <w:rsid w:val="00905ABB"/>
    <w:rsid w:val="00922E23"/>
    <w:rsid w:val="00925E50"/>
    <w:rsid w:val="00927DFB"/>
    <w:rsid w:val="00932B3D"/>
    <w:rsid w:val="0093503E"/>
    <w:rsid w:val="009357FA"/>
    <w:rsid w:val="00937461"/>
    <w:rsid w:val="009417EF"/>
    <w:rsid w:val="00944A9E"/>
    <w:rsid w:val="00946167"/>
    <w:rsid w:val="009502DA"/>
    <w:rsid w:val="00957D87"/>
    <w:rsid w:val="00957F28"/>
    <w:rsid w:val="00960705"/>
    <w:rsid w:val="00962A2B"/>
    <w:rsid w:val="00964434"/>
    <w:rsid w:val="00964528"/>
    <w:rsid w:val="00966A8A"/>
    <w:rsid w:val="0096722D"/>
    <w:rsid w:val="0097114F"/>
    <w:rsid w:val="0097268F"/>
    <w:rsid w:val="009746F9"/>
    <w:rsid w:val="00974F0E"/>
    <w:rsid w:val="00976346"/>
    <w:rsid w:val="00987E62"/>
    <w:rsid w:val="009B1169"/>
    <w:rsid w:val="009B349B"/>
    <w:rsid w:val="009C04B0"/>
    <w:rsid w:val="009C7D78"/>
    <w:rsid w:val="009D08A1"/>
    <w:rsid w:val="009D0FA7"/>
    <w:rsid w:val="009D37BF"/>
    <w:rsid w:val="009E18E8"/>
    <w:rsid w:val="009F19B2"/>
    <w:rsid w:val="00A120E5"/>
    <w:rsid w:val="00A13403"/>
    <w:rsid w:val="00A1517F"/>
    <w:rsid w:val="00A15A46"/>
    <w:rsid w:val="00A15A99"/>
    <w:rsid w:val="00A16373"/>
    <w:rsid w:val="00A230B3"/>
    <w:rsid w:val="00A2778F"/>
    <w:rsid w:val="00A31748"/>
    <w:rsid w:val="00A35D97"/>
    <w:rsid w:val="00A43102"/>
    <w:rsid w:val="00A51309"/>
    <w:rsid w:val="00A5158F"/>
    <w:rsid w:val="00A52791"/>
    <w:rsid w:val="00A529C2"/>
    <w:rsid w:val="00A53050"/>
    <w:rsid w:val="00A60A0B"/>
    <w:rsid w:val="00A60B21"/>
    <w:rsid w:val="00A60F09"/>
    <w:rsid w:val="00A70AEA"/>
    <w:rsid w:val="00A719A5"/>
    <w:rsid w:val="00A71F12"/>
    <w:rsid w:val="00A728D3"/>
    <w:rsid w:val="00A734C8"/>
    <w:rsid w:val="00A73B6F"/>
    <w:rsid w:val="00A817C1"/>
    <w:rsid w:val="00A81A0A"/>
    <w:rsid w:val="00A83FE5"/>
    <w:rsid w:val="00A84E04"/>
    <w:rsid w:val="00A95CFE"/>
    <w:rsid w:val="00AA2A86"/>
    <w:rsid w:val="00AA3FF4"/>
    <w:rsid w:val="00AB05A4"/>
    <w:rsid w:val="00AB0F30"/>
    <w:rsid w:val="00AB573D"/>
    <w:rsid w:val="00AB5C4E"/>
    <w:rsid w:val="00AB5E23"/>
    <w:rsid w:val="00AC56C3"/>
    <w:rsid w:val="00AC7DA8"/>
    <w:rsid w:val="00AD1406"/>
    <w:rsid w:val="00AD4C11"/>
    <w:rsid w:val="00AE268F"/>
    <w:rsid w:val="00AE440F"/>
    <w:rsid w:val="00AE5143"/>
    <w:rsid w:val="00AE6BAF"/>
    <w:rsid w:val="00AE79FC"/>
    <w:rsid w:val="00AF0B0C"/>
    <w:rsid w:val="00AF42B8"/>
    <w:rsid w:val="00AF7D2A"/>
    <w:rsid w:val="00B03F55"/>
    <w:rsid w:val="00B04F06"/>
    <w:rsid w:val="00B107E5"/>
    <w:rsid w:val="00B221AF"/>
    <w:rsid w:val="00B2379A"/>
    <w:rsid w:val="00B24E01"/>
    <w:rsid w:val="00B41A01"/>
    <w:rsid w:val="00B51A3C"/>
    <w:rsid w:val="00B701BA"/>
    <w:rsid w:val="00B741AE"/>
    <w:rsid w:val="00B7576F"/>
    <w:rsid w:val="00B76CC2"/>
    <w:rsid w:val="00B777FA"/>
    <w:rsid w:val="00B80F42"/>
    <w:rsid w:val="00B8388D"/>
    <w:rsid w:val="00B83FB5"/>
    <w:rsid w:val="00B91D03"/>
    <w:rsid w:val="00B97DC8"/>
    <w:rsid w:val="00BB11AA"/>
    <w:rsid w:val="00BB37E0"/>
    <w:rsid w:val="00BB4229"/>
    <w:rsid w:val="00BB648D"/>
    <w:rsid w:val="00BC04FC"/>
    <w:rsid w:val="00BC156A"/>
    <w:rsid w:val="00BC4CAF"/>
    <w:rsid w:val="00BC513A"/>
    <w:rsid w:val="00BC7520"/>
    <w:rsid w:val="00BD5A39"/>
    <w:rsid w:val="00BD5C9F"/>
    <w:rsid w:val="00BD6966"/>
    <w:rsid w:val="00BE1EA3"/>
    <w:rsid w:val="00BE24EE"/>
    <w:rsid w:val="00BE2C07"/>
    <w:rsid w:val="00BE5027"/>
    <w:rsid w:val="00BE57D2"/>
    <w:rsid w:val="00BE67A4"/>
    <w:rsid w:val="00BE7754"/>
    <w:rsid w:val="00BF4AD3"/>
    <w:rsid w:val="00BF53D1"/>
    <w:rsid w:val="00BF6BCC"/>
    <w:rsid w:val="00C058B6"/>
    <w:rsid w:val="00C13F92"/>
    <w:rsid w:val="00C16D8F"/>
    <w:rsid w:val="00C2132C"/>
    <w:rsid w:val="00C21382"/>
    <w:rsid w:val="00C22ED5"/>
    <w:rsid w:val="00C3128F"/>
    <w:rsid w:val="00C32934"/>
    <w:rsid w:val="00C33A31"/>
    <w:rsid w:val="00C33B4A"/>
    <w:rsid w:val="00C34853"/>
    <w:rsid w:val="00C358B2"/>
    <w:rsid w:val="00C35AA1"/>
    <w:rsid w:val="00C362A5"/>
    <w:rsid w:val="00C3767C"/>
    <w:rsid w:val="00C379B6"/>
    <w:rsid w:val="00C4714F"/>
    <w:rsid w:val="00C53527"/>
    <w:rsid w:val="00C53D7C"/>
    <w:rsid w:val="00C60E47"/>
    <w:rsid w:val="00C6130D"/>
    <w:rsid w:val="00C62060"/>
    <w:rsid w:val="00C647EB"/>
    <w:rsid w:val="00C652D6"/>
    <w:rsid w:val="00C657D2"/>
    <w:rsid w:val="00C71722"/>
    <w:rsid w:val="00C718B3"/>
    <w:rsid w:val="00C74410"/>
    <w:rsid w:val="00C76D7C"/>
    <w:rsid w:val="00C778F3"/>
    <w:rsid w:val="00C77F82"/>
    <w:rsid w:val="00C829E6"/>
    <w:rsid w:val="00C82D47"/>
    <w:rsid w:val="00C830A5"/>
    <w:rsid w:val="00C86477"/>
    <w:rsid w:val="00C90498"/>
    <w:rsid w:val="00C933FC"/>
    <w:rsid w:val="00CA17C5"/>
    <w:rsid w:val="00CA1DBC"/>
    <w:rsid w:val="00CB3F52"/>
    <w:rsid w:val="00CB5AAF"/>
    <w:rsid w:val="00CB60FB"/>
    <w:rsid w:val="00CB7ADB"/>
    <w:rsid w:val="00CC24BB"/>
    <w:rsid w:val="00CC3DB9"/>
    <w:rsid w:val="00CC41E8"/>
    <w:rsid w:val="00CC537E"/>
    <w:rsid w:val="00CD1814"/>
    <w:rsid w:val="00CD2A60"/>
    <w:rsid w:val="00CD2DA0"/>
    <w:rsid w:val="00CE3247"/>
    <w:rsid w:val="00CE685E"/>
    <w:rsid w:val="00CF121E"/>
    <w:rsid w:val="00CF2458"/>
    <w:rsid w:val="00D01DEA"/>
    <w:rsid w:val="00D0436E"/>
    <w:rsid w:val="00D129C4"/>
    <w:rsid w:val="00D131A4"/>
    <w:rsid w:val="00D156F3"/>
    <w:rsid w:val="00D23A9A"/>
    <w:rsid w:val="00D259F1"/>
    <w:rsid w:val="00D25E87"/>
    <w:rsid w:val="00D34831"/>
    <w:rsid w:val="00D361A6"/>
    <w:rsid w:val="00D36E85"/>
    <w:rsid w:val="00D45231"/>
    <w:rsid w:val="00D53A7D"/>
    <w:rsid w:val="00D6421A"/>
    <w:rsid w:val="00D6482B"/>
    <w:rsid w:val="00D67849"/>
    <w:rsid w:val="00D67F57"/>
    <w:rsid w:val="00D70E22"/>
    <w:rsid w:val="00D710A8"/>
    <w:rsid w:val="00D717C7"/>
    <w:rsid w:val="00D73457"/>
    <w:rsid w:val="00D74001"/>
    <w:rsid w:val="00D8178E"/>
    <w:rsid w:val="00D876F5"/>
    <w:rsid w:val="00D90AB3"/>
    <w:rsid w:val="00D9176E"/>
    <w:rsid w:val="00D92158"/>
    <w:rsid w:val="00D92308"/>
    <w:rsid w:val="00D92A4B"/>
    <w:rsid w:val="00D96EB8"/>
    <w:rsid w:val="00DA386A"/>
    <w:rsid w:val="00DB759A"/>
    <w:rsid w:val="00DC2C6E"/>
    <w:rsid w:val="00DC52CF"/>
    <w:rsid w:val="00DC6008"/>
    <w:rsid w:val="00DC6E80"/>
    <w:rsid w:val="00DC7977"/>
    <w:rsid w:val="00DD1E0C"/>
    <w:rsid w:val="00DD72AC"/>
    <w:rsid w:val="00DE1C5D"/>
    <w:rsid w:val="00DE1F9E"/>
    <w:rsid w:val="00DE2D8B"/>
    <w:rsid w:val="00DE309D"/>
    <w:rsid w:val="00DF645E"/>
    <w:rsid w:val="00DF6C12"/>
    <w:rsid w:val="00DF7031"/>
    <w:rsid w:val="00E015C1"/>
    <w:rsid w:val="00E02A2E"/>
    <w:rsid w:val="00E0473C"/>
    <w:rsid w:val="00E061C1"/>
    <w:rsid w:val="00E108E7"/>
    <w:rsid w:val="00E10B6C"/>
    <w:rsid w:val="00E11F50"/>
    <w:rsid w:val="00E15EE2"/>
    <w:rsid w:val="00E236AB"/>
    <w:rsid w:val="00E27AC7"/>
    <w:rsid w:val="00E36CFE"/>
    <w:rsid w:val="00E374AD"/>
    <w:rsid w:val="00E37C55"/>
    <w:rsid w:val="00E415C5"/>
    <w:rsid w:val="00E41D56"/>
    <w:rsid w:val="00E533A6"/>
    <w:rsid w:val="00E536AF"/>
    <w:rsid w:val="00E55A10"/>
    <w:rsid w:val="00E57541"/>
    <w:rsid w:val="00E5798E"/>
    <w:rsid w:val="00E57B4C"/>
    <w:rsid w:val="00E65696"/>
    <w:rsid w:val="00EA07FA"/>
    <w:rsid w:val="00EA499B"/>
    <w:rsid w:val="00EA564C"/>
    <w:rsid w:val="00EA5E4E"/>
    <w:rsid w:val="00EA7626"/>
    <w:rsid w:val="00EB6E72"/>
    <w:rsid w:val="00EC29F0"/>
    <w:rsid w:val="00ED27F2"/>
    <w:rsid w:val="00EE6118"/>
    <w:rsid w:val="00EE63B6"/>
    <w:rsid w:val="00EE792D"/>
    <w:rsid w:val="00EF1426"/>
    <w:rsid w:val="00EF267F"/>
    <w:rsid w:val="00EF75FB"/>
    <w:rsid w:val="00EF76EC"/>
    <w:rsid w:val="00F00BEC"/>
    <w:rsid w:val="00F0134F"/>
    <w:rsid w:val="00F03762"/>
    <w:rsid w:val="00F045E5"/>
    <w:rsid w:val="00F05A07"/>
    <w:rsid w:val="00F14C30"/>
    <w:rsid w:val="00F20C52"/>
    <w:rsid w:val="00F211EF"/>
    <w:rsid w:val="00F23A31"/>
    <w:rsid w:val="00F23E10"/>
    <w:rsid w:val="00F26320"/>
    <w:rsid w:val="00F34101"/>
    <w:rsid w:val="00F34BC6"/>
    <w:rsid w:val="00F370E7"/>
    <w:rsid w:val="00F3727A"/>
    <w:rsid w:val="00F402B2"/>
    <w:rsid w:val="00F5308A"/>
    <w:rsid w:val="00F62972"/>
    <w:rsid w:val="00F63410"/>
    <w:rsid w:val="00F67816"/>
    <w:rsid w:val="00F74DAF"/>
    <w:rsid w:val="00F76D4C"/>
    <w:rsid w:val="00F821D9"/>
    <w:rsid w:val="00F82CF9"/>
    <w:rsid w:val="00F83474"/>
    <w:rsid w:val="00F87F19"/>
    <w:rsid w:val="00F936F9"/>
    <w:rsid w:val="00F93AFF"/>
    <w:rsid w:val="00FA195A"/>
    <w:rsid w:val="00FA5532"/>
    <w:rsid w:val="00FD0C0D"/>
    <w:rsid w:val="00FE59FA"/>
    <w:rsid w:val="00FE6E28"/>
    <w:rsid w:val="00FF48A9"/>
    <w:rsid w:val="011E7F0A"/>
    <w:rsid w:val="01252C8E"/>
    <w:rsid w:val="01291901"/>
    <w:rsid w:val="01541FBE"/>
    <w:rsid w:val="0159126E"/>
    <w:rsid w:val="01F51DE1"/>
    <w:rsid w:val="02786BA5"/>
    <w:rsid w:val="02C5626B"/>
    <w:rsid w:val="035E7A94"/>
    <w:rsid w:val="03F6135F"/>
    <w:rsid w:val="043A35D9"/>
    <w:rsid w:val="04B46D14"/>
    <w:rsid w:val="04D17976"/>
    <w:rsid w:val="05157166"/>
    <w:rsid w:val="0568305F"/>
    <w:rsid w:val="058E4252"/>
    <w:rsid w:val="05F449A7"/>
    <w:rsid w:val="060C31B0"/>
    <w:rsid w:val="06A20A42"/>
    <w:rsid w:val="06B23ADD"/>
    <w:rsid w:val="07361E04"/>
    <w:rsid w:val="07641EAE"/>
    <w:rsid w:val="08013031"/>
    <w:rsid w:val="081E4B5F"/>
    <w:rsid w:val="08620842"/>
    <w:rsid w:val="08866DE8"/>
    <w:rsid w:val="089577C4"/>
    <w:rsid w:val="08986A27"/>
    <w:rsid w:val="08A84AC3"/>
    <w:rsid w:val="09A430BF"/>
    <w:rsid w:val="0A114E63"/>
    <w:rsid w:val="0A3F3608"/>
    <w:rsid w:val="0A8A2A5A"/>
    <w:rsid w:val="0AA75730"/>
    <w:rsid w:val="0AA926BD"/>
    <w:rsid w:val="0AB908B5"/>
    <w:rsid w:val="0B8E1003"/>
    <w:rsid w:val="0B98769A"/>
    <w:rsid w:val="0BFF5486"/>
    <w:rsid w:val="0C021B26"/>
    <w:rsid w:val="0C0F7D1B"/>
    <w:rsid w:val="0C302D8B"/>
    <w:rsid w:val="0C4C558F"/>
    <w:rsid w:val="0C857466"/>
    <w:rsid w:val="0CBE2C66"/>
    <w:rsid w:val="0CC24D89"/>
    <w:rsid w:val="0CF705D6"/>
    <w:rsid w:val="0D166810"/>
    <w:rsid w:val="0D5414E8"/>
    <w:rsid w:val="0D7C3E86"/>
    <w:rsid w:val="0D8647F2"/>
    <w:rsid w:val="0DFE0B05"/>
    <w:rsid w:val="0E70581B"/>
    <w:rsid w:val="0EBF2011"/>
    <w:rsid w:val="0F1B3753"/>
    <w:rsid w:val="0F3A2F1A"/>
    <w:rsid w:val="0F3B4132"/>
    <w:rsid w:val="0F6F3789"/>
    <w:rsid w:val="102B5E09"/>
    <w:rsid w:val="104571E2"/>
    <w:rsid w:val="109245CB"/>
    <w:rsid w:val="10C55854"/>
    <w:rsid w:val="10F20DDB"/>
    <w:rsid w:val="10F53779"/>
    <w:rsid w:val="113A70A6"/>
    <w:rsid w:val="11D450A4"/>
    <w:rsid w:val="11E823CF"/>
    <w:rsid w:val="11EA4D50"/>
    <w:rsid w:val="1259028C"/>
    <w:rsid w:val="129D708F"/>
    <w:rsid w:val="12D32A17"/>
    <w:rsid w:val="1319623B"/>
    <w:rsid w:val="1325504E"/>
    <w:rsid w:val="132702C6"/>
    <w:rsid w:val="133B7A1B"/>
    <w:rsid w:val="13437F45"/>
    <w:rsid w:val="13641E6C"/>
    <w:rsid w:val="13EC6224"/>
    <w:rsid w:val="1438441E"/>
    <w:rsid w:val="14421C84"/>
    <w:rsid w:val="149A38C5"/>
    <w:rsid w:val="14A1787B"/>
    <w:rsid w:val="14C64FA3"/>
    <w:rsid w:val="14CA040B"/>
    <w:rsid w:val="15445871"/>
    <w:rsid w:val="157B1B36"/>
    <w:rsid w:val="15850EE2"/>
    <w:rsid w:val="15B7153F"/>
    <w:rsid w:val="15C64B46"/>
    <w:rsid w:val="1624728A"/>
    <w:rsid w:val="163A1216"/>
    <w:rsid w:val="165B2E3B"/>
    <w:rsid w:val="1683077C"/>
    <w:rsid w:val="16941BC7"/>
    <w:rsid w:val="16966EA1"/>
    <w:rsid w:val="16EEC3DB"/>
    <w:rsid w:val="16FE8B12"/>
    <w:rsid w:val="174353C2"/>
    <w:rsid w:val="177D4217"/>
    <w:rsid w:val="18061CB9"/>
    <w:rsid w:val="18087C3C"/>
    <w:rsid w:val="185C3885"/>
    <w:rsid w:val="189B6FE1"/>
    <w:rsid w:val="19197747"/>
    <w:rsid w:val="19823668"/>
    <w:rsid w:val="199E3EB0"/>
    <w:rsid w:val="19A63DB2"/>
    <w:rsid w:val="19B21CDF"/>
    <w:rsid w:val="1AA77E82"/>
    <w:rsid w:val="1B0F40F3"/>
    <w:rsid w:val="1B132036"/>
    <w:rsid w:val="1B1F438E"/>
    <w:rsid w:val="1B227B26"/>
    <w:rsid w:val="1BE3633F"/>
    <w:rsid w:val="1C3B1481"/>
    <w:rsid w:val="1C3B3861"/>
    <w:rsid w:val="1C476C60"/>
    <w:rsid w:val="1CEC2380"/>
    <w:rsid w:val="1D1F18D5"/>
    <w:rsid w:val="1D4440F8"/>
    <w:rsid w:val="1DCE61F5"/>
    <w:rsid w:val="1E151490"/>
    <w:rsid w:val="1E747B78"/>
    <w:rsid w:val="1E8A0861"/>
    <w:rsid w:val="1EC175FF"/>
    <w:rsid w:val="1EC2624D"/>
    <w:rsid w:val="1ED32777"/>
    <w:rsid w:val="1F031160"/>
    <w:rsid w:val="1F535B37"/>
    <w:rsid w:val="1F6D241E"/>
    <w:rsid w:val="1F7A2D5A"/>
    <w:rsid w:val="1FA112A3"/>
    <w:rsid w:val="1FAC5786"/>
    <w:rsid w:val="1FDA0C07"/>
    <w:rsid w:val="1FE76865"/>
    <w:rsid w:val="1FF632AB"/>
    <w:rsid w:val="1FFE011C"/>
    <w:rsid w:val="20694A4E"/>
    <w:rsid w:val="2078650B"/>
    <w:rsid w:val="20834165"/>
    <w:rsid w:val="20B15E4B"/>
    <w:rsid w:val="21021BA7"/>
    <w:rsid w:val="21047F36"/>
    <w:rsid w:val="211874BA"/>
    <w:rsid w:val="215E1B6F"/>
    <w:rsid w:val="219C0A61"/>
    <w:rsid w:val="21CF4F08"/>
    <w:rsid w:val="21EE030B"/>
    <w:rsid w:val="21F673C0"/>
    <w:rsid w:val="22332E1C"/>
    <w:rsid w:val="22597DCE"/>
    <w:rsid w:val="22800727"/>
    <w:rsid w:val="22846E7E"/>
    <w:rsid w:val="229F5759"/>
    <w:rsid w:val="22D90675"/>
    <w:rsid w:val="23626B1C"/>
    <w:rsid w:val="236F25AE"/>
    <w:rsid w:val="23976E15"/>
    <w:rsid w:val="243A0D7D"/>
    <w:rsid w:val="24554A3A"/>
    <w:rsid w:val="245B09C3"/>
    <w:rsid w:val="247321DC"/>
    <w:rsid w:val="24765FE4"/>
    <w:rsid w:val="252643C5"/>
    <w:rsid w:val="256571E6"/>
    <w:rsid w:val="25E258B6"/>
    <w:rsid w:val="25F516D0"/>
    <w:rsid w:val="261A08B6"/>
    <w:rsid w:val="26481144"/>
    <w:rsid w:val="2666654B"/>
    <w:rsid w:val="268A4DCA"/>
    <w:rsid w:val="2695765F"/>
    <w:rsid w:val="26F65A2F"/>
    <w:rsid w:val="27020657"/>
    <w:rsid w:val="270E4440"/>
    <w:rsid w:val="272A011F"/>
    <w:rsid w:val="274A0D8A"/>
    <w:rsid w:val="27842A64"/>
    <w:rsid w:val="283D5705"/>
    <w:rsid w:val="28483B04"/>
    <w:rsid w:val="28956DC7"/>
    <w:rsid w:val="28F92C9D"/>
    <w:rsid w:val="29250B0A"/>
    <w:rsid w:val="29283114"/>
    <w:rsid w:val="296D4B02"/>
    <w:rsid w:val="29C0238E"/>
    <w:rsid w:val="29F1100D"/>
    <w:rsid w:val="2A2D1DAA"/>
    <w:rsid w:val="2A3B0FD9"/>
    <w:rsid w:val="2A452B85"/>
    <w:rsid w:val="2A4B1F72"/>
    <w:rsid w:val="2A7423F4"/>
    <w:rsid w:val="2AA32ED9"/>
    <w:rsid w:val="2AE41EA5"/>
    <w:rsid w:val="2B0A6960"/>
    <w:rsid w:val="2B5272A1"/>
    <w:rsid w:val="2BC5234B"/>
    <w:rsid w:val="2BD17ACF"/>
    <w:rsid w:val="2BDE4907"/>
    <w:rsid w:val="2BDF0106"/>
    <w:rsid w:val="2C1C21ED"/>
    <w:rsid w:val="2C2736A5"/>
    <w:rsid w:val="2C5A1CD2"/>
    <w:rsid w:val="2C6572E0"/>
    <w:rsid w:val="2CA523FE"/>
    <w:rsid w:val="2CBF3DCB"/>
    <w:rsid w:val="2CE73A08"/>
    <w:rsid w:val="2D4860D7"/>
    <w:rsid w:val="2D8D3349"/>
    <w:rsid w:val="2D990460"/>
    <w:rsid w:val="2DF51A73"/>
    <w:rsid w:val="2EA61897"/>
    <w:rsid w:val="2F236DF6"/>
    <w:rsid w:val="2F3523B0"/>
    <w:rsid w:val="2F513F2E"/>
    <w:rsid w:val="2F787D80"/>
    <w:rsid w:val="2FAE6846"/>
    <w:rsid w:val="2FB20AD0"/>
    <w:rsid w:val="2FDD61A3"/>
    <w:rsid w:val="2FFB511A"/>
    <w:rsid w:val="302D2DB2"/>
    <w:rsid w:val="3036579A"/>
    <w:rsid w:val="30511D49"/>
    <w:rsid w:val="305D6801"/>
    <w:rsid w:val="30604107"/>
    <w:rsid w:val="30C0540A"/>
    <w:rsid w:val="31184E5D"/>
    <w:rsid w:val="3163083B"/>
    <w:rsid w:val="31965F36"/>
    <w:rsid w:val="31B35A94"/>
    <w:rsid w:val="31DC15BD"/>
    <w:rsid w:val="328B761F"/>
    <w:rsid w:val="32946609"/>
    <w:rsid w:val="32994C3C"/>
    <w:rsid w:val="32C548FE"/>
    <w:rsid w:val="33043A40"/>
    <w:rsid w:val="333F2BAE"/>
    <w:rsid w:val="33671195"/>
    <w:rsid w:val="34654306"/>
    <w:rsid w:val="347436ED"/>
    <w:rsid w:val="34A15065"/>
    <w:rsid w:val="34C44C99"/>
    <w:rsid w:val="34C76163"/>
    <w:rsid w:val="34D7767D"/>
    <w:rsid w:val="35A56ED6"/>
    <w:rsid w:val="36142D48"/>
    <w:rsid w:val="361D3657"/>
    <w:rsid w:val="362706E4"/>
    <w:rsid w:val="36A003CA"/>
    <w:rsid w:val="36DA4E49"/>
    <w:rsid w:val="37160735"/>
    <w:rsid w:val="374A3C87"/>
    <w:rsid w:val="37CB78CE"/>
    <w:rsid w:val="37DB1B79"/>
    <w:rsid w:val="37F21986"/>
    <w:rsid w:val="38255FAB"/>
    <w:rsid w:val="38681FBE"/>
    <w:rsid w:val="3891571B"/>
    <w:rsid w:val="39930370"/>
    <w:rsid w:val="399C6A91"/>
    <w:rsid w:val="3A135F4B"/>
    <w:rsid w:val="3A3419D7"/>
    <w:rsid w:val="3A717D6E"/>
    <w:rsid w:val="3A8448AA"/>
    <w:rsid w:val="3A89574F"/>
    <w:rsid w:val="3B2131C7"/>
    <w:rsid w:val="3B3B2CBA"/>
    <w:rsid w:val="3B65206A"/>
    <w:rsid w:val="3BBF1303"/>
    <w:rsid w:val="3BE12C4C"/>
    <w:rsid w:val="3C192A70"/>
    <w:rsid w:val="3C67004F"/>
    <w:rsid w:val="3C671D83"/>
    <w:rsid w:val="3C9C154B"/>
    <w:rsid w:val="3CCC336B"/>
    <w:rsid w:val="3D353514"/>
    <w:rsid w:val="3DDD2F89"/>
    <w:rsid w:val="3DFFC860"/>
    <w:rsid w:val="3EE80976"/>
    <w:rsid w:val="3EFFDFA0"/>
    <w:rsid w:val="3F3F2637"/>
    <w:rsid w:val="3F7560CE"/>
    <w:rsid w:val="3F9C62FF"/>
    <w:rsid w:val="3FB9B803"/>
    <w:rsid w:val="3FC712DF"/>
    <w:rsid w:val="40216E1B"/>
    <w:rsid w:val="405B6512"/>
    <w:rsid w:val="4095007F"/>
    <w:rsid w:val="40DD0378"/>
    <w:rsid w:val="41D6392F"/>
    <w:rsid w:val="41F103DA"/>
    <w:rsid w:val="41F768C6"/>
    <w:rsid w:val="41F80C9D"/>
    <w:rsid w:val="424B3E88"/>
    <w:rsid w:val="43456AF8"/>
    <w:rsid w:val="435A3F8F"/>
    <w:rsid w:val="43830CD3"/>
    <w:rsid w:val="439D2AEF"/>
    <w:rsid w:val="43D23785"/>
    <w:rsid w:val="43DB61FE"/>
    <w:rsid w:val="444D6EAE"/>
    <w:rsid w:val="445402FA"/>
    <w:rsid w:val="44815F70"/>
    <w:rsid w:val="449B239D"/>
    <w:rsid w:val="44C42893"/>
    <w:rsid w:val="44CC2B6C"/>
    <w:rsid w:val="44F86E1B"/>
    <w:rsid w:val="455E266F"/>
    <w:rsid w:val="4599483E"/>
    <w:rsid w:val="45A656D1"/>
    <w:rsid w:val="462D078B"/>
    <w:rsid w:val="46367BC0"/>
    <w:rsid w:val="4666118A"/>
    <w:rsid w:val="46A11FD8"/>
    <w:rsid w:val="46FF017B"/>
    <w:rsid w:val="47382C65"/>
    <w:rsid w:val="47B6344E"/>
    <w:rsid w:val="47C03E21"/>
    <w:rsid w:val="47E0111D"/>
    <w:rsid w:val="48226466"/>
    <w:rsid w:val="48233EE8"/>
    <w:rsid w:val="48344F4C"/>
    <w:rsid w:val="48513732"/>
    <w:rsid w:val="489D725F"/>
    <w:rsid w:val="48E75437"/>
    <w:rsid w:val="498203D3"/>
    <w:rsid w:val="499A49CE"/>
    <w:rsid w:val="49AC5F8F"/>
    <w:rsid w:val="4A4F07C8"/>
    <w:rsid w:val="4AA53061"/>
    <w:rsid w:val="4BD27C88"/>
    <w:rsid w:val="4C016441"/>
    <w:rsid w:val="4C2C78E3"/>
    <w:rsid w:val="4C7A1245"/>
    <w:rsid w:val="4CA97677"/>
    <w:rsid w:val="4CAA70F1"/>
    <w:rsid w:val="4CC22C7C"/>
    <w:rsid w:val="4D24529F"/>
    <w:rsid w:val="4D36742D"/>
    <w:rsid w:val="4D487B5E"/>
    <w:rsid w:val="4DB72290"/>
    <w:rsid w:val="4DCD1877"/>
    <w:rsid w:val="4DEE4968"/>
    <w:rsid w:val="4E566BA8"/>
    <w:rsid w:val="4EBB75E2"/>
    <w:rsid w:val="4F2449E5"/>
    <w:rsid w:val="4F980780"/>
    <w:rsid w:val="4FB53C84"/>
    <w:rsid w:val="4FFAB9E9"/>
    <w:rsid w:val="50384226"/>
    <w:rsid w:val="50EA5B67"/>
    <w:rsid w:val="51027358"/>
    <w:rsid w:val="51FC1C0F"/>
    <w:rsid w:val="522C275E"/>
    <w:rsid w:val="52397A7C"/>
    <w:rsid w:val="523B06B0"/>
    <w:rsid w:val="524E6C8F"/>
    <w:rsid w:val="529612D4"/>
    <w:rsid w:val="53187340"/>
    <w:rsid w:val="53392401"/>
    <w:rsid w:val="53A42022"/>
    <w:rsid w:val="54172B76"/>
    <w:rsid w:val="54ED53AB"/>
    <w:rsid w:val="55683E4F"/>
    <w:rsid w:val="559D6FE9"/>
    <w:rsid w:val="55A91E35"/>
    <w:rsid w:val="56717364"/>
    <w:rsid w:val="56793962"/>
    <w:rsid w:val="575B052B"/>
    <w:rsid w:val="576E0BAE"/>
    <w:rsid w:val="5812180A"/>
    <w:rsid w:val="58537F2B"/>
    <w:rsid w:val="586C5B99"/>
    <w:rsid w:val="5891267F"/>
    <w:rsid w:val="58CF2FED"/>
    <w:rsid w:val="58D43F98"/>
    <w:rsid w:val="5906603B"/>
    <w:rsid w:val="594548EC"/>
    <w:rsid w:val="595130EE"/>
    <w:rsid w:val="59907A7D"/>
    <w:rsid w:val="59AB60A8"/>
    <w:rsid w:val="59D617D6"/>
    <w:rsid w:val="59EC1EB9"/>
    <w:rsid w:val="5A2406CA"/>
    <w:rsid w:val="5A4C4697"/>
    <w:rsid w:val="5A9F6078"/>
    <w:rsid w:val="5AD97A22"/>
    <w:rsid w:val="5B025484"/>
    <w:rsid w:val="5B5828EC"/>
    <w:rsid w:val="5B5E1CA7"/>
    <w:rsid w:val="5B7D63F1"/>
    <w:rsid w:val="5BEF1FAE"/>
    <w:rsid w:val="5BF330B4"/>
    <w:rsid w:val="5C317DD2"/>
    <w:rsid w:val="5C790692"/>
    <w:rsid w:val="5CAD0D3F"/>
    <w:rsid w:val="5CAE6A69"/>
    <w:rsid w:val="5CB660AB"/>
    <w:rsid w:val="5CC83709"/>
    <w:rsid w:val="5CDC4C66"/>
    <w:rsid w:val="5D6A43BC"/>
    <w:rsid w:val="5E1B5674"/>
    <w:rsid w:val="5E421FE3"/>
    <w:rsid w:val="5E640664"/>
    <w:rsid w:val="5E885FA6"/>
    <w:rsid w:val="5F6D68FC"/>
    <w:rsid w:val="5F972EFC"/>
    <w:rsid w:val="5FA34566"/>
    <w:rsid w:val="5FCA3BE3"/>
    <w:rsid w:val="5FFD4790"/>
    <w:rsid w:val="60467669"/>
    <w:rsid w:val="60471D22"/>
    <w:rsid w:val="605A2705"/>
    <w:rsid w:val="60FB3626"/>
    <w:rsid w:val="61011D9C"/>
    <w:rsid w:val="614C6AAF"/>
    <w:rsid w:val="617C6661"/>
    <w:rsid w:val="61CF1286"/>
    <w:rsid w:val="61F641B4"/>
    <w:rsid w:val="624A069A"/>
    <w:rsid w:val="62522CFE"/>
    <w:rsid w:val="62877313"/>
    <w:rsid w:val="631A3827"/>
    <w:rsid w:val="63332DDF"/>
    <w:rsid w:val="63AC2D96"/>
    <w:rsid w:val="63D336DD"/>
    <w:rsid w:val="63F037B6"/>
    <w:rsid w:val="63FB0321"/>
    <w:rsid w:val="640B1B04"/>
    <w:rsid w:val="64A50DAF"/>
    <w:rsid w:val="64FE17D5"/>
    <w:rsid w:val="65611094"/>
    <w:rsid w:val="65763686"/>
    <w:rsid w:val="65C37EAD"/>
    <w:rsid w:val="65F418DB"/>
    <w:rsid w:val="66146A07"/>
    <w:rsid w:val="66236A25"/>
    <w:rsid w:val="66332450"/>
    <w:rsid w:val="664A6EE1"/>
    <w:rsid w:val="667A1C2F"/>
    <w:rsid w:val="667D2BB4"/>
    <w:rsid w:val="668E5585"/>
    <w:rsid w:val="66907359"/>
    <w:rsid w:val="66911854"/>
    <w:rsid w:val="66A31A8D"/>
    <w:rsid w:val="66A96EFB"/>
    <w:rsid w:val="66B4117C"/>
    <w:rsid w:val="66DE1953"/>
    <w:rsid w:val="670360C2"/>
    <w:rsid w:val="674D4A46"/>
    <w:rsid w:val="67FD6528"/>
    <w:rsid w:val="68404FAC"/>
    <w:rsid w:val="684A3363"/>
    <w:rsid w:val="68A634BD"/>
    <w:rsid w:val="68C330B6"/>
    <w:rsid w:val="6902559B"/>
    <w:rsid w:val="69156FF4"/>
    <w:rsid w:val="69685127"/>
    <w:rsid w:val="69990709"/>
    <w:rsid w:val="69C674CD"/>
    <w:rsid w:val="6A2C45BE"/>
    <w:rsid w:val="6A565402"/>
    <w:rsid w:val="6AA35501"/>
    <w:rsid w:val="6AAD584A"/>
    <w:rsid w:val="6ACE1610"/>
    <w:rsid w:val="6AFA5F10"/>
    <w:rsid w:val="6B1F4732"/>
    <w:rsid w:val="6B752F12"/>
    <w:rsid w:val="6B9E4006"/>
    <w:rsid w:val="6BC23EF7"/>
    <w:rsid w:val="6C8B1333"/>
    <w:rsid w:val="6CDB4C07"/>
    <w:rsid w:val="6D0A6F75"/>
    <w:rsid w:val="6D3033E4"/>
    <w:rsid w:val="6D6D5BF9"/>
    <w:rsid w:val="6D9B51DF"/>
    <w:rsid w:val="6F146FCA"/>
    <w:rsid w:val="6F6D659D"/>
    <w:rsid w:val="6F7B12D4"/>
    <w:rsid w:val="6FA10CBB"/>
    <w:rsid w:val="6FF76672"/>
    <w:rsid w:val="700107C2"/>
    <w:rsid w:val="70275B8D"/>
    <w:rsid w:val="70763748"/>
    <w:rsid w:val="70B11568"/>
    <w:rsid w:val="70E0632C"/>
    <w:rsid w:val="714455E6"/>
    <w:rsid w:val="72241A7A"/>
    <w:rsid w:val="7244081A"/>
    <w:rsid w:val="72774E38"/>
    <w:rsid w:val="72F21524"/>
    <w:rsid w:val="733A5FFE"/>
    <w:rsid w:val="734A4C99"/>
    <w:rsid w:val="737D0843"/>
    <w:rsid w:val="7399317D"/>
    <w:rsid w:val="73A16A41"/>
    <w:rsid w:val="73C22338"/>
    <w:rsid w:val="742E5746"/>
    <w:rsid w:val="74A81561"/>
    <w:rsid w:val="74D42B00"/>
    <w:rsid w:val="7512151E"/>
    <w:rsid w:val="75286F45"/>
    <w:rsid w:val="75646EFD"/>
    <w:rsid w:val="766517E6"/>
    <w:rsid w:val="766E02EC"/>
    <w:rsid w:val="767D72C0"/>
    <w:rsid w:val="76C84A24"/>
    <w:rsid w:val="76EE0EC2"/>
    <w:rsid w:val="77252C55"/>
    <w:rsid w:val="7778244E"/>
    <w:rsid w:val="779A0D50"/>
    <w:rsid w:val="77F7F356"/>
    <w:rsid w:val="78062961"/>
    <w:rsid w:val="78BE1FA4"/>
    <w:rsid w:val="78D85CCF"/>
    <w:rsid w:val="78FA098C"/>
    <w:rsid w:val="79044B1D"/>
    <w:rsid w:val="79413A82"/>
    <w:rsid w:val="796818A0"/>
    <w:rsid w:val="79BE518B"/>
    <w:rsid w:val="79E1768B"/>
    <w:rsid w:val="7A272847"/>
    <w:rsid w:val="7A726172"/>
    <w:rsid w:val="7ABE7CE7"/>
    <w:rsid w:val="7AFE15D9"/>
    <w:rsid w:val="7AFE5D56"/>
    <w:rsid w:val="7B361733"/>
    <w:rsid w:val="7BB57A83"/>
    <w:rsid w:val="7BB96489"/>
    <w:rsid w:val="7BD77C76"/>
    <w:rsid w:val="7BF5638F"/>
    <w:rsid w:val="7C425D3E"/>
    <w:rsid w:val="7C823954"/>
    <w:rsid w:val="7C9725F4"/>
    <w:rsid w:val="7CA4190A"/>
    <w:rsid w:val="7CD4098F"/>
    <w:rsid w:val="7CDE6F23"/>
    <w:rsid w:val="7CEA6331"/>
    <w:rsid w:val="7D117D40"/>
    <w:rsid w:val="7D2334DD"/>
    <w:rsid w:val="7D4A3BA6"/>
    <w:rsid w:val="7D515775"/>
    <w:rsid w:val="7D626D67"/>
    <w:rsid w:val="7D6D43D8"/>
    <w:rsid w:val="7DBC69E1"/>
    <w:rsid w:val="7DCFD4E6"/>
    <w:rsid w:val="7E3534D8"/>
    <w:rsid w:val="7E5E1702"/>
    <w:rsid w:val="7E714618"/>
    <w:rsid w:val="7E8242EF"/>
    <w:rsid w:val="7EAC1CDF"/>
    <w:rsid w:val="7EF16AFA"/>
    <w:rsid w:val="7F447C08"/>
    <w:rsid w:val="7F715D87"/>
    <w:rsid w:val="7FCA26F2"/>
    <w:rsid w:val="7FFB2BE9"/>
    <w:rsid w:val="ABDF73BD"/>
    <w:rsid w:val="D3F783E6"/>
    <w:rsid w:val="D9AFD1F2"/>
    <w:rsid w:val="DF6E6A22"/>
    <w:rsid w:val="DFFBD17A"/>
    <w:rsid w:val="EF7FF5A5"/>
    <w:rsid w:val="F76F2E2B"/>
    <w:rsid w:val="F7BAC71E"/>
    <w:rsid w:val="F8FF9ED8"/>
    <w:rsid w:val="F9A83117"/>
    <w:rsid w:val="FE6E4A2B"/>
    <w:rsid w:val="FF9BAEF5"/>
    <w:rsid w:val="FFAFEE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ocked="1"/>
    <w:lsdException w:qFormat="1" w:unhideWhenUsed="0" w:uiPriority="99" w:semiHidden="0" w:name="toc 5" w:locked="1"/>
    <w:lsdException w:qFormat="1" w:unhideWhenUsed="0" w:uiPriority="99" w:semiHidden="0" w:name="toc 6" w:locked="1"/>
    <w:lsdException w:qFormat="1" w:unhideWhenUsed="0" w:uiPriority="99" w:semiHidden="0" w:name="toc 7" w:locked="1"/>
    <w:lsdException w:qFormat="1" w:unhideWhenUsed="0" w:uiPriority="99" w:semiHidden="0" w:name="toc 8" w:locked="1"/>
    <w:lsdException w:qFormat="1" w:unhideWhenUsed="0" w:uiPriority="99" w:semiHidden="0" w:name="toc 9" w:locked="1"/>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lang w:val="en-US" w:eastAsia="zh-CN" w:bidi="ar-SA"/>
    </w:rPr>
  </w:style>
  <w:style w:type="paragraph" w:styleId="7">
    <w:name w:val="heading 1"/>
    <w:basedOn w:val="1"/>
    <w:next w:val="1"/>
    <w:link w:val="53"/>
    <w:qFormat/>
    <w:uiPriority w:val="99"/>
    <w:pPr>
      <w:keepNext/>
      <w:keepLines/>
      <w:spacing w:before="340" w:after="330" w:line="578" w:lineRule="auto"/>
      <w:outlineLvl w:val="0"/>
    </w:pPr>
    <w:rPr>
      <w:b/>
      <w:bCs/>
      <w:kern w:val="44"/>
      <w:sz w:val="44"/>
      <w:szCs w:val="44"/>
    </w:rPr>
  </w:style>
  <w:style w:type="paragraph" w:styleId="8">
    <w:name w:val="heading 2"/>
    <w:basedOn w:val="1"/>
    <w:next w:val="9"/>
    <w:link w:val="54"/>
    <w:qFormat/>
    <w:uiPriority w:val="99"/>
    <w:pPr>
      <w:keepNext/>
      <w:keepLines/>
      <w:spacing w:before="260" w:after="260" w:line="416" w:lineRule="auto"/>
      <w:outlineLvl w:val="1"/>
    </w:pPr>
    <w:rPr>
      <w:rFonts w:ascii="Cambria" w:hAnsi="Cambria"/>
      <w:b/>
      <w:bCs/>
      <w:sz w:val="32"/>
      <w:szCs w:val="32"/>
    </w:rPr>
  </w:style>
  <w:style w:type="paragraph" w:styleId="11">
    <w:name w:val="heading 3"/>
    <w:basedOn w:val="1"/>
    <w:next w:val="1"/>
    <w:link w:val="55"/>
    <w:qFormat/>
    <w:uiPriority w:val="99"/>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12">
    <w:name w:val="heading 4"/>
    <w:basedOn w:val="1"/>
    <w:next w:val="1"/>
    <w:link w:val="56"/>
    <w:qFormat/>
    <w:uiPriority w:val="99"/>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13">
    <w:name w:val="heading 5"/>
    <w:basedOn w:val="1"/>
    <w:next w:val="1"/>
    <w:link w:val="57"/>
    <w:qFormat/>
    <w:uiPriority w:val="99"/>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14">
    <w:name w:val="heading 6"/>
    <w:basedOn w:val="1"/>
    <w:next w:val="1"/>
    <w:link w:val="58"/>
    <w:qFormat/>
    <w:uiPriority w:val="99"/>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15">
    <w:name w:val="heading 7"/>
    <w:basedOn w:val="1"/>
    <w:next w:val="1"/>
    <w:link w:val="59"/>
    <w:qFormat/>
    <w:uiPriority w:val="99"/>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16">
    <w:name w:val="heading 8"/>
    <w:basedOn w:val="1"/>
    <w:next w:val="1"/>
    <w:link w:val="60"/>
    <w:qFormat/>
    <w:uiPriority w:val="99"/>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7">
    <w:name w:val="heading 9"/>
    <w:basedOn w:val="1"/>
    <w:next w:val="1"/>
    <w:link w:val="61"/>
    <w:qFormat/>
    <w:uiPriority w:val="99"/>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1"/>
      <w:szCs w:val="21"/>
      <w:lang w:val="zh-CN" w:eastAsia="zh-CN" w:bidi="zh-CN"/>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cs="Times New Roman"/>
      <w:b/>
      <w:sz w:val="28"/>
      <w:szCs w:val="24"/>
    </w:rPr>
  </w:style>
  <w:style w:type="paragraph" w:styleId="5">
    <w:name w:val="Body Text First Indent 2"/>
    <w:basedOn w:val="6"/>
    <w:next w:val="1"/>
    <w:link w:val="103"/>
    <w:semiHidden/>
    <w:qFormat/>
    <w:uiPriority w:val="99"/>
    <w:pPr>
      <w:widowControl/>
      <w:adjustRightInd/>
      <w:spacing w:line="240" w:lineRule="auto"/>
      <w:ind w:left="200" w:firstLine="420" w:firstLineChars="200"/>
      <w:jc w:val="both"/>
      <w:textAlignment w:val="auto"/>
    </w:pPr>
    <w:rPr>
      <w:rFonts w:ascii="Calibri" w:hAnsi="Calibri"/>
      <w:sz w:val="21"/>
      <w:szCs w:val="21"/>
    </w:rPr>
  </w:style>
  <w:style w:type="paragraph" w:styleId="6">
    <w:name w:val="Body Text Indent"/>
    <w:basedOn w:val="1"/>
    <w:next w:val="3"/>
    <w:link w:val="64"/>
    <w:qFormat/>
    <w:uiPriority w:val="99"/>
    <w:pPr>
      <w:adjustRightInd w:val="0"/>
      <w:spacing w:after="120" w:line="360" w:lineRule="atLeast"/>
      <w:ind w:left="420" w:leftChars="200"/>
      <w:jc w:val="left"/>
      <w:textAlignment w:val="baseline"/>
    </w:pPr>
    <w:rPr>
      <w:rFonts w:ascii="Times New Roman" w:hAnsi="Times New Roman"/>
      <w:kern w:val="0"/>
      <w:sz w:val="24"/>
      <w:szCs w:val="20"/>
    </w:rPr>
  </w:style>
  <w:style w:type="paragraph" w:customStyle="1" w:styleId="9">
    <w:name w:val="文档正文"/>
    <w:basedOn w:val="10"/>
    <w:qFormat/>
    <w:uiPriority w:val="0"/>
    <w:pPr>
      <w:spacing w:line="480" w:lineRule="atLeast"/>
      <w:textAlignment w:val="baseline"/>
    </w:pPr>
    <w:rPr>
      <w:kern w:val="0"/>
      <w:sz w:val="24"/>
    </w:rPr>
  </w:style>
  <w:style w:type="paragraph" w:styleId="10">
    <w:name w:val="Normal Indent"/>
    <w:basedOn w:val="1"/>
    <w:qFormat/>
    <w:uiPriority w:val="0"/>
    <w:pPr>
      <w:ind w:firstLine="420"/>
    </w:pPr>
    <w:rPr>
      <w:sz w:val="21"/>
    </w:rPr>
  </w:style>
  <w:style w:type="paragraph" w:styleId="18">
    <w:name w:val="toc 7"/>
    <w:basedOn w:val="1"/>
    <w:next w:val="1"/>
    <w:qFormat/>
    <w:locked/>
    <w:uiPriority w:val="99"/>
    <w:pPr>
      <w:widowControl/>
      <w:ind w:left="2550"/>
    </w:pPr>
    <w:rPr>
      <w:kern w:val="0"/>
      <w:szCs w:val="21"/>
    </w:rPr>
  </w:style>
  <w:style w:type="paragraph" w:styleId="19">
    <w:name w:val="Document Map"/>
    <w:basedOn w:val="1"/>
    <w:link w:val="62"/>
    <w:qFormat/>
    <w:uiPriority w:val="99"/>
    <w:rPr>
      <w:rFonts w:ascii="宋体"/>
      <w:sz w:val="18"/>
      <w:szCs w:val="18"/>
    </w:rPr>
  </w:style>
  <w:style w:type="paragraph" w:styleId="20">
    <w:name w:val="annotation text"/>
    <w:basedOn w:val="1"/>
    <w:link w:val="63"/>
    <w:qFormat/>
    <w:uiPriority w:val="99"/>
    <w:pPr>
      <w:jc w:val="left"/>
    </w:pPr>
    <w:rPr>
      <w:rFonts w:ascii="Times New Roman" w:hAnsi="Times New Roman"/>
      <w:szCs w:val="24"/>
    </w:rPr>
  </w:style>
  <w:style w:type="paragraph" w:styleId="21">
    <w:name w:val="index 6"/>
    <w:basedOn w:val="1"/>
    <w:next w:val="1"/>
    <w:qFormat/>
    <w:uiPriority w:val="99"/>
    <w:pPr>
      <w:ind w:left="2100"/>
    </w:pPr>
  </w:style>
  <w:style w:type="paragraph" w:styleId="22">
    <w:name w:val="toc 5"/>
    <w:basedOn w:val="1"/>
    <w:next w:val="1"/>
    <w:qFormat/>
    <w:locked/>
    <w:uiPriority w:val="99"/>
    <w:pPr>
      <w:widowControl/>
      <w:ind w:left="1700"/>
    </w:pPr>
    <w:rPr>
      <w:kern w:val="0"/>
      <w:szCs w:val="21"/>
    </w:rPr>
  </w:style>
  <w:style w:type="paragraph" w:styleId="23">
    <w:name w:val="toc 3"/>
    <w:basedOn w:val="1"/>
    <w:next w:val="1"/>
    <w:qFormat/>
    <w:uiPriority w:val="39"/>
    <w:pPr>
      <w:ind w:left="840" w:leftChars="400"/>
    </w:pPr>
  </w:style>
  <w:style w:type="paragraph" w:styleId="24">
    <w:name w:val="Plain Text"/>
    <w:basedOn w:val="1"/>
    <w:link w:val="65"/>
    <w:qFormat/>
    <w:uiPriority w:val="0"/>
    <w:rPr>
      <w:rFonts w:ascii="宋体" w:hAnsi="Courier New"/>
      <w:szCs w:val="21"/>
    </w:rPr>
  </w:style>
  <w:style w:type="paragraph" w:styleId="25">
    <w:name w:val="toc 8"/>
    <w:basedOn w:val="1"/>
    <w:next w:val="1"/>
    <w:qFormat/>
    <w:locked/>
    <w:uiPriority w:val="99"/>
    <w:pPr>
      <w:widowControl/>
      <w:ind w:left="2975"/>
    </w:pPr>
    <w:rPr>
      <w:kern w:val="0"/>
      <w:szCs w:val="21"/>
    </w:rPr>
  </w:style>
  <w:style w:type="paragraph" w:styleId="26">
    <w:name w:val="Date"/>
    <w:basedOn w:val="1"/>
    <w:next w:val="1"/>
    <w:link w:val="82"/>
    <w:unhideWhenUsed/>
    <w:qFormat/>
    <w:uiPriority w:val="99"/>
    <w:pPr>
      <w:widowControl/>
      <w:spacing w:line="360" w:lineRule="auto"/>
      <w:ind w:left="100" w:leftChars="2500"/>
    </w:pPr>
  </w:style>
  <w:style w:type="paragraph" w:styleId="27">
    <w:name w:val="Balloon Text"/>
    <w:basedOn w:val="1"/>
    <w:link w:val="66"/>
    <w:qFormat/>
    <w:uiPriority w:val="99"/>
    <w:rPr>
      <w:sz w:val="18"/>
      <w:szCs w:val="18"/>
    </w:rPr>
  </w:style>
  <w:style w:type="paragraph" w:styleId="28">
    <w:name w:val="footer"/>
    <w:basedOn w:val="1"/>
    <w:link w:val="67"/>
    <w:qFormat/>
    <w:uiPriority w:val="99"/>
    <w:pPr>
      <w:tabs>
        <w:tab w:val="center" w:pos="4153"/>
        <w:tab w:val="right" w:pos="8306"/>
      </w:tabs>
      <w:snapToGrid w:val="0"/>
      <w:jc w:val="left"/>
    </w:pPr>
    <w:rPr>
      <w:sz w:val="18"/>
      <w:szCs w:val="18"/>
    </w:rPr>
  </w:style>
  <w:style w:type="paragraph" w:styleId="29">
    <w:name w:val="header"/>
    <w:basedOn w:val="1"/>
    <w:next w:val="1"/>
    <w:link w:val="6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locked/>
    <w:uiPriority w:val="99"/>
    <w:pPr>
      <w:widowControl/>
      <w:ind w:left="1275"/>
    </w:pPr>
    <w:rPr>
      <w:kern w:val="0"/>
      <w:szCs w:val="21"/>
    </w:rPr>
  </w:style>
  <w:style w:type="paragraph" w:styleId="32">
    <w:name w:val="Subtitle"/>
    <w:basedOn w:val="1"/>
    <w:link w:val="93"/>
    <w:qFormat/>
    <w:locked/>
    <w:uiPriority w:val="99"/>
    <w:pPr>
      <w:widowControl/>
      <w:jc w:val="center"/>
    </w:pPr>
    <w:rPr>
      <w:kern w:val="0"/>
      <w:sz w:val="24"/>
      <w:szCs w:val="24"/>
    </w:rPr>
  </w:style>
  <w:style w:type="paragraph" w:styleId="33">
    <w:name w:val="List"/>
    <w:basedOn w:val="1"/>
    <w:qFormat/>
    <w:uiPriority w:val="0"/>
    <w:pPr>
      <w:spacing w:before="312" w:beforeLines="100" w:line="360" w:lineRule="auto"/>
      <w:jc w:val="center"/>
    </w:pPr>
    <w:rPr>
      <w:rFonts w:ascii="宋体" w:hAnsi="宋体"/>
      <w:b/>
      <w:sz w:val="28"/>
      <w:szCs w:val="24"/>
    </w:rPr>
  </w:style>
  <w:style w:type="paragraph" w:styleId="34">
    <w:name w:val="footnote text"/>
    <w:basedOn w:val="1"/>
    <w:qFormat/>
    <w:uiPriority w:val="0"/>
    <w:pPr>
      <w:snapToGrid w:val="0"/>
      <w:spacing w:line="240" w:lineRule="auto"/>
      <w:jc w:val="left"/>
    </w:pPr>
    <w:rPr>
      <w:kern w:val="0"/>
      <w:sz w:val="18"/>
      <w:szCs w:val="18"/>
    </w:rPr>
  </w:style>
  <w:style w:type="paragraph" w:styleId="35">
    <w:name w:val="toc 6"/>
    <w:basedOn w:val="1"/>
    <w:next w:val="1"/>
    <w:qFormat/>
    <w:locked/>
    <w:uiPriority w:val="99"/>
    <w:pPr>
      <w:widowControl/>
      <w:ind w:left="2125"/>
    </w:pPr>
    <w:rPr>
      <w:kern w:val="0"/>
      <w:szCs w:val="21"/>
    </w:rPr>
  </w:style>
  <w:style w:type="paragraph" w:styleId="36">
    <w:name w:val="toc 2"/>
    <w:basedOn w:val="1"/>
    <w:next w:val="1"/>
    <w:qFormat/>
    <w:uiPriority w:val="39"/>
    <w:pPr>
      <w:ind w:left="420" w:leftChars="200"/>
    </w:pPr>
    <w:rPr>
      <w:rFonts w:ascii="Times New Roman" w:hAnsi="Times New Roman"/>
      <w:szCs w:val="24"/>
    </w:rPr>
  </w:style>
  <w:style w:type="paragraph" w:styleId="37">
    <w:name w:val="toc 9"/>
    <w:basedOn w:val="1"/>
    <w:next w:val="1"/>
    <w:qFormat/>
    <w:locked/>
    <w:uiPriority w:val="99"/>
    <w:pPr>
      <w:widowControl/>
      <w:ind w:left="3400"/>
    </w:pPr>
    <w:rPr>
      <w:kern w:val="0"/>
      <w:szCs w:val="21"/>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9">
    <w:name w:val="Title"/>
    <w:basedOn w:val="1"/>
    <w:link w:val="92"/>
    <w:qFormat/>
    <w:locked/>
    <w:uiPriority w:val="99"/>
    <w:pPr>
      <w:widowControl/>
      <w:jc w:val="center"/>
    </w:pPr>
    <w:rPr>
      <w:b/>
      <w:kern w:val="0"/>
      <w:sz w:val="32"/>
      <w:szCs w:val="32"/>
    </w:rPr>
  </w:style>
  <w:style w:type="paragraph" w:styleId="40">
    <w:name w:val="annotation subject"/>
    <w:basedOn w:val="20"/>
    <w:next w:val="20"/>
    <w:link w:val="69"/>
    <w:qFormat/>
    <w:uiPriority w:val="99"/>
    <w:rPr>
      <w:b/>
      <w:bCs/>
    </w:rPr>
  </w:style>
  <w:style w:type="paragraph" w:styleId="41">
    <w:name w:val="Body Text First Indent"/>
    <w:basedOn w:val="2"/>
    <w:next w:val="35"/>
    <w:qFormat/>
    <w:uiPriority w:val="0"/>
    <w:pPr>
      <w:widowControl/>
      <w:ind w:firstLine="420"/>
      <w:jc w:val="left"/>
    </w:pPr>
    <w:rPr>
      <w:kern w:val="0"/>
      <w:sz w:val="20"/>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99"/>
    <w:rPr>
      <w:rFonts w:cs="Times New Roman"/>
      <w:b/>
      <w:bCs/>
    </w:rPr>
  </w:style>
  <w:style w:type="character" w:styleId="46">
    <w:name w:val="page number"/>
    <w:basedOn w:val="44"/>
    <w:unhideWhenUsed/>
    <w:qFormat/>
    <w:uiPriority w:val="99"/>
    <w:rPr>
      <w:rFonts w:hint="default"/>
      <w:sz w:val="24"/>
      <w:szCs w:val="24"/>
    </w:rPr>
  </w:style>
  <w:style w:type="character" w:styleId="47">
    <w:name w:val="FollowedHyperlink"/>
    <w:basedOn w:val="44"/>
    <w:qFormat/>
    <w:uiPriority w:val="99"/>
    <w:rPr>
      <w:rFonts w:cs="Times New Roman"/>
      <w:color w:val="800080"/>
      <w:u w:val="single"/>
    </w:rPr>
  </w:style>
  <w:style w:type="character" w:styleId="48">
    <w:name w:val="Emphasis"/>
    <w:basedOn w:val="44"/>
    <w:qFormat/>
    <w:locked/>
    <w:uiPriority w:val="99"/>
    <w:rPr>
      <w:rFonts w:cs="Times New Roman"/>
      <w:i/>
      <w:w w:val="100"/>
      <w:sz w:val="21"/>
      <w:shd w:val="clear" w:color="auto" w:fill="auto"/>
    </w:rPr>
  </w:style>
  <w:style w:type="character" w:styleId="49">
    <w:name w:val="Hyperlink"/>
    <w:basedOn w:val="44"/>
    <w:qFormat/>
    <w:uiPriority w:val="99"/>
    <w:rPr>
      <w:rFonts w:cs="Times New Roman"/>
      <w:color w:val="0000FF"/>
      <w:u w:val="single"/>
    </w:rPr>
  </w:style>
  <w:style w:type="character" w:styleId="50">
    <w:name w:val="annotation reference"/>
    <w:basedOn w:val="44"/>
    <w:qFormat/>
    <w:uiPriority w:val="99"/>
    <w:rPr>
      <w:rFonts w:cs="Times New Roman"/>
      <w:sz w:val="21"/>
      <w:szCs w:val="21"/>
    </w:rPr>
  </w:style>
  <w:style w:type="character" w:styleId="51">
    <w:name w:val="HTML Sample"/>
    <w:basedOn w:val="44"/>
    <w:semiHidden/>
    <w:unhideWhenUsed/>
    <w:qFormat/>
    <w:uiPriority w:val="99"/>
    <w:rPr>
      <w:rFonts w:ascii="Courier New" w:hAnsi="Courier New"/>
    </w:rPr>
  </w:style>
  <w:style w:type="paragraph" w:customStyle="1" w:styleId="52">
    <w:name w:val="表名称"/>
    <w:basedOn w:val="10"/>
    <w:qFormat/>
    <w:uiPriority w:val="0"/>
    <w:pPr>
      <w:numPr>
        <w:ilvl w:val="0"/>
        <w:numId w:val="1"/>
      </w:numPr>
      <w:ind w:firstLine="0" w:firstLineChars="0"/>
      <w:jc w:val="center"/>
    </w:pPr>
  </w:style>
  <w:style w:type="character" w:customStyle="1" w:styleId="53">
    <w:name w:val="标题 1 Char"/>
    <w:basedOn w:val="44"/>
    <w:link w:val="7"/>
    <w:qFormat/>
    <w:locked/>
    <w:uiPriority w:val="99"/>
    <w:rPr>
      <w:rFonts w:ascii="Calibri" w:hAnsi="Calibri" w:eastAsia="宋体" w:cs="Times New Roman"/>
      <w:b/>
      <w:bCs/>
      <w:kern w:val="44"/>
      <w:sz w:val="44"/>
      <w:szCs w:val="44"/>
    </w:rPr>
  </w:style>
  <w:style w:type="character" w:customStyle="1" w:styleId="54">
    <w:name w:val="标题 2 Char"/>
    <w:basedOn w:val="44"/>
    <w:link w:val="8"/>
    <w:qFormat/>
    <w:locked/>
    <w:uiPriority w:val="99"/>
    <w:rPr>
      <w:rFonts w:ascii="Cambria" w:hAnsi="Cambria" w:eastAsia="宋体" w:cs="Times New Roman"/>
      <w:b/>
      <w:bCs/>
      <w:sz w:val="32"/>
      <w:szCs w:val="32"/>
    </w:rPr>
  </w:style>
  <w:style w:type="character" w:customStyle="1" w:styleId="55">
    <w:name w:val="标题 3 Char"/>
    <w:basedOn w:val="44"/>
    <w:link w:val="11"/>
    <w:qFormat/>
    <w:locked/>
    <w:uiPriority w:val="99"/>
    <w:rPr>
      <w:rFonts w:ascii="Times New Roman" w:hAnsi="Times New Roman" w:eastAsia="宋体" w:cs="Times New Roman"/>
      <w:b/>
      <w:bCs/>
      <w:kern w:val="0"/>
      <w:sz w:val="32"/>
      <w:szCs w:val="32"/>
    </w:rPr>
  </w:style>
  <w:style w:type="character" w:customStyle="1" w:styleId="56">
    <w:name w:val="标题 4 Char"/>
    <w:basedOn w:val="44"/>
    <w:link w:val="12"/>
    <w:qFormat/>
    <w:locked/>
    <w:uiPriority w:val="99"/>
    <w:rPr>
      <w:rFonts w:ascii="Arial" w:hAnsi="Arial" w:eastAsia="黑体" w:cs="Times New Roman"/>
      <w:b/>
      <w:bCs/>
      <w:kern w:val="0"/>
      <w:sz w:val="28"/>
      <w:szCs w:val="28"/>
    </w:rPr>
  </w:style>
  <w:style w:type="character" w:customStyle="1" w:styleId="57">
    <w:name w:val="标题 5 Char"/>
    <w:basedOn w:val="44"/>
    <w:link w:val="13"/>
    <w:qFormat/>
    <w:locked/>
    <w:uiPriority w:val="99"/>
    <w:rPr>
      <w:rFonts w:ascii="Times New Roman" w:hAnsi="Times New Roman" w:eastAsia="宋体" w:cs="Times New Roman"/>
      <w:b/>
      <w:bCs/>
      <w:kern w:val="0"/>
      <w:sz w:val="28"/>
      <w:szCs w:val="28"/>
    </w:rPr>
  </w:style>
  <w:style w:type="character" w:customStyle="1" w:styleId="58">
    <w:name w:val="标题 6 Char"/>
    <w:basedOn w:val="44"/>
    <w:link w:val="14"/>
    <w:qFormat/>
    <w:locked/>
    <w:uiPriority w:val="99"/>
    <w:rPr>
      <w:rFonts w:ascii="Arial" w:hAnsi="Arial" w:eastAsia="黑体" w:cs="Times New Roman"/>
      <w:b/>
      <w:bCs/>
      <w:kern w:val="0"/>
      <w:sz w:val="24"/>
      <w:szCs w:val="24"/>
    </w:rPr>
  </w:style>
  <w:style w:type="character" w:customStyle="1" w:styleId="59">
    <w:name w:val="标题 7 Char"/>
    <w:basedOn w:val="44"/>
    <w:link w:val="15"/>
    <w:qFormat/>
    <w:locked/>
    <w:uiPriority w:val="99"/>
    <w:rPr>
      <w:rFonts w:ascii="Times New Roman" w:hAnsi="Times New Roman" w:eastAsia="宋体" w:cs="Times New Roman"/>
      <w:b/>
      <w:bCs/>
      <w:kern w:val="0"/>
      <w:sz w:val="24"/>
      <w:szCs w:val="24"/>
    </w:rPr>
  </w:style>
  <w:style w:type="character" w:customStyle="1" w:styleId="60">
    <w:name w:val="标题 8 Char"/>
    <w:basedOn w:val="44"/>
    <w:link w:val="16"/>
    <w:qFormat/>
    <w:locked/>
    <w:uiPriority w:val="99"/>
    <w:rPr>
      <w:rFonts w:ascii="Arial" w:hAnsi="Arial" w:eastAsia="黑体" w:cs="Times New Roman"/>
      <w:kern w:val="0"/>
      <w:sz w:val="24"/>
      <w:szCs w:val="24"/>
    </w:rPr>
  </w:style>
  <w:style w:type="character" w:customStyle="1" w:styleId="61">
    <w:name w:val="标题 9 Char"/>
    <w:basedOn w:val="44"/>
    <w:link w:val="17"/>
    <w:qFormat/>
    <w:locked/>
    <w:uiPriority w:val="99"/>
    <w:rPr>
      <w:rFonts w:ascii="Arial" w:hAnsi="Arial" w:eastAsia="黑体" w:cs="Times New Roman"/>
      <w:kern w:val="0"/>
      <w:sz w:val="21"/>
      <w:szCs w:val="21"/>
    </w:rPr>
  </w:style>
  <w:style w:type="character" w:customStyle="1" w:styleId="62">
    <w:name w:val="文档结构图 Char"/>
    <w:basedOn w:val="44"/>
    <w:link w:val="19"/>
    <w:qFormat/>
    <w:locked/>
    <w:uiPriority w:val="99"/>
    <w:rPr>
      <w:rFonts w:ascii="宋体" w:hAnsi="Calibri" w:eastAsia="宋体" w:cs="Times New Roman"/>
      <w:sz w:val="18"/>
      <w:szCs w:val="18"/>
    </w:rPr>
  </w:style>
  <w:style w:type="character" w:customStyle="1" w:styleId="63">
    <w:name w:val="批注文字 Char"/>
    <w:basedOn w:val="44"/>
    <w:link w:val="20"/>
    <w:qFormat/>
    <w:locked/>
    <w:uiPriority w:val="99"/>
    <w:rPr>
      <w:rFonts w:ascii="Times New Roman" w:hAnsi="Times New Roman" w:eastAsia="宋体" w:cs="Times New Roman"/>
      <w:sz w:val="24"/>
      <w:szCs w:val="24"/>
    </w:rPr>
  </w:style>
  <w:style w:type="character" w:customStyle="1" w:styleId="64">
    <w:name w:val="正文文本缩进 Char"/>
    <w:basedOn w:val="44"/>
    <w:link w:val="6"/>
    <w:qFormat/>
    <w:locked/>
    <w:uiPriority w:val="99"/>
    <w:rPr>
      <w:rFonts w:ascii="Times New Roman" w:hAnsi="Times New Roman" w:eastAsia="宋体" w:cs="Times New Roman"/>
      <w:kern w:val="0"/>
      <w:sz w:val="20"/>
      <w:szCs w:val="20"/>
    </w:rPr>
  </w:style>
  <w:style w:type="character" w:customStyle="1" w:styleId="65">
    <w:name w:val="纯文本 Char"/>
    <w:basedOn w:val="44"/>
    <w:link w:val="24"/>
    <w:qFormat/>
    <w:locked/>
    <w:uiPriority w:val="0"/>
    <w:rPr>
      <w:rFonts w:ascii="宋体" w:hAnsi="Courier New" w:eastAsia="宋体" w:cs="Times New Roman"/>
      <w:sz w:val="21"/>
      <w:szCs w:val="21"/>
    </w:rPr>
  </w:style>
  <w:style w:type="character" w:customStyle="1" w:styleId="66">
    <w:name w:val="批注框文本 Char"/>
    <w:basedOn w:val="44"/>
    <w:link w:val="27"/>
    <w:qFormat/>
    <w:locked/>
    <w:uiPriority w:val="99"/>
    <w:rPr>
      <w:rFonts w:ascii="Calibri" w:hAnsi="Calibri" w:eastAsia="宋体" w:cs="Times New Roman"/>
      <w:sz w:val="18"/>
      <w:szCs w:val="18"/>
    </w:rPr>
  </w:style>
  <w:style w:type="character" w:customStyle="1" w:styleId="67">
    <w:name w:val="页脚 Char"/>
    <w:basedOn w:val="44"/>
    <w:link w:val="28"/>
    <w:qFormat/>
    <w:locked/>
    <w:uiPriority w:val="99"/>
    <w:rPr>
      <w:rFonts w:cs="Times New Roman"/>
      <w:sz w:val="18"/>
      <w:szCs w:val="18"/>
    </w:rPr>
  </w:style>
  <w:style w:type="character" w:customStyle="1" w:styleId="68">
    <w:name w:val="页眉 Char"/>
    <w:basedOn w:val="44"/>
    <w:link w:val="29"/>
    <w:qFormat/>
    <w:locked/>
    <w:uiPriority w:val="99"/>
    <w:rPr>
      <w:rFonts w:cs="Times New Roman"/>
      <w:sz w:val="18"/>
      <w:szCs w:val="18"/>
    </w:rPr>
  </w:style>
  <w:style w:type="character" w:customStyle="1" w:styleId="69">
    <w:name w:val="批注主题 Char"/>
    <w:basedOn w:val="63"/>
    <w:link w:val="40"/>
    <w:qFormat/>
    <w:locked/>
    <w:uiPriority w:val="99"/>
    <w:rPr>
      <w:rFonts w:ascii="Times New Roman" w:hAnsi="Times New Roman" w:eastAsia="宋体" w:cs="Times New Roman"/>
      <w:b/>
      <w:bCs/>
      <w:sz w:val="24"/>
      <w:szCs w:val="24"/>
    </w:rPr>
  </w:style>
  <w:style w:type="paragraph" w:styleId="70">
    <w:name w:val="List Paragraph"/>
    <w:basedOn w:val="1"/>
    <w:qFormat/>
    <w:uiPriority w:val="99"/>
    <w:pPr>
      <w:ind w:firstLine="420" w:firstLineChars="200"/>
    </w:pPr>
  </w:style>
  <w:style w:type="paragraph" w:customStyle="1" w:styleId="71">
    <w:name w:val="TOC 标题1"/>
    <w:basedOn w:val="7"/>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2">
    <w:name w:val="Char Char Char"/>
    <w:basedOn w:val="1"/>
    <w:qFormat/>
    <w:uiPriority w:val="99"/>
    <w:rPr>
      <w:rFonts w:ascii="Tahoma" w:hAnsi="Tahoma"/>
      <w:sz w:val="24"/>
      <w:szCs w:val="20"/>
    </w:rPr>
  </w:style>
  <w:style w:type="paragraph" w:customStyle="1" w:styleId="73">
    <w:name w:val="样式 标题 1 + 四号 居中 段前: 12 磅 段后: 12 磅 行距: 单倍行距"/>
    <w:basedOn w:val="7"/>
    <w:qFormat/>
    <w:uiPriority w:val="99"/>
    <w:pPr>
      <w:adjustRightInd w:val="0"/>
      <w:spacing w:before="240" w:after="240" w:line="240" w:lineRule="auto"/>
      <w:ind w:left="252" w:firstLine="288"/>
      <w:jc w:val="center"/>
      <w:textAlignment w:val="baseline"/>
    </w:pPr>
    <w:rPr>
      <w:rFonts w:ascii="Times New Roman" w:hAnsi="Times New Roman" w:cs="宋体"/>
      <w:sz w:val="28"/>
      <w:szCs w:val="20"/>
    </w:rPr>
  </w:style>
  <w:style w:type="paragraph" w:customStyle="1" w:styleId="74">
    <w:name w:val="样式 标题 4 + 段前: 5 磅 段后: 5 磅 行距: 单倍行距"/>
    <w:basedOn w:val="12"/>
    <w:qFormat/>
    <w:uiPriority w:val="99"/>
    <w:pPr>
      <w:tabs>
        <w:tab w:val="left" w:pos="2880"/>
      </w:tabs>
      <w:spacing w:before="100" w:after="100" w:line="240" w:lineRule="auto"/>
      <w:ind w:left="2880" w:hanging="720"/>
    </w:pPr>
    <w:rPr>
      <w:rFonts w:cs="宋体"/>
      <w:szCs w:val="20"/>
    </w:rPr>
  </w:style>
  <w:style w:type="paragraph" w:customStyle="1" w:styleId="75">
    <w:name w:val="样式 标题 3h3H3sect1.2.3 + 五号 段前: 6 磅 段后: 6 磅 行距: 单倍行距"/>
    <w:basedOn w:val="11"/>
    <w:qFormat/>
    <w:uiPriority w:val="99"/>
    <w:pPr>
      <w:spacing w:before="120" w:after="120" w:line="240" w:lineRule="auto"/>
    </w:pPr>
    <w:rPr>
      <w:sz w:val="21"/>
      <w:szCs w:val="20"/>
    </w:rPr>
  </w:style>
  <w:style w:type="paragraph" w:customStyle="1" w:styleId="76">
    <w:name w:val="样式1"/>
    <w:basedOn w:val="1"/>
    <w:link w:val="86"/>
    <w:qFormat/>
    <w:uiPriority w:val="0"/>
    <w:pPr>
      <w:adjustRightInd w:val="0"/>
      <w:textAlignment w:val="baseline"/>
    </w:pPr>
    <w:rPr>
      <w:rFonts w:ascii="宋体" w:hAnsi="宋体"/>
      <w:kern w:val="0"/>
      <w:szCs w:val="21"/>
    </w:rPr>
  </w:style>
  <w:style w:type="character" w:customStyle="1" w:styleId="77">
    <w:name w:val="页眉 Char1"/>
    <w:basedOn w:val="44"/>
    <w:qFormat/>
    <w:uiPriority w:val="99"/>
    <w:rPr>
      <w:rFonts w:cs="Times New Roman"/>
      <w:sz w:val="18"/>
      <w:szCs w:val="18"/>
    </w:rPr>
  </w:style>
  <w:style w:type="paragraph" w:customStyle="1" w:styleId="78">
    <w:name w:val="WPSOffice手动目录 1"/>
    <w:qFormat/>
    <w:uiPriority w:val="99"/>
    <w:rPr>
      <w:rFonts w:ascii="Calibri" w:hAnsi="Calibri" w:eastAsia="宋体" w:cs="Times New Roman"/>
      <w:lang w:val="en-US" w:eastAsia="zh-CN" w:bidi="ar-SA"/>
    </w:rPr>
  </w:style>
  <w:style w:type="paragraph" w:customStyle="1" w:styleId="79">
    <w:name w:val="WPSOffice手动目录 2"/>
    <w:qFormat/>
    <w:uiPriority w:val="99"/>
    <w:pPr>
      <w:ind w:left="200" w:leftChars="200"/>
    </w:pPr>
    <w:rPr>
      <w:rFonts w:ascii="Calibri" w:hAnsi="Calibri" w:eastAsia="宋体" w:cs="Times New Roman"/>
      <w:lang w:val="en-US" w:eastAsia="zh-CN" w:bidi="ar-SA"/>
    </w:rPr>
  </w:style>
  <w:style w:type="paragraph" w:customStyle="1" w:styleId="80">
    <w:name w:val="TOC 标题2"/>
    <w:basedOn w:val="7"/>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81">
    <w:name w:val="明显强调1"/>
    <w:basedOn w:val="44"/>
    <w:qFormat/>
    <w:uiPriority w:val="99"/>
    <w:rPr>
      <w:i/>
      <w:color w:val="5B9BD5"/>
      <w:w w:val="100"/>
      <w:sz w:val="21"/>
      <w:shd w:val="clear" w:color="auto" w:fill="auto"/>
    </w:rPr>
  </w:style>
  <w:style w:type="character" w:customStyle="1" w:styleId="82">
    <w:name w:val="日期 Char"/>
    <w:basedOn w:val="44"/>
    <w:link w:val="26"/>
    <w:qFormat/>
    <w:uiPriority w:val="99"/>
    <w:rPr>
      <w:rFonts w:ascii="Calibri" w:hAnsi="Calibri"/>
      <w:kern w:val="2"/>
      <w:sz w:val="21"/>
      <w:szCs w:val="22"/>
    </w:rPr>
  </w:style>
  <w:style w:type="character" w:customStyle="1" w:styleId="83">
    <w:name w:val="文档结构图 Char1"/>
    <w:basedOn w:val="44"/>
    <w:semiHidden/>
    <w:qFormat/>
    <w:uiPriority w:val="99"/>
    <w:rPr>
      <w:rFonts w:ascii="宋体" w:eastAsia="宋体"/>
      <w:sz w:val="18"/>
      <w:szCs w:val="18"/>
    </w:rPr>
  </w:style>
  <w:style w:type="character" w:customStyle="1" w:styleId="84">
    <w:name w:val="批注主题 Char1"/>
    <w:basedOn w:val="63"/>
    <w:semiHidden/>
    <w:qFormat/>
    <w:uiPriority w:val="99"/>
    <w:rPr>
      <w:rFonts w:ascii="Calibri" w:hAnsi="Calibri" w:eastAsia="宋体" w:cs="Times New Roman"/>
      <w:b/>
      <w:bCs/>
      <w:sz w:val="24"/>
      <w:szCs w:val="24"/>
    </w:rPr>
  </w:style>
  <w:style w:type="character" w:customStyle="1" w:styleId="85">
    <w:name w:val="批注框文本 Char1"/>
    <w:basedOn w:val="44"/>
    <w:semiHidden/>
    <w:qFormat/>
    <w:uiPriority w:val="99"/>
    <w:rPr>
      <w:sz w:val="18"/>
      <w:szCs w:val="18"/>
    </w:rPr>
  </w:style>
  <w:style w:type="character" w:customStyle="1" w:styleId="86">
    <w:name w:val="样式1 Char"/>
    <w:link w:val="76"/>
    <w:qFormat/>
    <w:uiPriority w:val="0"/>
    <w:rPr>
      <w:rFonts w:ascii="宋体" w:hAnsi="宋体"/>
      <w:sz w:val="21"/>
      <w:szCs w:val="21"/>
    </w:rPr>
  </w:style>
  <w:style w:type="paragraph" w:customStyle="1" w:styleId="87">
    <w:name w:val="列出段落1"/>
    <w:basedOn w:val="1"/>
    <w:qFormat/>
    <w:uiPriority w:val="34"/>
    <w:pPr>
      <w:widowControl/>
      <w:spacing w:line="360" w:lineRule="auto"/>
      <w:ind w:firstLine="420" w:firstLineChars="200"/>
    </w:pPr>
  </w:style>
  <w:style w:type="character" w:customStyle="1" w:styleId="88">
    <w:name w:val="日期 Char1"/>
    <w:basedOn w:val="44"/>
    <w:semiHidden/>
    <w:qFormat/>
    <w:uiPriority w:val="99"/>
  </w:style>
  <w:style w:type="character" w:customStyle="1" w:styleId="89">
    <w:name w:val="未处理的提及1"/>
    <w:basedOn w:val="44"/>
    <w:semiHidden/>
    <w:unhideWhenUsed/>
    <w:qFormat/>
    <w:uiPriority w:val="99"/>
    <w:rPr>
      <w:color w:val="808080"/>
      <w:shd w:val="clear" w:color="auto" w:fill="E6E6E6"/>
    </w:rPr>
  </w:style>
  <w:style w:type="paragraph" w:customStyle="1" w:styleId="90">
    <w:name w:val="正文1"/>
    <w:qFormat/>
    <w:uiPriority w:val="0"/>
    <w:pPr>
      <w:widowControl w:val="0"/>
      <w:jc w:val="both"/>
    </w:pPr>
    <w:rPr>
      <w:rFonts w:ascii="Calibri" w:hAnsi="Calibri" w:eastAsia="宋体" w:cs="Times New Roman"/>
      <w:kern w:val="2"/>
      <w:sz w:val="21"/>
      <w:szCs w:val="22"/>
      <w:lang w:val="en-US" w:eastAsia="zh-CN" w:bidi="ar-SA"/>
    </w:rPr>
  </w:style>
  <w:style w:type="paragraph" w:styleId="91">
    <w:name w:val="No Spacing"/>
    <w:qFormat/>
    <w:uiPriority w:val="99"/>
    <w:pPr>
      <w:jc w:val="both"/>
    </w:pPr>
    <w:rPr>
      <w:rFonts w:ascii="Calibri" w:hAnsi="Calibri" w:eastAsia="宋体" w:cs="Times New Roman"/>
      <w:sz w:val="21"/>
      <w:szCs w:val="21"/>
      <w:lang w:val="en-US" w:eastAsia="zh-CN" w:bidi="ar-SA"/>
    </w:rPr>
  </w:style>
  <w:style w:type="character" w:customStyle="1" w:styleId="92">
    <w:name w:val="标题 Char"/>
    <w:basedOn w:val="44"/>
    <w:link w:val="39"/>
    <w:qFormat/>
    <w:uiPriority w:val="99"/>
    <w:rPr>
      <w:rFonts w:ascii="Calibri" w:hAnsi="Calibri"/>
      <w:b/>
      <w:sz w:val="32"/>
      <w:szCs w:val="32"/>
    </w:rPr>
  </w:style>
  <w:style w:type="character" w:customStyle="1" w:styleId="93">
    <w:name w:val="副标题 Char"/>
    <w:basedOn w:val="44"/>
    <w:link w:val="32"/>
    <w:qFormat/>
    <w:uiPriority w:val="99"/>
    <w:rPr>
      <w:rFonts w:ascii="Calibri" w:hAnsi="Calibri"/>
      <w:sz w:val="24"/>
      <w:szCs w:val="24"/>
    </w:rPr>
  </w:style>
  <w:style w:type="character" w:customStyle="1" w:styleId="94">
    <w:name w:val="不明显强调1"/>
    <w:basedOn w:val="44"/>
    <w:qFormat/>
    <w:uiPriority w:val="99"/>
    <w:rPr>
      <w:i/>
      <w:color w:val="404040"/>
      <w:w w:val="100"/>
      <w:sz w:val="21"/>
      <w:shd w:val="clear" w:color="auto" w:fill="auto"/>
    </w:rPr>
  </w:style>
  <w:style w:type="paragraph" w:styleId="95">
    <w:name w:val="Quote"/>
    <w:basedOn w:val="1"/>
    <w:link w:val="96"/>
    <w:qFormat/>
    <w:uiPriority w:val="99"/>
    <w:pPr>
      <w:widowControl/>
      <w:ind w:left="864" w:right="864"/>
      <w:jc w:val="center"/>
    </w:pPr>
    <w:rPr>
      <w:i/>
      <w:color w:val="404040"/>
      <w:kern w:val="0"/>
      <w:szCs w:val="21"/>
    </w:rPr>
  </w:style>
  <w:style w:type="character" w:customStyle="1" w:styleId="96">
    <w:name w:val="引用 Char"/>
    <w:basedOn w:val="44"/>
    <w:link w:val="95"/>
    <w:qFormat/>
    <w:uiPriority w:val="99"/>
    <w:rPr>
      <w:rFonts w:ascii="Calibri" w:hAnsi="Calibri"/>
      <w:i/>
      <w:color w:val="404040"/>
      <w:sz w:val="21"/>
      <w:szCs w:val="21"/>
    </w:rPr>
  </w:style>
  <w:style w:type="paragraph" w:styleId="97">
    <w:name w:val="Intense Quote"/>
    <w:basedOn w:val="1"/>
    <w:link w:val="98"/>
    <w:qFormat/>
    <w:uiPriority w:val="99"/>
    <w:pPr>
      <w:widowControl/>
      <w:ind w:left="950" w:right="950"/>
      <w:jc w:val="center"/>
    </w:pPr>
    <w:rPr>
      <w:i/>
      <w:color w:val="5B9BD5"/>
      <w:kern w:val="0"/>
      <w:szCs w:val="21"/>
    </w:rPr>
  </w:style>
  <w:style w:type="character" w:customStyle="1" w:styleId="98">
    <w:name w:val="明显引用 Char"/>
    <w:basedOn w:val="44"/>
    <w:link w:val="97"/>
    <w:qFormat/>
    <w:uiPriority w:val="99"/>
    <w:rPr>
      <w:rFonts w:ascii="Calibri" w:hAnsi="Calibri"/>
      <w:i/>
      <w:color w:val="5B9BD5"/>
      <w:sz w:val="21"/>
      <w:szCs w:val="21"/>
    </w:rPr>
  </w:style>
  <w:style w:type="character" w:customStyle="1" w:styleId="99">
    <w:name w:val="不明显参考1"/>
    <w:basedOn w:val="44"/>
    <w:qFormat/>
    <w:uiPriority w:val="99"/>
    <w:rPr>
      <w:smallCaps/>
      <w:color w:val="5A5A5A"/>
      <w:w w:val="100"/>
      <w:sz w:val="21"/>
      <w:shd w:val="clear" w:color="auto" w:fill="auto"/>
    </w:rPr>
  </w:style>
  <w:style w:type="character" w:customStyle="1" w:styleId="100">
    <w:name w:val="明显参考1"/>
    <w:basedOn w:val="44"/>
    <w:qFormat/>
    <w:uiPriority w:val="99"/>
    <w:rPr>
      <w:b/>
      <w:smallCaps/>
      <w:color w:val="5B9BD5"/>
      <w:w w:val="100"/>
      <w:sz w:val="21"/>
      <w:shd w:val="clear" w:color="auto" w:fill="auto"/>
    </w:rPr>
  </w:style>
  <w:style w:type="character" w:customStyle="1" w:styleId="101">
    <w:name w:val="书籍标题1"/>
    <w:basedOn w:val="44"/>
    <w:qFormat/>
    <w:uiPriority w:val="99"/>
    <w:rPr>
      <w:b/>
      <w:i/>
      <w:w w:val="100"/>
      <w:sz w:val="21"/>
      <w:shd w:val="clear" w:color="auto" w:fill="auto"/>
    </w:rPr>
  </w:style>
  <w:style w:type="paragraph" w:customStyle="1" w:styleId="102">
    <w:name w:val="TOC 标题3"/>
    <w:basedOn w:val="7"/>
    <w:qFormat/>
    <w:uiPriority w:val="39"/>
    <w:pPr>
      <w:keepNext w:val="0"/>
      <w:keepLines w:val="0"/>
      <w:widowControl/>
      <w:spacing w:before="0" w:after="0" w:line="240" w:lineRule="auto"/>
      <w:jc w:val="left"/>
      <w:outlineLvl w:val="9"/>
    </w:pPr>
    <w:rPr>
      <w:b w:val="0"/>
      <w:bCs w:val="0"/>
      <w:color w:val="2E74B5"/>
      <w:kern w:val="0"/>
      <w:sz w:val="32"/>
      <w:szCs w:val="32"/>
    </w:rPr>
  </w:style>
  <w:style w:type="character" w:customStyle="1" w:styleId="103">
    <w:name w:val="正文首行缩进 2 Char"/>
    <w:basedOn w:val="64"/>
    <w:link w:val="5"/>
    <w:semiHidden/>
    <w:qFormat/>
    <w:uiPriority w:val="99"/>
    <w:rPr>
      <w:rFonts w:ascii="Calibri" w:hAnsi="Calibri" w:eastAsia="宋体" w:cs="Times New Roman"/>
      <w:kern w:val="0"/>
      <w:sz w:val="21"/>
      <w:szCs w:val="21"/>
    </w:rPr>
  </w:style>
  <w:style w:type="character" w:customStyle="1" w:styleId="104">
    <w:name w:val="col-lg-31"/>
    <w:basedOn w:val="44"/>
    <w:qFormat/>
    <w:uiPriority w:val="0"/>
    <w:rPr>
      <w:rFonts w:hint="eastAsia" w:ascii="微软雅黑" w:hAnsi="微软雅黑" w:eastAsia="微软雅黑"/>
    </w:rPr>
  </w:style>
  <w:style w:type="character" w:customStyle="1" w:styleId="105">
    <w:name w:val="control-label6"/>
    <w:basedOn w:val="44"/>
    <w:qFormat/>
    <w:uiPriority w:val="0"/>
    <w:rPr>
      <w:rFonts w:hint="eastAsia" w:ascii="微软雅黑" w:hAnsi="微软雅黑" w:eastAsia="微软雅黑"/>
    </w:rPr>
  </w:style>
  <w:style w:type="paragraph" w:customStyle="1" w:styleId="106">
    <w:name w:val="Normal"/>
    <w:qFormat/>
    <w:uiPriority w:val="0"/>
    <w:pPr>
      <w:widowControl w:val="0"/>
      <w:jc w:val="both"/>
    </w:pPr>
    <w:rPr>
      <w:rFonts w:ascii="Times New Roman" w:hAnsi="Times New Roman" w:eastAsia="Times New Roman" w:cs="Times New Roman"/>
      <w:lang w:val="en-US" w:eastAsia="zh-CN" w:bidi="ar-SA"/>
    </w:rPr>
  </w:style>
  <w:style w:type="paragraph" w:customStyle="1" w:styleId="107">
    <w:name w:val="Normal_1"/>
    <w:unhideWhenUsed/>
    <w:qFormat/>
    <w:uiPriority w:val="0"/>
    <w:pPr>
      <w:widowControl w:val="0"/>
      <w:spacing w:beforeLines="0" w:afterLines="0"/>
      <w:jc w:val="both"/>
    </w:pPr>
    <w:rPr>
      <w:rFonts w:hint="default" w:ascii="Calibri" w:hAnsi="Calibri" w:eastAsia="Times New Roman" w:cs="Times New Roman"/>
      <w:kern w:val="2"/>
      <w:sz w:val="21"/>
      <w:szCs w:val="22"/>
      <w:lang w:val="en-US" w:eastAsia="zh-CN" w:bidi="ar-SA"/>
    </w:rPr>
  </w:style>
  <w:style w:type="paragraph" w:customStyle="1" w:styleId="108">
    <w:name w:val="Normal_1_0"/>
    <w:unhideWhenUsed/>
    <w:qFormat/>
    <w:uiPriority w:val="0"/>
    <w:pPr>
      <w:widowControl w:val="0"/>
      <w:spacing w:beforeLines="0" w:afterLines="0"/>
      <w:jc w:val="both"/>
    </w:pPr>
    <w:rPr>
      <w:rFonts w:hint="default" w:ascii="Calibri" w:hAnsi="Calibri" w:eastAsia="Times New Roman" w:cs="Times New Roman"/>
      <w:kern w:val="2"/>
      <w:sz w:val="21"/>
      <w:szCs w:val="22"/>
      <w:lang w:val="en-US" w:eastAsia="zh-CN" w:bidi="ar-SA"/>
    </w:rPr>
  </w:style>
  <w:style w:type="paragraph" w:customStyle="1" w:styleId="109">
    <w:name w:val="Table Paragraph"/>
    <w:basedOn w:val="1"/>
    <w:unhideWhenUsed/>
    <w:qFormat/>
    <w:uiPriority w:val="1"/>
    <w:pPr>
      <w:spacing w:beforeLines="0" w:afterLines="0"/>
    </w:pPr>
    <w:rPr>
      <w:rFonts w:hint="default"/>
      <w:sz w:val="22"/>
      <w:szCs w:val="22"/>
    </w:rPr>
  </w:style>
  <w:style w:type="paragraph" w:customStyle="1" w:styleId="110">
    <w:name w:val="正文_1_0"/>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customStyle="1" w:styleId="111">
    <w:name w:val="普通正文"/>
    <w:basedOn w:val="1"/>
    <w:unhideWhenUsed/>
    <w:qFormat/>
    <w:uiPriority w:val="0"/>
    <w:pPr>
      <w:adjustRightInd w:val="0"/>
      <w:spacing w:before="120" w:beforeLines="0" w:after="120" w:afterLines="0" w:line="360" w:lineRule="auto"/>
      <w:ind w:firstLine="480"/>
      <w:textAlignment w:val="baseline"/>
    </w:pPr>
    <w:rPr>
      <w:rFonts w:hint="default" w:ascii="Arial" w:hAnsi="Arial"/>
      <w:sz w:val="24"/>
      <w:szCs w:val="24"/>
    </w:rPr>
  </w:style>
  <w:style w:type="paragraph" w:customStyle="1" w:styleId="112">
    <w:name w:val="样式 标题 2 + Times New Roman 四号 非加粗 段前: 5 磅 段后: 0 磅 行距: 固定值 20..."/>
    <w:basedOn w:val="8"/>
    <w:unhideWhenUsed/>
    <w:qFormat/>
    <w:uiPriority w:val="0"/>
    <w:pPr>
      <w:spacing w:before="100" w:beforeLines="0" w:afterLines="0" w:line="400" w:lineRule="exact"/>
    </w:pPr>
    <w:rPr>
      <w:rFonts w:hint="default" w:ascii="Times New Roman" w:hAnsi="Times New Roman" w:cs="宋体"/>
      <w:b w:val="0"/>
      <w:sz w:val="28"/>
      <w:szCs w:val="20"/>
      <w:lang w:bidi="ar-SA"/>
    </w:rPr>
  </w:style>
  <w:style w:type="paragraph" w:customStyle="1" w:styleId="113">
    <w:name w:val="表格文字"/>
    <w:basedOn w:val="1"/>
    <w:qFormat/>
    <w:uiPriority w:val="0"/>
    <w:pPr>
      <w:spacing w:before="25" w:beforeLines="0" w:after="25" w:afterLines="0"/>
      <w:jc w:val="left"/>
    </w:pPr>
    <w:rPr>
      <w:bCs/>
      <w:spacing w:val="10"/>
      <w:kern w:val="0"/>
      <w:sz w:val="24"/>
      <w:szCs w:val="20"/>
    </w:rPr>
  </w:style>
  <w:style w:type="paragraph" w:customStyle="1" w:styleId="114">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CB65C-DC77-4775-860D-40DCDD1F6E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31440</Words>
  <Characters>33344</Characters>
  <Lines>788</Lines>
  <Paragraphs>221</Paragraphs>
  <TotalTime>32</TotalTime>
  <ScaleCrop>false</ScaleCrop>
  <LinksUpToDate>false</LinksUpToDate>
  <CharactersWithSpaces>38534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2020-09-17T03:23:00Z</dcterms:created>
  <dc:creator>于卫民[ywm]</dc:creator>
  <cp:lastModifiedBy>xzfw009</cp:lastModifiedBy>
  <cp:lastPrinted>2022-03-26T09:47:00Z</cp:lastPrinted>
  <dcterms:modified xsi:type="dcterms:W3CDTF">2025-06-24T03:38:44Z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AD942AB023D74C32B0EB52AC1329B51B</vt:lpwstr>
  </property>
  <property fmtid="{D5CDD505-2E9C-101B-9397-08002B2CF9AE}" pid="4" name="KSOTemplateDocerSaveRecord">
    <vt:lpwstr>eyJoZGlkIjoiNTgxMjJlYzQ0ZjBhZjVkYjBhZDg2MTFiYWM0MTIxODkiLCJ1c2VySWQiOiIzNzA5MDU4NTcifQ==</vt:lpwstr>
  </property>
</Properties>
</file>