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Times New Roman"/>
          <w:color w:val="000000"/>
          <w:sz w:val="36"/>
          <w:szCs w:val="36"/>
        </w:rPr>
      </w:pPr>
      <w:r>
        <w:rPr>
          <w:rFonts w:hint="eastAsia" w:ascii="方正小标宋_GBK" w:hAnsi="仿宋" w:eastAsia="方正小标宋_GBK" w:cs="Times New Roman"/>
          <w:color w:val="000000"/>
          <w:sz w:val="36"/>
          <w:szCs w:val="36"/>
        </w:rPr>
        <w:t>克拉玛依市独山子人民医院</w:t>
      </w:r>
    </w:p>
    <w:p>
      <w:pPr>
        <w:jc w:val="center"/>
        <w:rPr>
          <w:rFonts w:ascii="仿宋_GB2312" w:hAnsi="仿宋" w:eastAsia="仿宋_GB2312"/>
          <w:sz w:val="32"/>
          <w:szCs w:val="32"/>
        </w:rPr>
      </w:pPr>
      <w:r>
        <w:rPr>
          <w:rFonts w:hint="eastAsia" w:ascii="方正小标宋_GBK" w:hAnsi="仿宋" w:eastAsia="方正小标宋_GBK" w:cs="Times New Roman"/>
          <w:color w:val="000000"/>
          <w:sz w:val="36"/>
          <w:szCs w:val="36"/>
          <w:lang w:eastAsia="zh-CN"/>
        </w:rPr>
        <w:t>胸腔镜手术器械</w:t>
      </w:r>
      <w:r>
        <w:rPr>
          <w:rFonts w:hint="eastAsia" w:ascii="方正小标宋_GBK" w:eastAsia="方正小标宋_GBK"/>
          <w:sz w:val="36"/>
          <w:szCs w:val="36"/>
        </w:rPr>
        <w:t>采购项目</w:t>
      </w:r>
    </w:p>
    <w:p>
      <w:pPr>
        <w:pStyle w:val="12"/>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投标人资格条件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 xml:space="preserve">凡是被纳入“信用中国”网站（www.creditchina.gov.cn）信用记录失信被执行人、重大税收违法案件当事人名单的投标人不允许参加投标（请提供网上截图资料并加盖单位公章）。 </w:t>
      </w:r>
      <w:r>
        <w:rPr>
          <w:rFonts w:ascii="仿宋_GB2312" w:hAnsi="仿宋" w:eastAsia="仿宋_GB2312" w:cs="Times New Roman"/>
          <w:sz w:val="32"/>
          <w:szCs w:val="32"/>
        </w:rPr>
        <w:tab/>
      </w:r>
      <w:r>
        <w:rPr>
          <w:rFonts w:ascii="仿宋_GB2312" w:hAnsi="仿宋" w:eastAsia="仿宋_GB2312" w:cs="Times New Roman"/>
          <w:sz w:val="32"/>
          <w:szCs w:val="32"/>
        </w:rPr>
        <w:tab/>
      </w:r>
    </w:p>
    <w:p>
      <w:pPr>
        <w:tabs>
          <w:tab w:val="left" w:pos="1134"/>
        </w:tabs>
        <w:snapToGrid w:val="0"/>
        <w:spacing w:line="460" w:lineRule="exact"/>
        <w:ind w:left="480"/>
        <w:rPr>
          <w:rFonts w:ascii="仿宋_GB2312" w:hAnsi="仿宋" w:eastAsia="仿宋_GB2312"/>
          <w:sz w:val="32"/>
          <w:szCs w:val="32"/>
        </w:rPr>
      </w:pPr>
      <w:r>
        <w:rPr>
          <w:rFonts w:hint="eastAsia" w:ascii="仿宋_GB2312" w:hAnsi="仿宋" w:eastAsia="仿宋_GB2312"/>
          <w:sz w:val="32"/>
          <w:szCs w:val="32"/>
        </w:rPr>
        <w:t>（二）特定资格条件</w:t>
      </w:r>
    </w:p>
    <w:p>
      <w:pPr>
        <w:spacing w:line="4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医疗器械经营许可证</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（三）联合体投标</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本项目不接受联合体投标</w:t>
      </w:r>
    </w:p>
    <w:p>
      <w:pPr>
        <w:pStyle w:val="12"/>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项目技术规格、数量及质量要求</w:t>
      </w:r>
    </w:p>
    <w:p>
      <w:pPr>
        <w:numPr>
          <w:ilvl w:val="0"/>
          <w:numId w:val="3"/>
        </w:numPr>
        <w:spacing w:line="460" w:lineRule="exact"/>
        <w:ind w:left="640"/>
        <w:rPr>
          <w:rFonts w:hint="eastAsia" w:ascii="仿宋_GB2312" w:hAnsi="仿宋" w:eastAsia="仿宋_GB2312" w:cs="Times New Roman"/>
          <w:color w:val="000000"/>
          <w:sz w:val="32"/>
          <w:szCs w:val="32"/>
        </w:rPr>
      </w:pPr>
      <w:bookmarkStart w:id="0" w:name="_Toc438456195"/>
      <w:r>
        <w:rPr>
          <w:rFonts w:hint="eastAsia" w:ascii="仿宋_GB2312" w:hAnsi="仿宋" w:eastAsia="仿宋_GB2312" w:cs="Times New Roman"/>
          <w:color w:val="000000"/>
          <w:sz w:val="32"/>
          <w:szCs w:val="32"/>
        </w:rPr>
        <w:t>采购项目一览表</w:t>
      </w:r>
      <w:bookmarkEnd w:id="0"/>
    </w:p>
    <w:p>
      <w:pPr>
        <w:widowControl w:val="0"/>
        <w:numPr>
          <w:ilvl w:val="0"/>
          <w:numId w:val="0"/>
        </w:numPr>
        <w:spacing w:line="460" w:lineRule="exact"/>
        <w:jc w:val="center"/>
        <w:rPr>
          <w:rFonts w:hint="eastAsia" w:ascii="仿宋_GB2312" w:hAnsi="仿宋" w:eastAsia="仿宋_GB2312" w:cs="Times New Roman"/>
          <w:color w:val="000000"/>
          <w:sz w:val="32"/>
          <w:szCs w:val="32"/>
          <w:lang w:val="en-US" w:eastAsia="zh-CN"/>
        </w:rPr>
      </w:pPr>
    </w:p>
    <w:p>
      <w:pPr>
        <w:widowControl w:val="0"/>
        <w:numPr>
          <w:ilvl w:val="0"/>
          <w:numId w:val="0"/>
        </w:numPr>
        <w:spacing w:line="460" w:lineRule="exact"/>
        <w:jc w:val="both"/>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pict>
          <v:shape id="_x0000_s1027" o:spid="_x0000_s1027" o:spt="75" type="#_x0000_t75" style="position:absolute;left:0pt;margin-left:130.5pt;margin-top:1.9pt;height:66pt;width:72.75pt;mso-wrap-distance-bottom:0pt;mso-wrap-distance-left:9pt;mso-wrap-distance-right:9pt;mso-wrap-distance-top:0pt;z-index:251658240;mso-width-relative:page;mso-height-relative:page;" o:ole="t" filled="f" o:preferrelative="t" stroked="f" coordsize="21600,21600">
            <v:path/>
            <v:fill on="f" focussize="0,0"/>
            <v:stroke on="f"/>
            <v:imagedata r:id="rId5" o:title=""/>
            <o:lock v:ext="edit" aspectratio="t"/>
            <w10:wrap type="square"/>
          </v:shape>
          <o:OLEObject Type="Embed" ProgID="Excel.Sheet.12" ShapeID="_x0000_s1027" DrawAspect="Icon" ObjectID="_1468075725" r:id="rId4">
            <o:LockedField>false</o:LockedField>
          </o:OLEObject>
        </w:pict>
      </w:r>
      <w:r>
        <w:rPr>
          <w:rFonts w:hint="eastAsia" w:ascii="仿宋_GB2312" w:hAnsi="仿宋" w:eastAsia="仿宋_GB2312" w:cs="Times New Roman"/>
          <w:color w:val="000000"/>
          <w:sz w:val="32"/>
          <w:szCs w:val="32"/>
          <w:lang w:val="en-US" w:eastAsia="zh-CN"/>
        </w:rPr>
        <w:t xml:space="preserve">                   </w:t>
      </w:r>
    </w:p>
    <w:p>
      <w:pPr>
        <w:widowControl w:val="0"/>
        <w:numPr>
          <w:ilvl w:val="0"/>
          <w:numId w:val="0"/>
        </w:numPr>
        <w:spacing w:line="240" w:lineRule="auto"/>
        <w:jc w:val="both"/>
        <w:rPr>
          <w:rFonts w:hint="eastAsia" w:ascii="仿宋_GB2312" w:hAnsi="仿宋" w:eastAsia="仿宋_GB2312" w:cs="Times New Roman"/>
          <w:color w:val="000000"/>
          <w:sz w:val="32"/>
          <w:szCs w:val="32"/>
          <w:lang w:val="en-US" w:eastAsia="zh-CN"/>
        </w:rPr>
      </w:pPr>
    </w:p>
    <w:p>
      <w:pPr>
        <w:widowControl w:val="0"/>
        <w:numPr>
          <w:ilvl w:val="0"/>
          <w:numId w:val="0"/>
        </w:numPr>
        <w:spacing w:line="460" w:lineRule="exact"/>
        <w:jc w:val="both"/>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 xml:space="preserve">   </w:t>
      </w:r>
    </w:p>
    <w:p>
      <w:pPr>
        <w:numPr>
          <w:ilvl w:val="0"/>
          <w:numId w:val="0"/>
        </w:numPr>
        <w:spacing w:line="240" w:lineRule="auto"/>
        <w:jc w:val="center"/>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drawing>
          <wp:inline distT="0" distB="0" distL="114300" distR="114300">
            <wp:extent cx="5269230" cy="4095750"/>
            <wp:effectExtent l="0" t="0" r="7620" b="0"/>
            <wp:docPr id="1" name="图片 1" descr="924db0233e96ce0cab99486af504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4db0233e96ce0cab99486af504daf"/>
                    <pic:cNvPicPr>
                      <a:picLocks noChangeAspect="1"/>
                    </pic:cNvPicPr>
                  </pic:nvPicPr>
                  <pic:blipFill>
                    <a:blip r:embed="rId6"/>
                    <a:stretch>
                      <a:fillRect/>
                    </a:stretch>
                  </pic:blipFill>
                  <pic:spPr>
                    <a:xfrm>
                      <a:off x="0" y="0"/>
                      <a:ext cx="5269230" cy="4095750"/>
                    </a:xfrm>
                    <a:prstGeom prst="rect">
                      <a:avLst/>
                    </a:prstGeom>
                  </pic:spPr>
                </pic:pic>
              </a:graphicData>
            </a:graphic>
          </wp:inline>
        </w:drawing>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（二）是否接受进口产品投标</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1.本项目不接受进口产品投标（进口产品是指通过中国海关报关，验放进入中国境内，且产自关境外的产品）。</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（三）项目基本情况和采购标的需实现的功能或目标</w:t>
      </w:r>
    </w:p>
    <w:p>
      <w:pPr>
        <w:spacing w:line="4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详见采购项目一临览表</w:t>
      </w:r>
    </w:p>
    <w:p>
      <w:pPr>
        <w:spacing w:line="4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color w:val="000000"/>
          <w:sz w:val="32"/>
          <w:szCs w:val="32"/>
        </w:rPr>
        <w:t>（四）</w:t>
      </w:r>
      <w:r>
        <w:rPr>
          <w:rFonts w:hint="eastAsia" w:ascii="仿宋_GB2312" w:hAnsi="仿宋" w:eastAsia="仿宋_GB2312" w:cs="Times New Roman"/>
          <w:sz w:val="32"/>
          <w:szCs w:val="32"/>
        </w:rPr>
        <w:t>货物技术及服务标准</w:t>
      </w:r>
    </w:p>
    <w:p>
      <w:pPr>
        <w:spacing w:line="460" w:lineRule="exact"/>
        <w:ind w:firstLine="566" w:firstLineChars="177"/>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1、采购人发出供货需求后，投标人在14天内配送至采购人指定地点。</w:t>
      </w:r>
    </w:p>
    <w:p>
      <w:pPr>
        <w:spacing w:line="460" w:lineRule="exact"/>
        <w:ind w:firstLine="566" w:firstLineChars="177"/>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2、具备货物的合格证、出库单、配送货物时货票同行。</w:t>
      </w:r>
    </w:p>
    <w:p>
      <w:pPr>
        <w:spacing w:line="460" w:lineRule="exact"/>
        <w:ind w:firstLine="566" w:firstLineChars="177"/>
        <w:rPr>
          <w:rFonts w:hint="eastAsia" w:ascii="仿宋_GB2312" w:hAnsi="仿宋" w:eastAsia="仿宋_GB2312" w:cs="Times New Roman"/>
          <w:sz w:val="32"/>
          <w:szCs w:val="32"/>
        </w:rPr>
      </w:pPr>
      <w:r>
        <w:rPr>
          <w:rFonts w:hint="eastAsia" w:ascii="仿宋_GB2312" w:hAnsi="仿宋" w:eastAsia="仿宋_GB2312" w:cs="Times New Roman"/>
          <w:color w:val="000000"/>
          <w:sz w:val="32"/>
          <w:szCs w:val="32"/>
          <w:lang w:val="en-US" w:eastAsia="zh-CN"/>
        </w:rPr>
        <w:t>3、履行期限为一年。</w:t>
      </w:r>
    </w:p>
    <w:p>
      <w:pPr>
        <w:pStyle w:val="12"/>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交货期</w:t>
      </w:r>
    </w:p>
    <w:p>
      <w:pPr>
        <w:autoSpaceDE w:val="0"/>
        <w:autoSpaceDN w:val="0"/>
        <w:adjustRightInd w:val="0"/>
        <w:spacing w:line="48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中标人应在采购合同签订后，采购方提出采购计划。中标人按采购计划组织货源1</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Times New Roman"/>
          <w:color w:val="000000"/>
          <w:sz w:val="32"/>
          <w:szCs w:val="32"/>
        </w:rPr>
        <w:t>天内到货；采购方需紧急采购，中标人紧急采购计划后48小时内到货。</w:t>
      </w:r>
    </w:p>
    <w:p>
      <w:pPr>
        <w:spacing w:line="460" w:lineRule="exact"/>
        <w:ind w:firstLine="569" w:firstLineChars="177"/>
        <w:rPr>
          <w:rFonts w:ascii="仿宋_GB2312" w:hAnsi="仿宋" w:eastAsia="仿宋_GB2312" w:cs="Times New Roman"/>
          <w:b/>
          <w:sz w:val="32"/>
          <w:szCs w:val="32"/>
        </w:rPr>
      </w:pPr>
      <w:r>
        <w:rPr>
          <w:rFonts w:hint="eastAsia" w:ascii="仿宋_GB2312" w:hAnsi="仿宋" w:eastAsia="仿宋_GB2312" w:cs="Times New Roman"/>
          <w:b/>
          <w:sz w:val="32"/>
          <w:szCs w:val="32"/>
        </w:rPr>
        <w:t>四、交货地点</w:t>
      </w:r>
    </w:p>
    <w:p>
      <w:pPr>
        <w:spacing w:line="460" w:lineRule="exact"/>
        <w:ind w:firstLine="566" w:firstLineChars="177"/>
        <w:rPr>
          <w:rFonts w:ascii="仿宋_GB2312" w:hAnsi="仿宋" w:eastAsia="仿宋_GB2312"/>
          <w:sz w:val="32"/>
          <w:szCs w:val="32"/>
        </w:rPr>
      </w:pPr>
      <w:r>
        <w:rPr>
          <w:rFonts w:hint="eastAsia" w:ascii="仿宋_GB2312" w:hAnsi="仿宋" w:eastAsia="仿宋_GB2312" w:cs="Times New Roman"/>
          <w:color w:val="000000"/>
          <w:sz w:val="32"/>
          <w:szCs w:val="32"/>
        </w:rPr>
        <w:t>克拉玛依市独山子民医院</w:t>
      </w:r>
    </w:p>
    <w:p>
      <w:pPr>
        <w:spacing w:line="460" w:lineRule="exact"/>
        <w:ind w:left="640"/>
        <w:rPr>
          <w:rFonts w:ascii="仿宋_GB2312" w:hAnsi="仿宋" w:eastAsia="仿宋_GB2312" w:cs="Times New Roman"/>
          <w:b/>
          <w:sz w:val="32"/>
          <w:szCs w:val="32"/>
        </w:rPr>
      </w:pPr>
      <w:r>
        <w:rPr>
          <w:rFonts w:hint="eastAsia" w:ascii="仿宋_GB2312" w:hAnsi="仿宋" w:eastAsia="仿宋_GB2312" w:cs="Times New Roman"/>
          <w:b/>
          <w:sz w:val="32"/>
          <w:szCs w:val="32"/>
        </w:rPr>
        <w:t>五、验收方式</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1、货物到达现场后，中标人应在使用单位人员在场情况下当面开箱，共同清点、检查外观，作出开箱记录，双方签字确认。</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2、中标人应保证货物到达采购人所在地完好无损，如有缺漏、损坏，由供应商负责调换、补齐或赔偿。</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3、中标人应提供完备的技术资料、装箱单和合格证等，并派遣专业技术人员进行现场安装调试。验收合格条件如下：</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3.1设备技术参数与采购合同一致，性能指标达到规定的标准。</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3.2货物技术资料、装箱单、合格证等资料齐全。</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3.3在系统试运行期间所出现的问题得到解决，并运行正常。</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3.4在规定时间内交货和验收，并经采购人确认。</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4、产品在安装调试并试运行符合要求后，才作为最终验收。</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5、供应商提供的货物未达到招标文件规定要求，且对采购人造成损失的，由供应商承担一切责任，并赔偿所造成的损失。</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6、大型或者复杂的政府采购项目，采购人应当邀请国家认可的质量检测机构参加验收工作。</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7、采购人需要制造商对中标人交付的产品（包括质量、技术参数等）进行确认的，制造商应予以配合，并出具书面意见。</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8、产品包装材料归采购人所有。</w:t>
      </w:r>
    </w:p>
    <w:p>
      <w:pPr>
        <w:spacing w:line="46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六、产品质量保证期</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1、投标产品质量保证期1年以上。</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2、投标产品属于国家规定“三包”范围的，其产品质量保证期不得低于“三包”规定。</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3、投标人的质量保证期承诺优于国家“三包”规定的，按投标人实际承诺执行。</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4、投标产品由制造商（指产品生产制造商，或其负责销售、售后服务机构，以下同）负责标准售后服务的，应当在投标文件中予以明确说明，并附制造商售后服务承诺。</w:t>
      </w:r>
    </w:p>
    <w:p>
      <w:pPr>
        <w:spacing w:line="460" w:lineRule="exact"/>
        <w:ind w:left="851"/>
        <w:rPr>
          <w:rFonts w:ascii="仿宋_GB2312" w:hAnsi="仿宋" w:eastAsia="仿宋_GB2312" w:cs="Times New Roman"/>
          <w:b/>
          <w:sz w:val="32"/>
          <w:szCs w:val="32"/>
        </w:rPr>
      </w:pPr>
      <w:r>
        <w:rPr>
          <w:rFonts w:hint="eastAsia" w:ascii="仿宋_GB2312" w:hAnsi="仿宋" w:eastAsia="仿宋_GB2312" w:cs="Times New Roman"/>
          <w:b/>
          <w:sz w:val="32"/>
          <w:szCs w:val="32"/>
        </w:rPr>
        <w:t>七、售后服务内容</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1、投标人和制造商在质量保证期内应当为采购人提供以下技术支持和服务：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1.1电话咨询</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中标人和制造商应当为采购人提供技术援助电话，解答采购人在使用中遇到的问题，及时为采购人提出解决问题的建议。</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1.2现场响应</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采购人遇到使用及技术问题，电话咨询不能解决的，中标人和制造商应在24小时内到达现场进行处理，确保产品正常工作。</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1.3技术升级</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在质保期内，如果中标人和制造商的产品技术升级，供应商应及时通知采购人，如采购人有相应要求，中标人和制造商应对采购人购买的产品进行升级服务。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2、质保期外服务要求</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2.1质量保证期过后，供应商和制造商应同样提供免费电话咨询服务，并应承诺提供产品上门维护服务。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2.2质量保证期过后，采购人需要继续由原供应商和制造商提供售后服务的，该供应商和制造商应以优惠价格提供售后服务。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3、备品备件及易损件</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中标人和制造商售后服务中，维修使用的备品备件及易损件应为原厂配件，未经采购人同意不得使用非原厂配件，常用的、容易损坏的备品备件及易损件的价格清单须在投标文件中列出。</w:t>
      </w:r>
    </w:p>
    <w:p>
      <w:pPr>
        <w:spacing w:line="460" w:lineRule="exact"/>
        <w:ind w:left="851"/>
        <w:rPr>
          <w:rFonts w:ascii="仿宋_GB2312" w:hAnsi="仿宋" w:eastAsia="仿宋_GB2312" w:cs="Times New Roman"/>
          <w:b/>
          <w:sz w:val="32"/>
          <w:szCs w:val="32"/>
        </w:rPr>
      </w:pPr>
      <w:r>
        <w:rPr>
          <w:rFonts w:hint="eastAsia" w:ascii="仿宋_GB2312" w:hAnsi="仿宋" w:eastAsia="仿宋_GB2312" w:cs="Times New Roman"/>
          <w:b/>
          <w:sz w:val="32"/>
          <w:szCs w:val="32"/>
        </w:rPr>
        <w:t>八、付款方式</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采购人对中标人提交的付款资料审核通过后，以转账方式按季度向中标人付款。</w:t>
      </w:r>
    </w:p>
    <w:p>
      <w:pPr>
        <w:spacing w:line="460" w:lineRule="exact"/>
        <w:ind w:left="851"/>
        <w:rPr>
          <w:rFonts w:ascii="仿宋_GB2312" w:hAnsi="仿宋" w:eastAsia="仿宋_GB2312" w:cs="Times New Roman"/>
          <w:b/>
          <w:sz w:val="32"/>
          <w:szCs w:val="32"/>
        </w:rPr>
      </w:pPr>
      <w:r>
        <w:rPr>
          <w:rFonts w:hint="eastAsia" w:ascii="仿宋_GB2312" w:hAnsi="仿宋" w:eastAsia="仿宋_GB2312" w:cs="Times New Roman"/>
          <w:b/>
          <w:sz w:val="32"/>
          <w:szCs w:val="32"/>
        </w:rPr>
        <w:t>九、履约保证金</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无</w:t>
      </w:r>
    </w:p>
    <w:p>
      <w:pPr>
        <w:spacing w:line="460" w:lineRule="exact"/>
        <w:ind w:left="851"/>
        <w:rPr>
          <w:rFonts w:ascii="仿宋_GB2312" w:hAnsi="仿宋" w:eastAsia="仿宋_GB2312" w:cs="Times New Roman"/>
          <w:b/>
          <w:sz w:val="32"/>
          <w:szCs w:val="32"/>
        </w:rPr>
      </w:pPr>
      <w:r>
        <w:rPr>
          <w:rFonts w:hint="eastAsia" w:ascii="仿宋_GB2312" w:hAnsi="仿宋" w:eastAsia="仿宋_GB2312" w:cs="Times New Roman"/>
          <w:b/>
          <w:sz w:val="32"/>
          <w:szCs w:val="32"/>
        </w:rPr>
        <w:t>十、培训</w:t>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（一）培训内容</w:t>
      </w:r>
      <w:r>
        <w:rPr>
          <w:rFonts w:hint="eastAsia" w:ascii="仿宋_GB2312" w:hAnsi="仿宋" w:eastAsia="仿宋_GB2312" w:cs="宋体"/>
          <w:kern w:val="0"/>
          <w:sz w:val="32"/>
          <w:szCs w:val="32"/>
          <w:lang w:val="en-US" w:eastAsia="zh-CN"/>
        </w:rPr>
        <w:t xml:space="preserve">  无</w:t>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（二）培训要求</w:t>
      </w:r>
      <w:r>
        <w:rPr>
          <w:rFonts w:hint="eastAsia" w:ascii="仿宋_GB2312" w:hAnsi="仿宋" w:eastAsia="仿宋_GB2312" w:cs="宋体"/>
          <w:kern w:val="0"/>
          <w:sz w:val="32"/>
          <w:szCs w:val="32"/>
          <w:lang w:val="en-US" w:eastAsia="zh-CN"/>
        </w:rPr>
        <w:t xml:space="preserve">  无</w:t>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（三）培训方式</w:t>
      </w:r>
      <w:r>
        <w:rPr>
          <w:rFonts w:hint="eastAsia" w:ascii="仿宋_GB2312" w:hAnsi="仿宋" w:eastAsia="仿宋_GB2312" w:cs="宋体"/>
          <w:kern w:val="0"/>
          <w:sz w:val="32"/>
          <w:szCs w:val="32"/>
          <w:lang w:val="en-US" w:eastAsia="zh-CN"/>
        </w:rPr>
        <w:t xml:space="preserve">  无</w:t>
      </w:r>
    </w:p>
    <w:p>
      <w:pPr>
        <w:spacing w:line="460" w:lineRule="exact"/>
        <w:ind w:left="851"/>
        <w:rPr>
          <w:rFonts w:ascii="仿宋_GB2312" w:hAnsi="仿宋" w:eastAsia="仿宋_GB2312" w:cs="Times New Roman"/>
          <w:b/>
          <w:sz w:val="32"/>
          <w:szCs w:val="32"/>
        </w:rPr>
      </w:pPr>
      <w:r>
        <w:rPr>
          <w:rFonts w:hint="eastAsia" w:ascii="仿宋_GB2312" w:hAnsi="仿宋" w:eastAsia="仿宋_GB2312" w:cs="Times New Roman"/>
          <w:b/>
          <w:sz w:val="32"/>
          <w:szCs w:val="32"/>
        </w:rPr>
        <w:t>十一、采购单位咨询电话</w:t>
      </w:r>
    </w:p>
    <w:p>
      <w:pPr>
        <w:snapToGrid w:val="0"/>
        <w:spacing w:line="460" w:lineRule="exact"/>
        <w:ind w:firstLine="800" w:firstLineChars="25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 xml:space="preserve">联系人： </w:t>
      </w:r>
      <w:r>
        <w:rPr>
          <w:rFonts w:hint="eastAsia" w:ascii="仿宋_GB2312" w:hAnsi="仿宋" w:eastAsia="仿宋_GB2312" w:cs="宋体"/>
          <w:kern w:val="0"/>
          <w:sz w:val="32"/>
          <w:szCs w:val="32"/>
          <w:lang w:eastAsia="zh-CN"/>
        </w:rPr>
        <w:t>孙友刚</w:t>
      </w:r>
      <w:r>
        <w:rPr>
          <w:rFonts w:hint="eastAsia" w:ascii="仿宋_GB2312" w:hAnsi="仿宋" w:eastAsia="仿宋_GB2312" w:cs="宋体"/>
          <w:kern w:val="0"/>
          <w:sz w:val="32"/>
          <w:szCs w:val="32"/>
          <w:lang w:val="en-US" w:eastAsia="zh-CN"/>
        </w:rPr>
        <w:t xml:space="preserve">    马长红</w:t>
      </w:r>
    </w:p>
    <w:p>
      <w:pPr>
        <w:snapToGrid w:val="0"/>
        <w:spacing w:line="460" w:lineRule="exact"/>
        <w:ind w:firstLine="800" w:firstLineChars="25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 xml:space="preserve">联系电话： </w:t>
      </w:r>
      <w:r>
        <w:rPr>
          <w:rFonts w:hint="eastAsia" w:ascii="仿宋_GB2312" w:hAnsi="仿宋" w:eastAsia="仿宋_GB2312" w:cs="宋体"/>
          <w:kern w:val="0"/>
          <w:sz w:val="32"/>
          <w:szCs w:val="32"/>
          <w:lang w:val="en-US" w:eastAsia="zh-CN"/>
        </w:rPr>
        <w:t>17709923796   18609921233</w:t>
      </w:r>
      <w:bookmarkStart w:id="1" w:name="_GoBack"/>
      <w:bookmarkEnd w:id="1"/>
    </w:p>
    <w:p>
      <w:pPr>
        <w:snapToGrid w:val="0"/>
        <w:spacing w:line="460" w:lineRule="exact"/>
        <w:ind w:firstLine="2560" w:firstLineChars="80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采购人名称：克拉玛依市独山子人民医院</w:t>
      </w:r>
    </w:p>
    <w:p>
      <w:pPr>
        <w:snapToGrid w:val="0"/>
        <w:spacing w:before="240" w:line="240" w:lineRule="auto"/>
        <w:ind w:firstLine="5760" w:firstLineChars="1800"/>
        <w:jc w:val="left"/>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202</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Times New Roman"/>
          <w:color w:val="00000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Times New Roman"/>
          <w:color w:val="000000"/>
          <w:sz w:val="32"/>
          <w:szCs w:val="32"/>
          <w:lang w:val="en-US" w:eastAsia="zh-CN"/>
        </w:rPr>
        <w:t>30</w:t>
      </w:r>
      <w:r>
        <w:rPr>
          <w:rFonts w:hint="eastAsia" w:ascii="仿宋_GB2312" w:hAnsi="仿宋" w:eastAsia="仿宋_GB2312"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6AC2D"/>
    <w:multiLevelType w:val="singleLevel"/>
    <w:tmpl w:val="C2E6AC2D"/>
    <w:lvl w:ilvl="0" w:tentative="0">
      <w:start w:val="1"/>
      <w:numFmt w:val="chineseCounting"/>
      <w:suff w:val="nothing"/>
      <w:lvlText w:val="（%1）"/>
      <w:lvlJc w:val="left"/>
      <w:rPr>
        <w:rFonts w:hint="eastAsia"/>
      </w:rPr>
    </w:lvl>
  </w:abstractNum>
  <w:abstractNum w:abstractNumId="1">
    <w:nsid w:val="08F30056"/>
    <w:multiLevelType w:val="multilevel"/>
    <w:tmpl w:val="08F30056"/>
    <w:lvl w:ilvl="0" w:tentative="0">
      <w:start w:val="1"/>
      <w:numFmt w:val="japaneseCounting"/>
      <w:lvlText w:val="%1、"/>
      <w:lvlJc w:val="left"/>
      <w:pPr>
        <w:ind w:left="1571" w:hanging="720"/>
      </w:pPr>
      <w:rPr>
        <w:rFonts w:hint="default" w:cstheme="minorBidi"/>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571C"/>
    <w:rsid w:val="00015A8F"/>
    <w:rsid w:val="000512C1"/>
    <w:rsid w:val="000641D1"/>
    <w:rsid w:val="000C44A9"/>
    <w:rsid w:val="000D6FC1"/>
    <w:rsid w:val="00174AAA"/>
    <w:rsid w:val="002472B2"/>
    <w:rsid w:val="002648BF"/>
    <w:rsid w:val="002F5587"/>
    <w:rsid w:val="0030407D"/>
    <w:rsid w:val="00326628"/>
    <w:rsid w:val="003B29E8"/>
    <w:rsid w:val="003D4BF6"/>
    <w:rsid w:val="004505C6"/>
    <w:rsid w:val="004722A5"/>
    <w:rsid w:val="004825A5"/>
    <w:rsid w:val="004A3FE0"/>
    <w:rsid w:val="00534638"/>
    <w:rsid w:val="005C0841"/>
    <w:rsid w:val="005F7752"/>
    <w:rsid w:val="00654BB2"/>
    <w:rsid w:val="0067571C"/>
    <w:rsid w:val="00696B42"/>
    <w:rsid w:val="006B0ED8"/>
    <w:rsid w:val="006C799B"/>
    <w:rsid w:val="0071145B"/>
    <w:rsid w:val="00757B1E"/>
    <w:rsid w:val="007E5A45"/>
    <w:rsid w:val="00812E43"/>
    <w:rsid w:val="008306D2"/>
    <w:rsid w:val="0084390B"/>
    <w:rsid w:val="008511B5"/>
    <w:rsid w:val="00864736"/>
    <w:rsid w:val="00887321"/>
    <w:rsid w:val="008A733C"/>
    <w:rsid w:val="008B3270"/>
    <w:rsid w:val="00972BD6"/>
    <w:rsid w:val="00A203BF"/>
    <w:rsid w:val="00A374EC"/>
    <w:rsid w:val="00A41A5D"/>
    <w:rsid w:val="00A82360"/>
    <w:rsid w:val="00B24A9F"/>
    <w:rsid w:val="00B33114"/>
    <w:rsid w:val="00B35C15"/>
    <w:rsid w:val="00B748BB"/>
    <w:rsid w:val="00C53DCF"/>
    <w:rsid w:val="00CC6EE6"/>
    <w:rsid w:val="00CE03D4"/>
    <w:rsid w:val="00D15699"/>
    <w:rsid w:val="00D43326"/>
    <w:rsid w:val="00DA16B4"/>
    <w:rsid w:val="00DB3C45"/>
    <w:rsid w:val="00DC744A"/>
    <w:rsid w:val="00DF393F"/>
    <w:rsid w:val="00E13C83"/>
    <w:rsid w:val="00E1619B"/>
    <w:rsid w:val="01AE32B4"/>
    <w:rsid w:val="01C75804"/>
    <w:rsid w:val="06554F3B"/>
    <w:rsid w:val="065C30FD"/>
    <w:rsid w:val="07615763"/>
    <w:rsid w:val="08553700"/>
    <w:rsid w:val="08B44D21"/>
    <w:rsid w:val="09DF7190"/>
    <w:rsid w:val="0BB870BA"/>
    <w:rsid w:val="0D3750BC"/>
    <w:rsid w:val="0D94202D"/>
    <w:rsid w:val="0E9C15F3"/>
    <w:rsid w:val="0F614E47"/>
    <w:rsid w:val="0FEF67E9"/>
    <w:rsid w:val="13DC1DAC"/>
    <w:rsid w:val="180243AA"/>
    <w:rsid w:val="18B26BC4"/>
    <w:rsid w:val="1AF473F2"/>
    <w:rsid w:val="1E676767"/>
    <w:rsid w:val="1F334B80"/>
    <w:rsid w:val="215709A1"/>
    <w:rsid w:val="21E4445D"/>
    <w:rsid w:val="220C50CD"/>
    <w:rsid w:val="25727D88"/>
    <w:rsid w:val="25E41A87"/>
    <w:rsid w:val="29F30AA5"/>
    <w:rsid w:val="2A76543C"/>
    <w:rsid w:val="2DDB1E27"/>
    <w:rsid w:val="32185481"/>
    <w:rsid w:val="33966781"/>
    <w:rsid w:val="395943C4"/>
    <w:rsid w:val="39CA2006"/>
    <w:rsid w:val="3D304317"/>
    <w:rsid w:val="3E0C2DEF"/>
    <w:rsid w:val="42EB60F4"/>
    <w:rsid w:val="44AA7816"/>
    <w:rsid w:val="4822727E"/>
    <w:rsid w:val="485E60E6"/>
    <w:rsid w:val="4B217C78"/>
    <w:rsid w:val="4C6D185E"/>
    <w:rsid w:val="4D366E77"/>
    <w:rsid w:val="4E4547C1"/>
    <w:rsid w:val="4FED7459"/>
    <w:rsid w:val="536A02D9"/>
    <w:rsid w:val="556019C7"/>
    <w:rsid w:val="58DA1C85"/>
    <w:rsid w:val="599C1D35"/>
    <w:rsid w:val="5C5140CA"/>
    <w:rsid w:val="5F1F5D54"/>
    <w:rsid w:val="5F65785D"/>
    <w:rsid w:val="5FC32315"/>
    <w:rsid w:val="61D104E8"/>
    <w:rsid w:val="61D43439"/>
    <w:rsid w:val="623601F2"/>
    <w:rsid w:val="63380AA9"/>
    <w:rsid w:val="6484365E"/>
    <w:rsid w:val="69C67ED9"/>
    <w:rsid w:val="6D261752"/>
    <w:rsid w:val="71DB7461"/>
    <w:rsid w:val="72F441DB"/>
    <w:rsid w:val="731E03AF"/>
    <w:rsid w:val="77431628"/>
    <w:rsid w:val="787C65C5"/>
    <w:rsid w:val="79190D39"/>
    <w:rsid w:val="7A021959"/>
    <w:rsid w:val="7B004363"/>
    <w:rsid w:val="7CE37A45"/>
    <w:rsid w:val="7D5A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7E1FAD"/>
      <w:u w:val="single"/>
    </w:rPr>
  </w:style>
  <w:style w:type="character" w:styleId="9">
    <w:name w:val="Hyperlink"/>
    <w:basedOn w:val="7"/>
    <w:semiHidden/>
    <w:unhideWhenUsed/>
    <w:qFormat/>
    <w:uiPriority w:val="99"/>
    <w:rPr>
      <w:color w:val="0026E5"/>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
    <w:name w:val="xl66"/>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3">
    <w:name w:val="xl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4">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5">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szCs w:val="24"/>
    </w:rPr>
  </w:style>
  <w:style w:type="paragraph" w:customStyle="1" w:styleId="26">
    <w:name w:val="xl7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szCs w:val="24"/>
    </w:rPr>
  </w:style>
  <w:style w:type="paragraph" w:customStyle="1" w:styleId="27">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szCs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
    <w:name w:val="xl85"/>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
    <w:name w:val="xl8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5">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18"/>
      <w:szCs w:val="18"/>
    </w:rPr>
  </w:style>
  <w:style w:type="paragraph" w:customStyle="1" w:styleId="38">
    <w:name w:val="xl9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18"/>
      <w:szCs w:val="18"/>
    </w:rPr>
  </w:style>
  <w:style w:type="paragraph" w:customStyle="1" w:styleId="39">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18"/>
      <w:szCs w:val="18"/>
    </w:rPr>
  </w:style>
  <w:style w:type="paragraph" w:customStyle="1" w:styleId="40">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952</Words>
  <Characters>5431</Characters>
  <Lines>45</Lines>
  <Paragraphs>12</Paragraphs>
  <TotalTime>7</TotalTime>
  <ScaleCrop>false</ScaleCrop>
  <LinksUpToDate>false</LinksUpToDate>
  <CharactersWithSpaces>6371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2018-05-28T04:33:00Z</dcterms:created>
  <dc:creator>Admin</dc:creator>
  <cp:lastModifiedBy>马长红</cp:lastModifiedBy>
  <dcterms:modified xsi:type="dcterms:W3CDTF">2024-12-04T08:04:09Z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