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方正小标宋_GBK" w:eastAsia="方正小标宋_GBK"/>
          <w:sz w:val="36"/>
          <w:szCs w:val="36"/>
        </w:rPr>
      </w:pPr>
      <w:r>
        <w:rPr>
          <w:rFonts w:hint="eastAsia" w:ascii="方正小标宋_GBK" w:hAnsi="仿宋" w:eastAsia="方正小标宋_GBK" w:cs="Times New Roman"/>
          <w:color w:val="000000"/>
          <w:sz w:val="36"/>
          <w:szCs w:val="36"/>
        </w:rPr>
        <w:t>外科辅楼电梯变频器</w:t>
      </w:r>
      <w:r>
        <w:rPr>
          <w:rFonts w:hint="eastAsia" w:ascii="方正小标宋_GBK" w:hAnsi="仿宋" w:eastAsia="方正小标宋_GBK" w:cs="Times New Roman"/>
          <w:color w:val="000000"/>
          <w:sz w:val="36"/>
          <w:szCs w:val="36"/>
          <w:lang w:val="en-US" w:eastAsia="zh-CN"/>
        </w:rPr>
        <w:t>采购</w:t>
      </w:r>
      <w:r>
        <w:rPr>
          <w:rFonts w:hint="eastAsia" w:ascii="方正小标宋_GBK" w:hAnsi="仿宋" w:eastAsia="方正小标宋_GBK" w:cs="Times New Roman"/>
          <w:color w:val="000000"/>
          <w:sz w:val="36"/>
          <w:szCs w:val="36"/>
        </w:rPr>
        <w:t>项目</w:t>
      </w:r>
      <w:r>
        <w:rPr>
          <w:rFonts w:hint="eastAsia" w:ascii="方正小标宋_GBK" w:eastAsia="方正小标宋_GBK"/>
          <w:sz w:val="36"/>
          <w:szCs w:val="36"/>
        </w:rPr>
        <w:t>采购需求</w:t>
      </w:r>
    </w:p>
    <w:p>
      <w:pPr>
        <w:spacing w:line="460" w:lineRule="exact"/>
        <w:ind w:firstLine="640" w:firstLineChars="200"/>
        <w:rPr>
          <w:rFonts w:ascii="仿宋_GB2312" w:hAnsi="仿宋" w:eastAsia="仿宋_GB2312"/>
          <w:sz w:val="32"/>
          <w:szCs w:val="32"/>
        </w:rPr>
      </w:pPr>
    </w:p>
    <w:p>
      <w:pPr>
        <w:pStyle w:val="12"/>
        <w:numPr>
          <w:ilvl w:val="0"/>
          <w:numId w:val="1"/>
        </w:numPr>
        <w:spacing w:line="460" w:lineRule="exact"/>
        <w:ind w:firstLineChars="0"/>
        <w:rPr>
          <w:rFonts w:ascii="仿宋_GB2312" w:hAnsi="仿宋" w:eastAsia="仿宋_GB2312" w:cs="Times New Roman"/>
          <w:b/>
          <w:sz w:val="32"/>
          <w:szCs w:val="32"/>
        </w:rPr>
      </w:pPr>
      <w:r>
        <w:rPr>
          <w:rFonts w:hint="eastAsia" w:ascii="仿宋_GB2312" w:hAnsi="仿宋" w:eastAsia="仿宋_GB2312" w:cs="Times New Roman"/>
          <w:b/>
          <w:sz w:val="32"/>
          <w:szCs w:val="32"/>
        </w:rPr>
        <w:t>投标人资格条件</w:t>
      </w:r>
    </w:p>
    <w:p>
      <w:pPr>
        <w:spacing w:line="460" w:lineRule="exact"/>
        <w:ind w:firstLine="640" w:firstLineChars="200"/>
        <w:rPr>
          <w:rFonts w:ascii="仿宋_GB2312" w:hAnsi="仿宋" w:eastAsia="仿宋_GB2312" w:cs="Times New Roman"/>
          <w:sz w:val="32"/>
          <w:szCs w:val="32"/>
        </w:rPr>
      </w:pPr>
      <w:r>
        <w:rPr>
          <w:rFonts w:hint="eastAsia" w:ascii="仿宋_GB2312" w:hAnsi="仿宋" w:eastAsia="仿宋_GB2312" w:cs="Times New Roman"/>
          <w:sz w:val="32"/>
          <w:szCs w:val="32"/>
        </w:rPr>
        <w:t>（一）</w:t>
      </w:r>
      <w:r>
        <w:rPr>
          <w:rFonts w:hint="eastAsia" w:ascii="仿宋_GB2312" w:hAnsi="仿宋" w:eastAsia="仿宋_GB2312"/>
          <w:sz w:val="32"/>
          <w:szCs w:val="32"/>
        </w:rPr>
        <w:t>一般资格条件</w:t>
      </w:r>
    </w:p>
    <w:p>
      <w:pPr>
        <w:numPr>
          <w:ilvl w:val="0"/>
          <w:numId w:val="2"/>
        </w:numPr>
        <w:tabs>
          <w:tab w:val="left" w:pos="1134"/>
        </w:tabs>
        <w:snapToGrid w:val="0"/>
        <w:spacing w:line="460" w:lineRule="exact"/>
        <w:ind w:left="0" w:firstLine="709"/>
        <w:rPr>
          <w:rFonts w:ascii="仿宋_GB2312" w:hAnsi="仿宋" w:eastAsia="仿宋_GB2312" w:cs="Times New Roman"/>
          <w:sz w:val="32"/>
          <w:szCs w:val="32"/>
        </w:rPr>
      </w:pPr>
      <w:r>
        <w:rPr>
          <w:rFonts w:hint="eastAsia" w:ascii="仿宋_GB2312" w:hAnsi="仿宋" w:eastAsia="仿宋_GB2312" w:cs="Times New Roman"/>
          <w:sz w:val="32"/>
          <w:szCs w:val="32"/>
        </w:rPr>
        <w:t>具有独立承担民事责任的能力；</w:t>
      </w:r>
    </w:p>
    <w:p>
      <w:pPr>
        <w:numPr>
          <w:ilvl w:val="0"/>
          <w:numId w:val="2"/>
        </w:numPr>
        <w:tabs>
          <w:tab w:val="left" w:pos="1134"/>
        </w:tabs>
        <w:snapToGrid w:val="0"/>
        <w:spacing w:line="460" w:lineRule="exact"/>
        <w:ind w:left="0" w:firstLine="709"/>
        <w:rPr>
          <w:rFonts w:ascii="仿宋_GB2312" w:hAnsi="仿宋" w:eastAsia="仿宋_GB2312" w:cs="Times New Roman"/>
          <w:sz w:val="32"/>
          <w:szCs w:val="32"/>
        </w:rPr>
      </w:pPr>
      <w:r>
        <w:rPr>
          <w:rFonts w:hint="eastAsia" w:ascii="仿宋_GB2312" w:hAnsi="仿宋" w:eastAsia="仿宋_GB2312" w:cs="Times New Roman"/>
          <w:sz w:val="32"/>
          <w:szCs w:val="32"/>
        </w:rPr>
        <w:t>具有良好的商业信誉和健全的财务会计制度；</w:t>
      </w:r>
    </w:p>
    <w:p>
      <w:pPr>
        <w:numPr>
          <w:ilvl w:val="0"/>
          <w:numId w:val="2"/>
        </w:numPr>
        <w:tabs>
          <w:tab w:val="left" w:pos="1134"/>
        </w:tabs>
        <w:snapToGrid w:val="0"/>
        <w:spacing w:line="460" w:lineRule="exact"/>
        <w:ind w:left="0" w:firstLine="709"/>
        <w:rPr>
          <w:rFonts w:ascii="仿宋_GB2312" w:hAnsi="仿宋" w:eastAsia="仿宋_GB2312" w:cs="Times New Roman"/>
          <w:sz w:val="32"/>
          <w:szCs w:val="32"/>
        </w:rPr>
      </w:pPr>
      <w:r>
        <w:rPr>
          <w:rFonts w:hint="eastAsia" w:ascii="仿宋_GB2312" w:hAnsi="仿宋" w:eastAsia="仿宋_GB2312" w:cs="Times New Roman"/>
          <w:sz w:val="32"/>
          <w:szCs w:val="32"/>
        </w:rPr>
        <w:t>具有履行合同所必需的设备和专业技术能力；</w:t>
      </w:r>
    </w:p>
    <w:p>
      <w:pPr>
        <w:numPr>
          <w:ilvl w:val="0"/>
          <w:numId w:val="2"/>
        </w:numPr>
        <w:tabs>
          <w:tab w:val="left" w:pos="1134"/>
        </w:tabs>
        <w:snapToGrid w:val="0"/>
        <w:spacing w:line="460" w:lineRule="exact"/>
        <w:ind w:left="0" w:firstLine="709"/>
        <w:rPr>
          <w:rFonts w:ascii="仿宋_GB2312" w:hAnsi="仿宋" w:eastAsia="仿宋_GB2312" w:cs="Times New Roman"/>
          <w:sz w:val="32"/>
          <w:szCs w:val="32"/>
        </w:rPr>
      </w:pPr>
      <w:r>
        <w:rPr>
          <w:rFonts w:hint="eastAsia" w:ascii="仿宋_GB2312" w:hAnsi="仿宋" w:eastAsia="仿宋_GB2312" w:cs="Times New Roman"/>
          <w:sz w:val="32"/>
          <w:szCs w:val="32"/>
        </w:rPr>
        <w:t>参加政府采购活动前三年内，未因违法经营受到刑事处罚或者责令停产停业、吊销许可证或者执照、较大数额罚款等行政处罚。</w:t>
      </w:r>
    </w:p>
    <w:p>
      <w:pPr>
        <w:numPr>
          <w:ilvl w:val="0"/>
          <w:numId w:val="0"/>
        </w:numPr>
        <w:tabs>
          <w:tab w:val="left" w:pos="1134"/>
        </w:tabs>
        <w:snapToGrid w:val="0"/>
        <w:spacing w:line="460" w:lineRule="exact"/>
        <w:ind w:left="709" w:leftChars="0"/>
        <w:rPr>
          <w:rFonts w:hint="eastAsia" w:ascii="仿宋_GB2312" w:hAnsi="仿宋" w:eastAsia="仿宋_GB2312" w:cs="Times New Roman"/>
          <w:sz w:val="32"/>
          <w:szCs w:val="32"/>
        </w:rPr>
      </w:pPr>
      <w:r>
        <w:rPr>
          <w:rFonts w:hint="eastAsia" w:ascii="仿宋_GB2312" w:hAnsi="仿宋" w:eastAsia="仿宋_GB2312" w:cs="Times New Roman"/>
          <w:sz w:val="32"/>
          <w:szCs w:val="32"/>
        </w:rPr>
        <w:t>（二）特定资格条件</w:t>
      </w:r>
    </w:p>
    <w:p>
      <w:pPr>
        <w:numPr>
          <w:ilvl w:val="0"/>
          <w:numId w:val="0"/>
        </w:numPr>
        <w:tabs>
          <w:tab w:val="left" w:pos="1134"/>
        </w:tabs>
        <w:snapToGrid w:val="0"/>
        <w:spacing w:line="460" w:lineRule="exact"/>
        <w:rPr>
          <w:rFonts w:hint="eastAsia" w:ascii="仿宋_GB2312" w:hAnsi="仿宋" w:eastAsia="仿宋_GB2312" w:cs="Times New Roman"/>
          <w:sz w:val="32"/>
          <w:szCs w:val="32"/>
        </w:rPr>
      </w:pPr>
      <w:r>
        <w:rPr>
          <w:rFonts w:hint="default" w:ascii="仿宋_GB2312" w:hAnsi="仿宋" w:eastAsia="仿宋_GB2312" w:cs="Times New Roman"/>
          <w:sz w:val="32"/>
          <w:szCs w:val="32"/>
        </w:rPr>
        <w:t>中华人民共和国特种设备生产许可证（许可项目：电梯安装(含修理) 许可子项目：曳引驱动乘客电梯）</w:t>
      </w:r>
    </w:p>
    <w:p>
      <w:pPr>
        <w:spacing w:line="460" w:lineRule="exact"/>
        <w:ind w:firstLine="640" w:firstLineChars="200"/>
        <w:rPr>
          <w:rFonts w:ascii="仿宋_GB2312" w:hAnsi="仿宋" w:eastAsia="仿宋_GB2312" w:cs="Times New Roman"/>
          <w:sz w:val="32"/>
          <w:szCs w:val="32"/>
        </w:rPr>
      </w:pPr>
      <w:r>
        <w:rPr>
          <w:rFonts w:hint="eastAsia" w:ascii="仿宋_GB2312" w:hAnsi="仿宋" w:eastAsia="仿宋_GB2312" w:cs="Times New Roman"/>
          <w:sz w:val="32"/>
          <w:szCs w:val="32"/>
        </w:rPr>
        <w:t>（三）联合体投标</w:t>
      </w:r>
    </w:p>
    <w:p>
      <w:pPr>
        <w:spacing w:line="460" w:lineRule="exact"/>
        <w:ind w:firstLine="640" w:firstLineChars="200"/>
        <w:rPr>
          <w:rFonts w:hint="eastAsia" w:ascii="仿宋_GB2312" w:hAnsi="仿宋" w:eastAsia="仿宋_GB2312" w:cs="Times New Roman"/>
          <w:sz w:val="32"/>
          <w:szCs w:val="32"/>
        </w:rPr>
      </w:pPr>
      <w:r>
        <w:rPr>
          <w:rFonts w:hint="eastAsia" w:ascii="仿宋_GB2312" w:hAnsi="仿宋" w:eastAsia="仿宋_GB2312" w:cs="Times New Roman"/>
          <w:sz w:val="32"/>
          <w:szCs w:val="32"/>
        </w:rPr>
        <w:t>本项目不接受联合体投标</w:t>
      </w:r>
    </w:p>
    <w:p>
      <w:pPr>
        <w:pStyle w:val="12"/>
        <w:numPr>
          <w:ilvl w:val="0"/>
          <w:numId w:val="1"/>
        </w:numPr>
        <w:spacing w:line="460" w:lineRule="exact"/>
        <w:ind w:firstLineChars="0"/>
        <w:rPr>
          <w:rFonts w:ascii="仿宋_GB2312" w:hAnsi="仿宋" w:eastAsia="仿宋_GB2312" w:cs="Times New Roman"/>
          <w:b/>
          <w:sz w:val="32"/>
          <w:szCs w:val="32"/>
        </w:rPr>
      </w:pPr>
      <w:r>
        <w:rPr>
          <w:rFonts w:hint="eastAsia" w:ascii="仿宋_GB2312" w:hAnsi="仿宋" w:eastAsia="仿宋_GB2312" w:cs="Times New Roman"/>
          <w:b/>
          <w:sz w:val="32"/>
          <w:szCs w:val="32"/>
        </w:rPr>
        <w:t>项目技术规格、数量及质量要求</w:t>
      </w:r>
    </w:p>
    <w:p>
      <w:pPr>
        <w:spacing w:line="460" w:lineRule="exact"/>
        <w:ind w:left="640"/>
        <w:rPr>
          <w:rFonts w:ascii="仿宋_GB2312" w:hAnsi="仿宋" w:eastAsia="仿宋_GB2312" w:cs="Times New Roman"/>
          <w:color w:val="000000"/>
          <w:sz w:val="32"/>
          <w:szCs w:val="32"/>
        </w:rPr>
      </w:pPr>
      <w:bookmarkStart w:id="0" w:name="_Toc438456195"/>
      <w:r>
        <w:rPr>
          <w:rFonts w:hint="eastAsia" w:ascii="仿宋_GB2312" w:hAnsi="仿宋" w:eastAsia="仿宋_GB2312" w:cs="Times New Roman"/>
          <w:color w:val="000000"/>
          <w:sz w:val="32"/>
          <w:szCs w:val="32"/>
        </w:rPr>
        <w:t>（一）采购项目一览表</w:t>
      </w:r>
      <w:bookmarkEnd w:id="0"/>
    </w:p>
    <w:tbl>
      <w:tblPr>
        <w:tblStyle w:val="7"/>
        <w:tblW w:w="897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3"/>
        <w:gridCol w:w="2935"/>
        <w:gridCol w:w="851"/>
        <w:gridCol w:w="1134"/>
        <w:gridCol w:w="31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943" w:type="dxa"/>
            <w:vAlign w:val="center"/>
          </w:tcPr>
          <w:p>
            <w:pPr>
              <w:overflowPunct w:val="0"/>
              <w:spacing w:line="500" w:lineRule="exact"/>
              <w:jc w:val="center"/>
              <w:rPr>
                <w:rFonts w:ascii="仿宋" w:hAnsi="仿宋" w:eastAsia="仿宋"/>
                <w:b/>
              </w:rPr>
            </w:pPr>
            <w:r>
              <w:rPr>
                <w:rFonts w:hint="eastAsia" w:ascii="仿宋" w:hAnsi="仿宋" w:eastAsia="仿宋"/>
                <w:b/>
              </w:rPr>
              <w:t>序号</w:t>
            </w:r>
          </w:p>
        </w:tc>
        <w:tc>
          <w:tcPr>
            <w:tcW w:w="2935" w:type="dxa"/>
            <w:vAlign w:val="center"/>
          </w:tcPr>
          <w:p>
            <w:pPr>
              <w:overflowPunct w:val="0"/>
              <w:spacing w:line="500" w:lineRule="exact"/>
              <w:jc w:val="center"/>
              <w:rPr>
                <w:rFonts w:ascii="仿宋" w:hAnsi="仿宋" w:eastAsia="仿宋"/>
                <w:b/>
              </w:rPr>
            </w:pPr>
            <w:r>
              <w:rPr>
                <w:rFonts w:hint="eastAsia" w:ascii="仿宋" w:hAnsi="仿宋" w:eastAsia="仿宋"/>
                <w:b/>
              </w:rPr>
              <w:t>设备名称</w:t>
            </w:r>
          </w:p>
        </w:tc>
        <w:tc>
          <w:tcPr>
            <w:tcW w:w="851" w:type="dxa"/>
            <w:vAlign w:val="center"/>
          </w:tcPr>
          <w:p>
            <w:pPr>
              <w:overflowPunct w:val="0"/>
              <w:spacing w:line="500" w:lineRule="exact"/>
              <w:jc w:val="center"/>
              <w:rPr>
                <w:rFonts w:ascii="仿宋" w:hAnsi="仿宋" w:eastAsia="仿宋"/>
                <w:b/>
              </w:rPr>
            </w:pPr>
            <w:r>
              <w:rPr>
                <w:rFonts w:hint="eastAsia" w:ascii="仿宋" w:hAnsi="仿宋" w:eastAsia="仿宋"/>
                <w:b/>
              </w:rPr>
              <w:t>单位</w:t>
            </w:r>
          </w:p>
        </w:tc>
        <w:tc>
          <w:tcPr>
            <w:tcW w:w="1134" w:type="dxa"/>
            <w:vAlign w:val="center"/>
          </w:tcPr>
          <w:p>
            <w:pPr>
              <w:overflowPunct w:val="0"/>
              <w:spacing w:line="500" w:lineRule="exact"/>
              <w:jc w:val="center"/>
              <w:rPr>
                <w:rFonts w:ascii="仿宋" w:hAnsi="仿宋" w:eastAsia="仿宋"/>
                <w:b/>
              </w:rPr>
            </w:pPr>
            <w:r>
              <w:rPr>
                <w:rFonts w:hint="eastAsia" w:ascii="仿宋" w:hAnsi="仿宋" w:eastAsia="仿宋"/>
                <w:b/>
              </w:rPr>
              <w:t>数量</w:t>
            </w:r>
          </w:p>
        </w:tc>
        <w:tc>
          <w:tcPr>
            <w:tcW w:w="3111" w:type="dxa"/>
            <w:vAlign w:val="center"/>
          </w:tcPr>
          <w:p>
            <w:pPr>
              <w:overflowPunct w:val="0"/>
              <w:spacing w:line="500" w:lineRule="exact"/>
              <w:jc w:val="center"/>
              <w:rPr>
                <w:rFonts w:ascii="仿宋" w:hAnsi="仿宋" w:eastAsia="仿宋"/>
                <w:b/>
              </w:rPr>
            </w:pPr>
            <w:r>
              <w:rPr>
                <w:rFonts w:hint="eastAsia" w:ascii="仿宋" w:hAnsi="仿宋" w:eastAsia="仿宋"/>
                <w:b/>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943" w:type="dxa"/>
            <w:vAlign w:val="center"/>
          </w:tcPr>
          <w:p>
            <w:pPr>
              <w:overflowPunct w:val="0"/>
              <w:spacing w:line="500" w:lineRule="exact"/>
              <w:jc w:val="center"/>
              <w:rPr>
                <w:rFonts w:hint="eastAsia" w:ascii="仿宋" w:hAnsi="仿宋" w:eastAsia="仿宋"/>
                <w:sz w:val="24"/>
                <w:szCs w:val="24"/>
                <w:lang w:val="en-US" w:eastAsia="zh-CN"/>
              </w:rPr>
            </w:pPr>
            <w:r>
              <w:rPr>
                <w:rFonts w:hint="eastAsia" w:ascii="仿宋" w:hAnsi="仿宋" w:eastAsia="仿宋"/>
                <w:sz w:val="24"/>
                <w:szCs w:val="24"/>
                <w:lang w:val="en-US" w:eastAsia="zh-CN"/>
              </w:rPr>
              <w:t>1</w:t>
            </w:r>
          </w:p>
        </w:tc>
        <w:tc>
          <w:tcPr>
            <w:tcW w:w="2935" w:type="dxa"/>
            <w:vAlign w:val="center"/>
          </w:tcPr>
          <w:p>
            <w:pPr>
              <w:spacing w:line="460" w:lineRule="exact"/>
              <w:jc w:val="center"/>
              <w:rPr>
                <w:rFonts w:ascii="仿宋_GB2312" w:hAnsi="仿宋" w:eastAsia="仿宋_GB2312"/>
                <w:sz w:val="24"/>
                <w:szCs w:val="24"/>
              </w:rPr>
            </w:pPr>
            <w:r>
              <w:rPr>
                <w:rFonts w:hint="eastAsia" w:ascii="仿宋_GB2312" w:hAnsi="仿宋" w:eastAsia="仿宋_GB2312"/>
                <w:sz w:val="24"/>
                <w:szCs w:val="24"/>
              </w:rPr>
              <w:t>施耐德变频器</w:t>
            </w:r>
          </w:p>
        </w:tc>
        <w:tc>
          <w:tcPr>
            <w:tcW w:w="851" w:type="dxa"/>
            <w:vAlign w:val="center"/>
          </w:tcPr>
          <w:p>
            <w:pPr>
              <w:overflowPunct w:val="0"/>
              <w:spacing w:line="500" w:lineRule="exact"/>
              <w:jc w:val="center"/>
              <w:rPr>
                <w:rFonts w:hint="eastAsia" w:ascii="仿宋" w:hAnsi="仿宋" w:eastAsia="仿宋"/>
                <w:sz w:val="24"/>
                <w:szCs w:val="24"/>
                <w:lang w:val="en-US" w:eastAsia="zh-CN"/>
              </w:rPr>
            </w:pPr>
            <w:r>
              <w:rPr>
                <w:rFonts w:hint="eastAsia" w:ascii="仿宋" w:hAnsi="仿宋" w:eastAsia="仿宋"/>
                <w:sz w:val="24"/>
                <w:szCs w:val="24"/>
                <w:lang w:val="en-US" w:eastAsia="zh-CN"/>
              </w:rPr>
              <w:t>台</w:t>
            </w:r>
          </w:p>
        </w:tc>
        <w:tc>
          <w:tcPr>
            <w:tcW w:w="1134" w:type="dxa"/>
            <w:vAlign w:val="center"/>
          </w:tcPr>
          <w:p>
            <w:pPr>
              <w:overflowPunct w:val="0"/>
              <w:spacing w:line="500" w:lineRule="exact"/>
              <w:ind w:firstLine="520"/>
              <w:jc w:val="center"/>
              <w:rPr>
                <w:rFonts w:hint="eastAsia" w:ascii="仿宋" w:hAnsi="仿宋" w:eastAsia="仿宋"/>
                <w:sz w:val="24"/>
                <w:szCs w:val="24"/>
                <w:lang w:val="en-US" w:eastAsia="zh-CN"/>
              </w:rPr>
            </w:pPr>
            <w:r>
              <w:rPr>
                <w:rFonts w:hint="eastAsia" w:ascii="仿宋" w:hAnsi="仿宋" w:eastAsia="仿宋"/>
                <w:sz w:val="24"/>
                <w:szCs w:val="24"/>
                <w:lang w:val="en-US" w:eastAsia="zh-CN"/>
              </w:rPr>
              <w:t>1</w:t>
            </w:r>
          </w:p>
        </w:tc>
        <w:tc>
          <w:tcPr>
            <w:tcW w:w="3111" w:type="dxa"/>
            <w:vAlign w:val="center"/>
          </w:tcPr>
          <w:p>
            <w:pPr>
              <w:overflowPunct w:val="0"/>
              <w:spacing w:line="500" w:lineRule="exact"/>
              <w:jc w:val="both"/>
              <w:rPr>
                <w:rFonts w:hint="eastAsia" w:ascii="仿宋" w:hAnsi="仿宋" w:eastAsia="仿宋"/>
                <w:sz w:val="24"/>
                <w:szCs w:val="24"/>
              </w:rPr>
            </w:pPr>
            <w:r>
              <w:rPr>
                <w:rFonts w:hint="eastAsia" w:ascii="仿宋" w:hAnsi="仿宋" w:eastAsia="仿宋"/>
                <w:sz w:val="24"/>
                <w:szCs w:val="24"/>
              </w:rPr>
              <w:t>型号：Altivar 71 L</w:t>
            </w:r>
          </w:p>
          <w:p>
            <w:pPr>
              <w:overflowPunct w:val="0"/>
              <w:spacing w:line="500" w:lineRule="exact"/>
              <w:jc w:val="both"/>
              <w:rPr>
                <w:rFonts w:hint="eastAsia" w:ascii="仿宋" w:hAnsi="仿宋" w:eastAsia="仿宋"/>
                <w:sz w:val="24"/>
                <w:szCs w:val="24"/>
              </w:rPr>
            </w:pPr>
            <w:r>
              <w:rPr>
                <w:rFonts w:hint="eastAsia" w:ascii="仿宋" w:hAnsi="仿宋" w:eastAsia="仿宋"/>
                <w:sz w:val="24"/>
                <w:szCs w:val="24"/>
              </w:rPr>
              <w:t>参数：15kW-20HP380/480V</w:t>
            </w:r>
          </w:p>
        </w:tc>
      </w:tr>
    </w:tbl>
    <w:p>
      <w:pPr>
        <w:spacing w:line="460" w:lineRule="exact"/>
        <w:ind w:firstLine="640" w:firstLineChars="200"/>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（二）是否接受进口产品投标</w:t>
      </w:r>
    </w:p>
    <w:p>
      <w:pPr>
        <w:spacing w:line="460" w:lineRule="exact"/>
        <w:ind w:firstLine="640" w:firstLineChars="200"/>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1.本项目不接受进口产品投标（进口产品是指通过中国海关报关，验放进入中国境内，且产自关境外的产品）。</w:t>
      </w:r>
    </w:p>
    <w:p>
      <w:pPr>
        <w:spacing w:line="460" w:lineRule="exact"/>
        <w:ind w:firstLine="640" w:firstLineChars="200"/>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（三）项目基本情况和采购标的需实现的功能或目标</w:t>
      </w:r>
    </w:p>
    <w:p>
      <w:pPr>
        <w:spacing w:line="460" w:lineRule="exact"/>
        <w:ind w:firstLine="640" w:firstLineChars="200"/>
        <w:rPr>
          <w:rFonts w:hint="eastAsia" w:ascii="仿宋_GB2312" w:hAnsi="仿宋" w:eastAsia="仿宋_GB2312" w:cs="Times New Roman"/>
          <w:color w:val="000000"/>
          <w:sz w:val="32"/>
          <w:szCs w:val="32"/>
        </w:rPr>
      </w:pPr>
      <w:r>
        <w:rPr>
          <w:rFonts w:hint="eastAsia" w:ascii="仿宋_GB2312" w:hAnsi="仿宋" w:eastAsia="仿宋_GB2312" w:cs="Times New Roman"/>
          <w:color w:val="000000"/>
          <w:sz w:val="32"/>
          <w:szCs w:val="32"/>
          <w:lang w:val="en-US" w:eastAsia="zh-CN"/>
        </w:rPr>
        <w:t>满足克拉玛依市独山子人民医院外科辅楼1#电梯运行需求</w:t>
      </w:r>
    </w:p>
    <w:p>
      <w:pPr>
        <w:spacing w:line="460" w:lineRule="exact"/>
        <w:ind w:firstLine="640" w:firstLineChars="200"/>
        <w:rPr>
          <w:rFonts w:ascii="仿宋_GB2312" w:hAnsi="仿宋" w:eastAsia="仿宋_GB2312" w:cs="Times New Roman"/>
          <w:sz w:val="32"/>
          <w:szCs w:val="32"/>
        </w:rPr>
      </w:pPr>
      <w:r>
        <w:rPr>
          <w:rFonts w:hint="eastAsia" w:ascii="仿宋_GB2312" w:hAnsi="仿宋" w:eastAsia="仿宋_GB2312" w:cs="Times New Roman"/>
          <w:color w:val="000000"/>
          <w:sz w:val="32"/>
          <w:szCs w:val="32"/>
        </w:rPr>
        <w:t>（四）</w:t>
      </w:r>
      <w:r>
        <w:rPr>
          <w:rFonts w:hint="eastAsia" w:ascii="仿宋_GB2312" w:hAnsi="仿宋" w:eastAsia="仿宋_GB2312" w:cs="Times New Roman"/>
          <w:sz w:val="32"/>
          <w:szCs w:val="32"/>
        </w:rPr>
        <w:t>货物技术及服务标准</w:t>
      </w:r>
    </w:p>
    <w:p>
      <w:pPr>
        <w:spacing w:line="460" w:lineRule="exact"/>
        <w:ind w:firstLine="640" w:firstLineChars="200"/>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1、必须满足的技术及服务标准</w:t>
      </w:r>
    </w:p>
    <w:p>
      <w:pPr>
        <w:spacing w:line="460" w:lineRule="exact"/>
        <w:ind w:firstLine="640" w:firstLineChars="200"/>
        <w:rPr>
          <w:rFonts w:hint="eastAsia" w:ascii="仿宋_GB2312" w:hAnsi="仿宋" w:eastAsia="仿宋_GB2312" w:cs="Times New Roman"/>
          <w:color w:val="000000"/>
          <w:sz w:val="32"/>
          <w:szCs w:val="32"/>
          <w:lang w:val="en-US" w:eastAsia="zh-CN"/>
        </w:rPr>
      </w:pPr>
      <w:r>
        <w:rPr>
          <w:rFonts w:hint="eastAsia" w:ascii="仿宋_GB2312" w:hAnsi="仿宋" w:eastAsia="仿宋_GB2312" w:cs="Times New Roman"/>
          <w:color w:val="000000"/>
          <w:sz w:val="32"/>
          <w:szCs w:val="32"/>
          <w:lang w:val="en-US" w:eastAsia="zh-CN"/>
        </w:rPr>
        <w:t>供应商需提供安装和数据参数的调试服务，实现克拉玛依市独山</w:t>
      </w:r>
    </w:p>
    <w:p>
      <w:pPr>
        <w:spacing w:line="460" w:lineRule="exact"/>
        <w:ind w:firstLine="640" w:firstLineChars="200"/>
        <w:rPr>
          <w:rFonts w:hint="eastAsia" w:ascii="仿宋_GB2312" w:hAnsi="仿宋" w:eastAsia="仿宋_GB2312" w:cs="Times New Roman"/>
          <w:color w:val="000000"/>
          <w:sz w:val="32"/>
          <w:szCs w:val="32"/>
          <w:lang w:val="en-US" w:eastAsia="zh-CN"/>
        </w:rPr>
      </w:pPr>
    </w:p>
    <w:p>
      <w:pPr>
        <w:spacing w:line="460" w:lineRule="exact"/>
        <w:ind w:firstLine="640" w:firstLineChars="200"/>
        <w:rPr>
          <w:rFonts w:hint="eastAsia" w:ascii="仿宋_GB2312" w:hAnsi="仿宋" w:eastAsia="仿宋_GB2312" w:cs="Times New Roman"/>
          <w:color w:val="000000"/>
          <w:sz w:val="32"/>
          <w:szCs w:val="32"/>
          <w:lang w:val="en-US" w:eastAsia="zh-CN"/>
        </w:rPr>
      </w:pPr>
    </w:p>
    <w:p>
      <w:pPr>
        <w:spacing w:line="460" w:lineRule="exact"/>
        <w:ind w:firstLine="640" w:firstLineChars="200"/>
        <w:rPr>
          <w:rFonts w:hint="eastAsia" w:ascii="仿宋_GB2312" w:hAnsi="仿宋" w:eastAsia="仿宋_GB2312" w:cs="Times New Roman"/>
          <w:color w:val="000000"/>
          <w:sz w:val="32"/>
          <w:szCs w:val="32"/>
          <w:lang w:val="en-US" w:eastAsia="zh-CN"/>
        </w:rPr>
      </w:pPr>
    </w:p>
    <w:p>
      <w:pPr>
        <w:spacing w:line="460" w:lineRule="exact"/>
        <w:ind w:firstLine="640" w:firstLineChars="200"/>
        <w:rPr>
          <w:rFonts w:hint="default" w:ascii="仿宋_GB2312" w:hAnsi="仿宋" w:eastAsia="仿宋_GB2312" w:cs="Times New Roman"/>
          <w:color w:val="000000"/>
          <w:sz w:val="32"/>
          <w:szCs w:val="32"/>
          <w:lang w:val="en-US" w:eastAsia="zh-CN"/>
        </w:rPr>
      </w:pPr>
      <w:bookmarkStart w:id="1" w:name="_GoBack"/>
      <w:bookmarkEnd w:id="1"/>
      <w:r>
        <w:rPr>
          <w:rFonts w:hint="eastAsia" w:ascii="仿宋_GB2312" w:hAnsi="仿宋" w:eastAsia="仿宋_GB2312" w:cs="Times New Roman"/>
          <w:color w:val="000000"/>
          <w:sz w:val="32"/>
          <w:szCs w:val="32"/>
          <w:lang w:val="en-US" w:eastAsia="zh-CN"/>
        </w:rPr>
        <w:t>子人民医院外科辅楼1#电梯运行需求。</w:t>
      </w:r>
    </w:p>
    <w:p>
      <w:pPr>
        <w:numPr>
          <w:ilvl w:val="0"/>
          <w:numId w:val="3"/>
        </w:numPr>
        <w:snapToGrid w:val="0"/>
        <w:spacing w:line="460" w:lineRule="exact"/>
        <w:ind w:firstLine="800" w:firstLineChars="250"/>
        <w:rPr>
          <w:rFonts w:hint="eastAsia" w:ascii="仿宋_GB2312" w:hAnsi="仿宋" w:eastAsia="仿宋_GB2312" w:cs="Times New Roman"/>
          <w:color w:val="000000"/>
          <w:sz w:val="32"/>
          <w:szCs w:val="32"/>
        </w:rPr>
      </w:pPr>
      <w:r>
        <w:rPr>
          <w:rFonts w:hint="eastAsia" w:ascii="仿宋_GB2312" w:hAnsi="仿宋" w:eastAsia="仿宋_GB2312" w:cs="宋体"/>
          <w:kern w:val="0"/>
          <w:sz w:val="32"/>
          <w:szCs w:val="32"/>
        </w:rPr>
        <w:t>一般性</w:t>
      </w:r>
      <w:r>
        <w:rPr>
          <w:rFonts w:hint="eastAsia" w:ascii="仿宋_GB2312" w:hAnsi="仿宋" w:eastAsia="仿宋_GB2312" w:cs="Times New Roman"/>
          <w:color w:val="000000"/>
          <w:sz w:val="32"/>
          <w:szCs w:val="32"/>
        </w:rPr>
        <w:t>技术及服务标准</w:t>
      </w:r>
    </w:p>
    <w:p>
      <w:pPr>
        <w:numPr>
          <w:ilvl w:val="0"/>
          <w:numId w:val="0"/>
        </w:numPr>
        <w:snapToGrid w:val="0"/>
        <w:spacing w:line="460" w:lineRule="exact"/>
        <w:rPr>
          <w:rFonts w:hint="default" w:ascii="仿宋_GB2312" w:hAnsi="仿宋" w:eastAsia="仿宋_GB2312" w:cs="Times New Roman"/>
          <w:color w:val="000000"/>
          <w:sz w:val="32"/>
          <w:szCs w:val="32"/>
          <w:lang w:val="en-US" w:eastAsia="zh-CN"/>
        </w:rPr>
      </w:pPr>
      <w:r>
        <w:rPr>
          <w:rFonts w:hint="eastAsia" w:ascii="仿宋_GB2312" w:hAnsi="仿宋" w:eastAsia="仿宋_GB2312" w:cs="Times New Roman"/>
          <w:color w:val="000000"/>
          <w:sz w:val="32"/>
          <w:szCs w:val="32"/>
          <w:lang w:val="en-US" w:eastAsia="zh-CN"/>
        </w:rPr>
        <w:t xml:space="preserve">         无</w:t>
      </w:r>
    </w:p>
    <w:p>
      <w:pPr>
        <w:pStyle w:val="12"/>
        <w:numPr>
          <w:ilvl w:val="0"/>
          <w:numId w:val="1"/>
        </w:numPr>
        <w:spacing w:line="460" w:lineRule="exact"/>
        <w:ind w:firstLineChars="0"/>
        <w:rPr>
          <w:rFonts w:ascii="仿宋_GB2312" w:hAnsi="仿宋" w:eastAsia="仿宋_GB2312" w:cs="Times New Roman"/>
          <w:b/>
          <w:sz w:val="32"/>
          <w:szCs w:val="32"/>
        </w:rPr>
      </w:pPr>
      <w:r>
        <w:rPr>
          <w:rFonts w:hint="eastAsia" w:ascii="仿宋_GB2312" w:hAnsi="仿宋" w:eastAsia="仿宋_GB2312" w:cs="Times New Roman"/>
          <w:b/>
          <w:sz w:val="32"/>
          <w:szCs w:val="32"/>
        </w:rPr>
        <w:t>交货期</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中标人应在采购合同签订后</w:t>
      </w:r>
      <w:r>
        <w:rPr>
          <w:rFonts w:hint="eastAsia" w:ascii="仿宋_GB2312" w:hAnsi="仿宋" w:eastAsia="仿宋_GB2312" w:cs="Times New Roman"/>
          <w:color w:val="000000"/>
          <w:sz w:val="32"/>
          <w:szCs w:val="32"/>
          <w:lang w:val="en-US" w:eastAsia="zh-CN"/>
        </w:rPr>
        <w:t>30</w:t>
      </w:r>
      <w:r>
        <w:rPr>
          <w:rFonts w:hint="eastAsia" w:ascii="仿宋_GB2312" w:hAnsi="仿宋" w:eastAsia="仿宋_GB2312" w:cs="Times New Roman"/>
          <w:color w:val="000000"/>
          <w:sz w:val="32"/>
          <w:szCs w:val="32"/>
        </w:rPr>
        <w:t>日内交货并完成安装调试。</w:t>
      </w:r>
    </w:p>
    <w:p>
      <w:pPr>
        <w:pStyle w:val="12"/>
        <w:numPr>
          <w:ilvl w:val="0"/>
          <w:numId w:val="1"/>
        </w:numPr>
        <w:spacing w:line="460" w:lineRule="exact"/>
        <w:ind w:firstLineChars="0"/>
        <w:rPr>
          <w:rFonts w:ascii="仿宋_GB2312" w:hAnsi="仿宋" w:eastAsia="仿宋_GB2312" w:cs="Times New Roman"/>
          <w:b/>
          <w:sz w:val="32"/>
          <w:szCs w:val="32"/>
        </w:rPr>
      </w:pPr>
      <w:r>
        <w:rPr>
          <w:rFonts w:hint="eastAsia" w:ascii="仿宋_GB2312" w:hAnsi="仿宋" w:eastAsia="仿宋_GB2312" w:cs="Times New Roman"/>
          <w:b/>
          <w:sz w:val="32"/>
          <w:szCs w:val="32"/>
        </w:rPr>
        <w:t>交货地点</w:t>
      </w:r>
    </w:p>
    <w:p>
      <w:pPr>
        <w:spacing w:line="460" w:lineRule="exact"/>
        <w:ind w:firstLine="566" w:firstLineChars="177"/>
        <w:rPr>
          <w:rFonts w:hint="eastAsia" w:ascii="仿宋_GB2312" w:hAnsi="仿宋" w:eastAsia="仿宋_GB2312" w:cs="Times New Roman"/>
          <w:color w:val="000000"/>
          <w:sz w:val="32"/>
          <w:szCs w:val="32"/>
        </w:rPr>
      </w:pPr>
      <w:r>
        <w:rPr>
          <w:rFonts w:hint="eastAsia" w:ascii="仿宋_GB2312" w:hAnsi="仿宋" w:eastAsia="仿宋_GB2312" w:cs="Times New Roman"/>
          <w:color w:val="000000"/>
          <w:sz w:val="32"/>
          <w:szCs w:val="32"/>
          <w:lang w:val="en-US" w:eastAsia="zh-CN"/>
        </w:rPr>
        <w:t>克拉玛依市独山子人民医院</w:t>
      </w:r>
    </w:p>
    <w:p>
      <w:pPr>
        <w:pStyle w:val="12"/>
        <w:numPr>
          <w:ilvl w:val="0"/>
          <w:numId w:val="1"/>
        </w:numPr>
        <w:spacing w:line="460" w:lineRule="exact"/>
        <w:ind w:firstLineChars="0"/>
        <w:rPr>
          <w:rFonts w:ascii="仿宋_GB2312" w:hAnsi="仿宋" w:eastAsia="仿宋_GB2312" w:cs="Times New Roman"/>
          <w:b/>
          <w:sz w:val="32"/>
          <w:szCs w:val="32"/>
        </w:rPr>
      </w:pPr>
      <w:r>
        <w:rPr>
          <w:rFonts w:hint="eastAsia" w:ascii="仿宋_GB2312" w:hAnsi="仿宋" w:eastAsia="仿宋_GB2312" w:cs="Times New Roman"/>
          <w:b/>
          <w:sz w:val="32"/>
          <w:szCs w:val="32"/>
        </w:rPr>
        <w:t>验收方式</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1、货物到达现场后，中标人应在使用单位人员在场情况下当面开箱，共同清点、检查外观，作出开箱记录，双方签字确认。</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2、中标人应保证货物到达采购人所在地完好无损，如有缺漏、损坏，由供应商负责调换、补齐或赔偿。</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3、中标人应提供完备的技术资料、装箱单和合格证等，并派遣专业技术人员进行现场安装调试。验收合格条件如下：</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3.1设备技术参数与采购合同一致，性能指标达到规定的标准。</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3.2货物技术资料、装箱单、合格证等资料齐全。</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3.3在系统试运行期间所出现的问题得到解决，并运行正常。</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3.4在规定时间内交货和验收，并经采购人确认。</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4、产品在安装调试并试运行符合要求后，才作为最终验收。</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5、供应商提供的货物未达到招标文件规定要求，且对采购人造成损失的，由供应商承担一切责任，并赔偿所造成的损失。</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6、大型或者复杂的政府采购项目，采购人应当邀请国家认可的质量检测机构参加验收工作。</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7、采购人需要制造商对中标人交付的产品（包括质量、技术参数等）进行确认的，制造商应予以配合，并出具书面意见。</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8、产品包装材料归采购人所有。</w:t>
      </w:r>
    </w:p>
    <w:p>
      <w:pPr>
        <w:pStyle w:val="12"/>
        <w:numPr>
          <w:ilvl w:val="0"/>
          <w:numId w:val="1"/>
        </w:numPr>
        <w:spacing w:line="460" w:lineRule="exact"/>
        <w:ind w:firstLineChars="0"/>
        <w:rPr>
          <w:rFonts w:ascii="仿宋_GB2312" w:hAnsi="仿宋" w:eastAsia="仿宋_GB2312" w:cs="Times New Roman"/>
          <w:b/>
          <w:sz w:val="32"/>
          <w:szCs w:val="32"/>
        </w:rPr>
      </w:pPr>
      <w:r>
        <w:rPr>
          <w:rFonts w:hint="eastAsia" w:ascii="仿宋_GB2312" w:hAnsi="仿宋" w:eastAsia="仿宋_GB2312" w:cs="Times New Roman"/>
          <w:b/>
          <w:sz w:val="32"/>
          <w:szCs w:val="32"/>
        </w:rPr>
        <w:t>产品质量保证期</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1、投标产品质量保证期</w:t>
      </w:r>
      <w:r>
        <w:rPr>
          <w:rFonts w:hint="eastAsia" w:ascii="仿宋_GB2312" w:hAnsi="仿宋" w:eastAsia="仿宋_GB2312" w:cs="Times New Roman"/>
          <w:color w:val="000000"/>
          <w:sz w:val="32"/>
          <w:szCs w:val="32"/>
          <w:lang w:val="en-US" w:eastAsia="zh-CN"/>
        </w:rPr>
        <w:t>2</w:t>
      </w:r>
      <w:r>
        <w:rPr>
          <w:rFonts w:hint="eastAsia" w:ascii="仿宋_GB2312" w:hAnsi="仿宋" w:eastAsia="仿宋_GB2312" w:cs="Times New Roman"/>
          <w:color w:val="000000"/>
          <w:sz w:val="32"/>
          <w:szCs w:val="32"/>
        </w:rPr>
        <w:t>年。</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2、投标产品属于国家规定“三包”范围的，其产品质量保证期不得低于“三包”规定。</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3、投标人的质量保证期承诺优于国家“三包”规定的，按投标人实际承诺执行。</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4、投标产品由制造商（指产品生产制造商，或其负责销售、售后服务机构，以下同）负责标准售后服务的，应当在投标文件中予以明确说明，并附制造商售后服务承诺。</w:t>
      </w:r>
    </w:p>
    <w:p>
      <w:pPr>
        <w:pStyle w:val="12"/>
        <w:numPr>
          <w:ilvl w:val="0"/>
          <w:numId w:val="1"/>
        </w:numPr>
        <w:spacing w:line="460" w:lineRule="exact"/>
        <w:ind w:firstLineChars="0"/>
        <w:rPr>
          <w:rFonts w:ascii="仿宋_GB2312" w:hAnsi="仿宋" w:eastAsia="仿宋_GB2312" w:cs="Times New Roman"/>
          <w:b/>
          <w:sz w:val="32"/>
          <w:szCs w:val="32"/>
        </w:rPr>
      </w:pPr>
      <w:r>
        <w:rPr>
          <w:rFonts w:hint="eastAsia" w:ascii="仿宋_GB2312" w:hAnsi="仿宋" w:eastAsia="仿宋_GB2312" w:cs="Times New Roman"/>
          <w:b/>
          <w:sz w:val="32"/>
          <w:szCs w:val="32"/>
        </w:rPr>
        <w:t>售后服务内容</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1、投标人和制造商在质量保证期内应当为采购人提供以下技术支持和服务：</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1.1电话咨询</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中标人和制造商应当为采购人提供技术援助电话，解答采购人在使用中遇到的问题，及时为采购人提出解决问题的建议。</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1.2现场响应</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采购人遇到使用及技术问题，电话咨询不能解决的，中标人和制造商应在24小时内到达现场进行处理，确保产品正常工作。</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1.3技术升级</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在质保期内，如果中标人和制造商的产品技术升级，供应商应及时通知采购人，如采购人有相应要求，中标人和制造商应对采购人购买的产品进行升级服务。</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2、质保期外服务要求</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2.1质量保证期过后，供应商和制造商应同样提供免费电话咨询服务，并应承诺提供产品上门维护服务。</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2.2质量保证期过后，采购人需要继续由原供应商和制造商提供售后服务的，该供应商和制造商应以优惠价格提供售后服务。</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3、备品备件及易损件</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中标人和制造商售后服务中，维修使用的备品备件及易损件应为原厂配件，未经采购人同意不得使用非原厂配件，常用的、容易损坏的备品备件及易损件的价格清单须在投标文件中列出。</w:t>
      </w:r>
    </w:p>
    <w:p>
      <w:pPr>
        <w:pStyle w:val="12"/>
        <w:numPr>
          <w:ilvl w:val="0"/>
          <w:numId w:val="1"/>
        </w:numPr>
        <w:spacing w:line="460" w:lineRule="exact"/>
        <w:ind w:firstLineChars="0"/>
        <w:rPr>
          <w:rFonts w:ascii="仿宋_GB2312" w:hAnsi="仿宋" w:eastAsia="仿宋_GB2312" w:cs="Times New Roman"/>
          <w:b/>
          <w:sz w:val="32"/>
          <w:szCs w:val="32"/>
        </w:rPr>
      </w:pPr>
      <w:r>
        <w:rPr>
          <w:rFonts w:hint="eastAsia" w:ascii="仿宋_GB2312" w:hAnsi="仿宋" w:eastAsia="仿宋_GB2312" w:cs="Times New Roman"/>
          <w:b/>
          <w:sz w:val="32"/>
          <w:szCs w:val="32"/>
        </w:rPr>
        <w:t>付款方式</w:t>
      </w:r>
    </w:p>
    <w:p>
      <w:pPr>
        <w:spacing w:line="460" w:lineRule="exact"/>
        <w:rPr>
          <w:rFonts w:hint="eastAsia" w:ascii="仿宋_GB2312" w:hAnsi="仿宋" w:eastAsia="仿宋_GB2312" w:cs="Times New Roman"/>
          <w:color w:val="000000"/>
          <w:sz w:val="32"/>
          <w:szCs w:val="32"/>
          <w:lang w:val="en-US" w:eastAsia="zh-CN"/>
        </w:rPr>
      </w:pPr>
      <w:r>
        <w:rPr>
          <w:rFonts w:hint="eastAsia" w:ascii="仿宋_GB2312" w:hAnsi="仿宋" w:eastAsia="仿宋_GB2312" w:cs="Times New Roman"/>
          <w:color w:val="000000"/>
          <w:sz w:val="32"/>
          <w:szCs w:val="32"/>
        </w:rPr>
        <w:t>（</w:t>
      </w:r>
      <w:r>
        <w:rPr>
          <w:rFonts w:hint="eastAsia" w:ascii="仿宋_GB2312" w:hAnsi="仿宋" w:eastAsia="仿宋_GB2312" w:cs="Times New Roman"/>
          <w:color w:val="000000"/>
          <w:sz w:val="32"/>
          <w:szCs w:val="32"/>
          <w:lang w:eastAsia="zh-CN"/>
        </w:rPr>
        <w:t>一</w:t>
      </w:r>
      <w:r>
        <w:rPr>
          <w:rFonts w:hint="eastAsia" w:ascii="仿宋_GB2312" w:hAnsi="仿宋" w:eastAsia="仿宋_GB2312" w:cs="Times New Roman"/>
          <w:color w:val="000000"/>
          <w:sz w:val="32"/>
          <w:szCs w:val="32"/>
        </w:rPr>
        <w:t>）中标人按采购合同交货，完成安装调试，经验收合格后</w:t>
      </w:r>
      <w:r>
        <w:rPr>
          <w:rFonts w:hint="eastAsia" w:ascii="仿宋_GB2312" w:hAnsi="仿宋" w:eastAsia="仿宋_GB2312" w:cs="Times New Roman"/>
          <w:color w:val="000000"/>
          <w:sz w:val="32"/>
          <w:szCs w:val="32"/>
          <w:lang w:val="en-US" w:eastAsia="zh-CN"/>
        </w:rPr>
        <w:t>30日内</w:t>
      </w:r>
      <w:r>
        <w:rPr>
          <w:rFonts w:hint="eastAsia" w:ascii="仿宋_GB2312" w:hAnsi="仿宋" w:eastAsia="仿宋_GB2312" w:cs="Times New Roman"/>
          <w:color w:val="000000"/>
          <w:sz w:val="32"/>
          <w:szCs w:val="32"/>
        </w:rPr>
        <w:t>，</w:t>
      </w:r>
      <w:r>
        <w:rPr>
          <w:rFonts w:hint="eastAsia" w:ascii="仿宋_GB2312" w:hAnsi="仿宋" w:eastAsia="仿宋_GB2312" w:cs="Times New Roman"/>
          <w:color w:val="000000"/>
          <w:sz w:val="32"/>
          <w:szCs w:val="32"/>
          <w:lang w:val="en-US" w:eastAsia="zh-CN"/>
        </w:rPr>
        <w:t>采购人向中标人支付合同总价款的95%，待保修期满后无任何质量问题一次性付清余款5%的货款。</w:t>
      </w:r>
    </w:p>
    <w:p>
      <w:pPr>
        <w:spacing w:line="460" w:lineRule="exact"/>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w:t>
      </w:r>
      <w:r>
        <w:rPr>
          <w:rFonts w:hint="eastAsia" w:ascii="仿宋_GB2312" w:hAnsi="仿宋" w:eastAsia="仿宋_GB2312" w:cs="Times New Roman"/>
          <w:color w:val="000000"/>
          <w:sz w:val="32"/>
          <w:szCs w:val="32"/>
          <w:lang w:eastAsia="zh-CN"/>
        </w:rPr>
        <w:t>二</w:t>
      </w:r>
      <w:r>
        <w:rPr>
          <w:rFonts w:hint="eastAsia" w:ascii="仿宋_GB2312" w:hAnsi="仿宋" w:eastAsia="仿宋_GB2312" w:cs="Times New Roman"/>
          <w:color w:val="000000"/>
          <w:sz w:val="32"/>
          <w:szCs w:val="32"/>
        </w:rPr>
        <w:t>）中标人提交采购合同、发票等材料，向采购人申请付款。</w:t>
      </w:r>
    </w:p>
    <w:p>
      <w:pPr>
        <w:spacing w:line="460" w:lineRule="exact"/>
        <w:rPr>
          <w:rFonts w:ascii="仿宋_GB2312" w:hAnsi="仿宋" w:eastAsia="仿宋_GB2312" w:cs="Times New Roman"/>
          <w:b/>
          <w:sz w:val="32"/>
          <w:szCs w:val="32"/>
        </w:rPr>
      </w:pPr>
      <w:r>
        <w:rPr>
          <w:rFonts w:hint="eastAsia" w:ascii="仿宋_GB2312" w:hAnsi="仿宋" w:eastAsia="仿宋_GB2312" w:cs="Times New Roman"/>
          <w:color w:val="000000"/>
          <w:sz w:val="32"/>
          <w:szCs w:val="32"/>
        </w:rPr>
        <w:t>（</w:t>
      </w:r>
      <w:r>
        <w:rPr>
          <w:rFonts w:hint="eastAsia" w:ascii="仿宋_GB2312" w:hAnsi="仿宋" w:eastAsia="仿宋_GB2312" w:cs="Times New Roman"/>
          <w:color w:val="000000"/>
          <w:sz w:val="32"/>
          <w:szCs w:val="32"/>
          <w:lang w:eastAsia="zh-CN"/>
        </w:rPr>
        <w:t>三</w:t>
      </w:r>
      <w:r>
        <w:rPr>
          <w:rFonts w:hint="eastAsia" w:ascii="仿宋_GB2312" w:hAnsi="仿宋" w:eastAsia="仿宋_GB2312" w:cs="Times New Roman"/>
          <w:color w:val="000000"/>
          <w:sz w:val="32"/>
          <w:szCs w:val="32"/>
        </w:rPr>
        <w:t>）采购人对中标人提交的付款资料审核通过后，以转账方式向中标人付款。</w:t>
      </w:r>
    </w:p>
    <w:p>
      <w:pPr>
        <w:pStyle w:val="12"/>
        <w:numPr>
          <w:ilvl w:val="0"/>
          <w:numId w:val="1"/>
        </w:numPr>
        <w:spacing w:line="460" w:lineRule="exact"/>
        <w:ind w:firstLineChars="0"/>
        <w:rPr>
          <w:rFonts w:ascii="仿宋_GB2312" w:hAnsi="仿宋" w:eastAsia="仿宋_GB2312" w:cs="Times New Roman"/>
          <w:b/>
          <w:sz w:val="32"/>
          <w:szCs w:val="32"/>
        </w:rPr>
      </w:pPr>
      <w:r>
        <w:rPr>
          <w:rFonts w:hint="eastAsia" w:ascii="仿宋_GB2312" w:hAnsi="仿宋" w:eastAsia="仿宋_GB2312" w:cs="Times New Roman"/>
          <w:b/>
          <w:sz w:val="32"/>
          <w:szCs w:val="32"/>
        </w:rPr>
        <w:t>履约保证金</w:t>
      </w:r>
    </w:p>
    <w:p>
      <w:pPr>
        <w:pStyle w:val="12"/>
        <w:numPr>
          <w:ilvl w:val="0"/>
          <w:numId w:val="0"/>
        </w:numPr>
        <w:spacing w:line="460" w:lineRule="exact"/>
        <w:ind w:left="640" w:leftChars="0"/>
        <w:rPr>
          <w:rFonts w:hint="eastAsia" w:ascii="仿宋_GB2312" w:hAnsi="仿宋" w:eastAsia="仿宋_GB2312" w:cs="Times New Roman"/>
          <w:b/>
          <w:sz w:val="32"/>
          <w:szCs w:val="32"/>
          <w:lang w:eastAsia="zh-CN"/>
        </w:rPr>
      </w:pPr>
      <w:r>
        <w:rPr>
          <w:rFonts w:hint="eastAsia" w:ascii="仿宋_GB2312" w:hAnsi="仿宋" w:eastAsia="仿宋_GB2312" w:cs="Times New Roman"/>
          <w:b/>
          <w:sz w:val="32"/>
          <w:szCs w:val="32"/>
          <w:lang w:eastAsia="zh-CN"/>
        </w:rPr>
        <w:t>无</w:t>
      </w:r>
    </w:p>
    <w:p>
      <w:pPr>
        <w:pStyle w:val="12"/>
        <w:numPr>
          <w:ilvl w:val="0"/>
          <w:numId w:val="1"/>
        </w:numPr>
        <w:spacing w:line="460" w:lineRule="exact"/>
        <w:ind w:firstLineChars="0"/>
        <w:rPr>
          <w:rFonts w:ascii="仿宋_GB2312" w:hAnsi="仿宋" w:eastAsia="仿宋_GB2312" w:cs="Times New Roman"/>
          <w:b/>
          <w:sz w:val="32"/>
          <w:szCs w:val="32"/>
        </w:rPr>
      </w:pPr>
      <w:r>
        <w:rPr>
          <w:rFonts w:hint="eastAsia" w:ascii="仿宋_GB2312" w:hAnsi="仿宋" w:eastAsia="仿宋_GB2312" w:cs="Times New Roman"/>
          <w:b/>
          <w:sz w:val="32"/>
          <w:szCs w:val="32"/>
        </w:rPr>
        <w:t>培训</w:t>
      </w:r>
    </w:p>
    <w:p>
      <w:pPr>
        <w:pStyle w:val="12"/>
        <w:numPr>
          <w:ilvl w:val="0"/>
          <w:numId w:val="0"/>
        </w:numPr>
        <w:spacing w:line="460" w:lineRule="exact"/>
        <w:ind w:firstLine="964" w:firstLineChars="300"/>
        <w:rPr>
          <w:rFonts w:ascii="仿宋_GB2312" w:hAnsi="仿宋" w:eastAsia="仿宋_GB2312" w:cs="Times New Roman"/>
          <w:b/>
          <w:sz w:val="32"/>
          <w:szCs w:val="32"/>
        </w:rPr>
      </w:pPr>
      <w:r>
        <w:rPr>
          <w:rFonts w:hint="eastAsia" w:ascii="仿宋_GB2312" w:hAnsi="仿宋" w:eastAsia="仿宋_GB2312" w:cs="Times New Roman"/>
          <w:b/>
          <w:sz w:val="32"/>
          <w:szCs w:val="32"/>
          <w:lang w:eastAsia="zh-CN"/>
        </w:rPr>
        <w:t>无</w:t>
      </w:r>
    </w:p>
    <w:p>
      <w:pPr>
        <w:pStyle w:val="12"/>
        <w:numPr>
          <w:ilvl w:val="0"/>
          <w:numId w:val="1"/>
        </w:numPr>
        <w:spacing w:line="460" w:lineRule="exact"/>
        <w:ind w:firstLineChars="0"/>
        <w:rPr>
          <w:rFonts w:ascii="仿宋_GB2312" w:hAnsi="仿宋" w:eastAsia="仿宋_GB2312" w:cs="Times New Roman"/>
          <w:b/>
          <w:sz w:val="32"/>
          <w:szCs w:val="32"/>
        </w:rPr>
      </w:pPr>
      <w:r>
        <w:rPr>
          <w:rFonts w:hint="eastAsia" w:ascii="仿宋_GB2312" w:hAnsi="仿宋" w:eastAsia="仿宋_GB2312" w:cs="Times New Roman"/>
          <w:b/>
          <w:sz w:val="32"/>
          <w:szCs w:val="32"/>
        </w:rPr>
        <w:t>采购单位咨询电话</w:t>
      </w:r>
    </w:p>
    <w:p>
      <w:pPr>
        <w:snapToGrid w:val="0"/>
        <w:spacing w:line="460" w:lineRule="exact"/>
        <w:ind w:firstLine="800" w:firstLineChars="250"/>
        <w:rPr>
          <w:rFonts w:hint="eastAsia" w:ascii="仿宋_GB2312" w:hAnsi="仿宋" w:eastAsia="仿宋_GB2312" w:cs="宋体"/>
          <w:kern w:val="0"/>
          <w:sz w:val="32"/>
          <w:szCs w:val="32"/>
          <w:lang w:eastAsia="zh-CN"/>
        </w:rPr>
      </w:pPr>
      <w:r>
        <w:rPr>
          <w:rFonts w:hint="eastAsia" w:ascii="仿宋_GB2312" w:hAnsi="仿宋" w:eastAsia="仿宋_GB2312" w:cs="宋体"/>
          <w:kern w:val="0"/>
          <w:sz w:val="32"/>
          <w:szCs w:val="32"/>
        </w:rPr>
        <w:t>联系人：</w:t>
      </w:r>
      <w:r>
        <w:rPr>
          <w:rFonts w:hint="eastAsia" w:ascii="仿宋_GB2312" w:hAnsi="仿宋" w:eastAsia="仿宋_GB2312" w:cs="宋体"/>
          <w:kern w:val="0"/>
          <w:sz w:val="32"/>
          <w:szCs w:val="32"/>
          <w:lang w:eastAsia="zh-CN"/>
        </w:rPr>
        <w:t>张元</w:t>
      </w:r>
    </w:p>
    <w:p>
      <w:pPr>
        <w:snapToGrid w:val="0"/>
        <w:spacing w:line="460" w:lineRule="exact"/>
        <w:ind w:firstLine="800" w:firstLineChars="250"/>
        <w:rPr>
          <w:rFonts w:hint="default" w:ascii="仿宋_GB2312" w:hAnsi="仿宋" w:eastAsia="仿宋_GB2312" w:cs="宋体"/>
          <w:kern w:val="0"/>
          <w:sz w:val="32"/>
          <w:szCs w:val="32"/>
          <w:lang w:val="en-US" w:eastAsia="zh-CN"/>
        </w:rPr>
      </w:pPr>
      <w:r>
        <w:rPr>
          <w:rFonts w:hint="eastAsia" w:ascii="仿宋_GB2312" w:hAnsi="仿宋" w:eastAsia="仿宋_GB2312" w:cs="宋体"/>
          <w:kern w:val="0"/>
          <w:sz w:val="32"/>
          <w:szCs w:val="32"/>
        </w:rPr>
        <w:t>联系电话：</w:t>
      </w:r>
      <w:r>
        <w:rPr>
          <w:rFonts w:hint="eastAsia" w:ascii="仿宋_GB2312" w:hAnsi="仿宋" w:eastAsia="仿宋_GB2312" w:cs="宋体"/>
          <w:kern w:val="0"/>
          <w:sz w:val="32"/>
          <w:szCs w:val="32"/>
          <w:lang w:val="en-US" w:eastAsia="zh-CN"/>
        </w:rPr>
        <w:t>0992-3686977</w:t>
      </w:r>
    </w:p>
    <w:p>
      <w:pPr>
        <w:snapToGrid w:val="0"/>
        <w:spacing w:line="460" w:lineRule="exact"/>
        <w:ind w:firstLine="800" w:firstLineChars="250"/>
        <w:rPr>
          <w:rFonts w:hint="eastAsia" w:ascii="仿宋_GB2312" w:hAnsi="仿宋" w:eastAsia="仿宋_GB2312" w:cs="宋体"/>
          <w:kern w:val="0"/>
          <w:sz w:val="32"/>
          <w:szCs w:val="32"/>
          <w:lang w:eastAsia="zh-CN"/>
        </w:rPr>
      </w:pPr>
      <w:r>
        <w:rPr>
          <w:rFonts w:hint="eastAsia" w:ascii="仿宋_GB2312" w:hAnsi="仿宋" w:eastAsia="仿宋_GB2312" w:cs="宋体"/>
          <w:kern w:val="0"/>
          <w:sz w:val="32"/>
          <w:szCs w:val="32"/>
        </w:rPr>
        <w:t>地址：</w:t>
      </w:r>
      <w:r>
        <w:rPr>
          <w:rFonts w:hint="eastAsia" w:ascii="仿宋_GB2312" w:hAnsi="仿宋" w:eastAsia="仿宋_GB2312" w:cs="宋体"/>
          <w:kern w:val="0"/>
          <w:sz w:val="32"/>
          <w:szCs w:val="32"/>
          <w:lang w:eastAsia="zh-CN"/>
        </w:rPr>
        <w:t>克拉玛依市独山子人民医院</w:t>
      </w:r>
    </w:p>
    <w:p>
      <w:pPr>
        <w:spacing w:line="460" w:lineRule="exact"/>
        <w:ind w:firstLine="569" w:firstLineChars="177"/>
        <w:rPr>
          <w:rFonts w:ascii="仿宋_GB2312" w:hAnsi="仿宋" w:eastAsia="仿宋_GB2312" w:cs="宋体"/>
          <w:b/>
          <w:bCs/>
          <w:kern w:val="0"/>
          <w:sz w:val="32"/>
          <w:szCs w:val="32"/>
        </w:rPr>
      </w:pPr>
      <w:r>
        <w:rPr>
          <w:rFonts w:hint="eastAsia" w:ascii="仿宋_GB2312" w:hAnsi="仿宋" w:eastAsia="仿宋_GB2312" w:cs="Times New Roman"/>
          <w:b/>
          <w:bCs/>
          <w:color w:val="000000"/>
          <w:sz w:val="32"/>
          <w:szCs w:val="32"/>
          <w:lang w:eastAsia="zh-CN"/>
        </w:rPr>
        <w:t>十二、</w:t>
      </w:r>
      <w:r>
        <w:rPr>
          <w:rFonts w:hint="eastAsia" w:ascii="仿宋_GB2312" w:hAnsi="仿宋" w:eastAsia="仿宋_GB2312" w:cs="Times New Roman"/>
          <w:b/>
          <w:bCs/>
          <w:color w:val="000000"/>
          <w:sz w:val="32"/>
          <w:szCs w:val="32"/>
        </w:rPr>
        <w:t>提供不少于3个能满足本采购需求的产品品牌名称</w:t>
      </w:r>
    </w:p>
    <w:p>
      <w:pPr>
        <w:snapToGrid w:val="0"/>
        <w:spacing w:line="460" w:lineRule="exact"/>
        <w:ind w:firstLine="900" w:firstLineChars="250"/>
        <w:rPr>
          <w:rFonts w:ascii="仿宋_GB2312" w:hAnsi="仿宋" w:eastAsia="仿宋_GB2312" w:cs="宋体"/>
          <w:kern w:val="0"/>
          <w:sz w:val="36"/>
          <w:szCs w:val="36"/>
        </w:rPr>
      </w:pPr>
      <w:r>
        <w:rPr>
          <w:rFonts w:hint="eastAsia" w:ascii="仿宋_GB2312" w:hAnsi="仿宋" w:eastAsia="仿宋_GB2312"/>
          <w:sz w:val="36"/>
          <w:szCs w:val="36"/>
        </w:rPr>
        <w:t>施耐德</w:t>
      </w:r>
    </w:p>
    <w:p>
      <w:pPr>
        <w:snapToGrid w:val="0"/>
        <w:spacing w:line="460" w:lineRule="exact"/>
        <w:ind w:firstLine="2240" w:firstLineChars="700"/>
        <w:rPr>
          <w:rFonts w:hint="eastAsia" w:ascii="仿宋_GB2312" w:hAnsi="仿宋" w:eastAsia="仿宋_GB2312" w:cs="Times New Roman"/>
          <w:color w:val="000000"/>
          <w:sz w:val="32"/>
          <w:szCs w:val="32"/>
        </w:rPr>
      </w:pPr>
    </w:p>
    <w:p>
      <w:pPr>
        <w:snapToGrid w:val="0"/>
        <w:spacing w:line="460" w:lineRule="exact"/>
        <w:ind w:firstLine="2240" w:firstLineChars="700"/>
        <w:rPr>
          <w:rFonts w:hint="eastAsia" w:ascii="仿宋_GB2312" w:hAnsi="仿宋" w:eastAsia="仿宋_GB2312" w:cs="Times New Roman"/>
          <w:color w:val="000000"/>
          <w:sz w:val="32"/>
          <w:szCs w:val="32"/>
        </w:rPr>
      </w:pPr>
    </w:p>
    <w:p>
      <w:pPr>
        <w:snapToGrid w:val="0"/>
        <w:spacing w:line="460" w:lineRule="exact"/>
        <w:ind w:firstLine="2240" w:firstLineChars="700"/>
        <w:rPr>
          <w:rFonts w:hint="eastAsia" w:ascii="仿宋_GB2312" w:hAnsi="仿宋" w:eastAsia="仿宋_GB2312" w:cs="Times New Roman"/>
          <w:color w:val="000000"/>
          <w:sz w:val="32"/>
          <w:szCs w:val="32"/>
        </w:rPr>
      </w:pPr>
    </w:p>
    <w:p>
      <w:pPr>
        <w:snapToGrid w:val="0"/>
        <w:spacing w:line="460" w:lineRule="exact"/>
        <w:ind w:firstLine="3200" w:firstLineChars="1000"/>
        <w:rPr>
          <w:rFonts w:hint="default" w:ascii="仿宋_GB2312" w:hAnsi="仿宋" w:eastAsia="仿宋_GB2312" w:cs="宋体"/>
          <w:kern w:val="0"/>
          <w:sz w:val="32"/>
          <w:szCs w:val="32"/>
          <w:lang w:val="en-US" w:eastAsia="zh-CN"/>
        </w:rPr>
      </w:pPr>
      <w:r>
        <w:rPr>
          <w:rFonts w:hint="eastAsia" w:ascii="仿宋_GB2312" w:hAnsi="仿宋" w:eastAsia="仿宋_GB2312" w:cs="Times New Roman"/>
          <w:color w:val="000000"/>
          <w:sz w:val="32"/>
          <w:szCs w:val="32"/>
        </w:rPr>
        <w:t>采购人名称：</w:t>
      </w:r>
      <w:r>
        <w:rPr>
          <w:rFonts w:hint="eastAsia" w:ascii="仿宋_GB2312" w:hAnsi="仿宋" w:eastAsia="仿宋_GB2312" w:cs="Times New Roman"/>
          <w:color w:val="000000"/>
          <w:sz w:val="32"/>
          <w:szCs w:val="32"/>
          <w:lang w:val="en-US" w:eastAsia="zh-CN"/>
        </w:rPr>
        <w:t>克拉玛依市独山子人民医院</w:t>
      </w:r>
    </w:p>
    <w:p>
      <w:pPr>
        <w:snapToGrid w:val="0"/>
        <w:spacing w:before="240" w:line="460" w:lineRule="exact"/>
        <w:ind w:firstLine="5600" w:firstLineChars="1750"/>
        <w:rPr>
          <w:rFonts w:ascii="仿宋_GB2312" w:hAnsi="仿宋" w:eastAsia="仿宋_GB2312" w:cs="宋体"/>
          <w:kern w:val="0"/>
          <w:sz w:val="32"/>
          <w:szCs w:val="32"/>
        </w:rPr>
      </w:pPr>
      <w:r>
        <w:rPr>
          <w:rFonts w:hint="eastAsia" w:ascii="仿宋_GB2312" w:hAnsi="仿宋" w:eastAsia="仿宋_GB2312" w:cs="Times New Roman"/>
          <w:color w:val="000000"/>
          <w:sz w:val="32"/>
          <w:szCs w:val="32"/>
          <w:lang w:val="en-US" w:eastAsia="zh-CN"/>
        </w:rPr>
        <w:t>2025</w:t>
      </w:r>
      <w:r>
        <w:rPr>
          <w:rFonts w:hint="eastAsia" w:ascii="仿宋_GB2312" w:hAnsi="仿宋" w:eastAsia="仿宋_GB2312" w:cs="宋体"/>
          <w:kern w:val="0"/>
          <w:sz w:val="32"/>
          <w:szCs w:val="32"/>
        </w:rPr>
        <w:t>年</w:t>
      </w:r>
      <w:r>
        <w:rPr>
          <w:rFonts w:hint="eastAsia" w:ascii="仿宋_GB2312" w:hAnsi="仿宋" w:eastAsia="仿宋_GB2312" w:cs="Times New Roman"/>
          <w:color w:val="000000"/>
          <w:sz w:val="32"/>
          <w:szCs w:val="32"/>
          <w:lang w:val="en-US" w:eastAsia="zh-CN"/>
        </w:rPr>
        <w:t>4</w:t>
      </w:r>
      <w:r>
        <w:rPr>
          <w:rFonts w:hint="eastAsia" w:ascii="仿宋_GB2312" w:hAnsi="仿宋" w:eastAsia="仿宋_GB2312" w:cs="宋体"/>
          <w:kern w:val="0"/>
          <w:sz w:val="32"/>
          <w:szCs w:val="32"/>
        </w:rPr>
        <w:t>月</w:t>
      </w:r>
      <w:r>
        <w:rPr>
          <w:rFonts w:hint="eastAsia" w:ascii="仿宋_GB2312" w:hAnsi="仿宋" w:eastAsia="仿宋_GB2312" w:cs="Times New Roman"/>
          <w:color w:val="000000"/>
          <w:sz w:val="32"/>
          <w:szCs w:val="32"/>
          <w:lang w:val="en-US" w:eastAsia="zh-CN"/>
        </w:rPr>
        <w:t>10</w:t>
      </w:r>
      <w:r>
        <w:rPr>
          <w:rFonts w:hint="eastAsia" w:ascii="仿宋_GB2312" w:hAnsi="仿宋" w:eastAsia="仿宋_GB2312" w:cs="宋体"/>
          <w:kern w:val="0"/>
          <w:sz w:val="32"/>
          <w:szCs w:val="32"/>
        </w:rPr>
        <w:t>日</w:t>
      </w:r>
    </w:p>
    <w:p>
      <w:pPr>
        <w:snapToGrid w:val="0"/>
        <w:spacing w:line="460" w:lineRule="exact"/>
        <w:ind w:firstLine="800" w:firstLineChars="250"/>
        <w:rPr>
          <w:rFonts w:ascii="仿宋_GB2312" w:hAnsi="仿宋" w:eastAsia="仿宋_GB2312" w:cs="宋体"/>
          <w:kern w:val="0"/>
          <w:sz w:val="32"/>
          <w:szCs w:val="32"/>
        </w:rPr>
      </w:pPr>
    </w:p>
    <w:p>
      <w:pPr>
        <w:snapToGrid w:val="0"/>
        <w:spacing w:line="460" w:lineRule="exact"/>
        <w:ind w:firstLine="800" w:firstLineChars="250"/>
        <w:rPr>
          <w:rFonts w:ascii="仿宋_GB2312" w:hAnsi="仿宋" w:eastAsia="仿宋_GB2312" w:cs="宋体"/>
          <w:kern w:val="0"/>
          <w:sz w:val="32"/>
          <w:szCs w:val="32"/>
        </w:rPr>
      </w:pPr>
    </w:p>
    <w:sectPr>
      <w:pgSz w:w="11906" w:h="16838"/>
      <w:pgMar w:top="1213" w:right="1179" w:bottom="1213" w:left="1179"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
    <w:altName w:val="Times New Roman"/>
    <w:panose1 w:val="00000000000000000000"/>
    <w:charset w:val="00"/>
    <w:family w:val="auto"/>
    <w:pitch w:val="default"/>
    <w:sig w:usb0="00000000" w:usb1="00000000" w:usb2="00000000" w:usb3="00000000" w:csb0="00000001" w:csb1="00000000"/>
  </w:font>
  <w:font w:name="方正小标宋_GBK">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F30056"/>
    <w:multiLevelType w:val="multilevel"/>
    <w:tmpl w:val="08F30056"/>
    <w:lvl w:ilvl="0" w:tentative="0">
      <w:start w:val="1"/>
      <w:numFmt w:val="japaneseCounting"/>
      <w:lvlText w:val="%1、"/>
      <w:lvlJc w:val="left"/>
      <w:pPr>
        <w:ind w:left="1360" w:hanging="720"/>
      </w:pPr>
      <w:rPr>
        <w:rFonts w:hint="default" w:cstheme="minorBidi"/>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abstractNum w:abstractNumId="1">
    <w:nsid w:val="2F57C33E"/>
    <w:multiLevelType w:val="singleLevel"/>
    <w:tmpl w:val="2F57C33E"/>
    <w:lvl w:ilvl="0" w:tentative="0">
      <w:start w:val="2"/>
      <w:numFmt w:val="decimal"/>
      <w:suff w:val="nothing"/>
      <w:lvlText w:val="%1、"/>
      <w:lvlJc w:val="left"/>
    </w:lvl>
  </w:abstractNum>
  <w:abstractNum w:abstractNumId="2">
    <w:nsid w:val="385F50F6"/>
    <w:multiLevelType w:val="multilevel"/>
    <w:tmpl w:val="385F50F6"/>
    <w:lvl w:ilvl="0" w:tentative="0">
      <w:start w:val="1"/>
      <w:numFmt w:val="decimal"/>
      <w:lvlText w:val="%1."/>
      <w:lvlJc w:val="left"/>
      <w:pPr>
        <w:ind w:left="900" w:hanging="420"/>
      </w:p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E0YzQ0M2E4NDQwZWExNGRkZTUwOGZjNzY0MzkxYjUifQ=="/>
    <w:docVar w:name="KSO_WPS_MARK_KEY" w:val="68638510-e103-4195-9129-59cc63294e4d"/>
  </w:docVars>
  <w:rsids>
    <w:rsidRoot w:val="0067571C"/>
    <w:rsid w:val="000641D1"/>
    <w:rsid w:val="002F5587"/>
    <w:rsid w:val="0030407D"/>
    <w:rsid w:val="00326628"/>
    <w:rsid w:val="00654BB2"/>
    <w:rsid w:val="0067571C"/>
    <w:rsid w:val="00761DAB"/>
    <w:rsid w:val="00A203BF"/>
    <w:rsid w:val="00A374EC"/>
    <w:rsid w:val="00A41A5D"/>
    <w:rsid w:val="00B33114"/>
    <w:rsid w:val="00CC6EE6"/>
    <w:rsid w:val="00D43326"/>
    <w:rsid w:val="0BBA0DB8"/>
    <w:rsid w:val="0FA91F69"/>
    <w:rsid w:val="180243AA"/>
    <w:rsid w:val="1ACD7644"/>
    <w:rsid w:val="1FA24118"/>
    <w:rsid w:val="29F30AA5"/>
    <w:rsid w:val="2C982440"/>
    <w:rsid w:val="3AAE3BAA"/>
    <w:rsid w:val="445478A6"/>
    <w:rsid w:val="4EE0328C"/>
    <w:rsid w:val="5391611B"/>
    <w:rsid w:val="56715937"/>
    <w:rsid w:val="57FD2B9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qFormat="1" w:unhideWhenUsed="0" w:uiPriority="0"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9">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toc 3"/>
    <w:basedOn w:val="1"/>
    <w:next w:val="1"/>
    <w:qFormat/>
    <w:uiPriority w:val="0"/>
    <w:pPr>
      <w:widowControl/>
      <w:overflowPunct w:val="0"/>
      <w:autoSpaceDE w:val="0"/>
      <w:autoSpaceDN w:val="0"/>
      <w:adjustRightInd w:val="0"/>
      <w:ind w:left="840" w:leftChars="400"/>
      <w:textAlignment w:val="baseline"/>
    </w:pPr>
    <w:rPr>
      <w:rFonts w:ascii="????????????????????¨¬?????????" w:hAnsi="????????????????????¨¬?????????"/>
      <w:kern w:val="0"/>
    </w:rPr>
  </w:style>
  <w:style w:type="paragraph" w:styleId="3">
    <w:name w:val="Balloon Text"/>
    <w:basedOn w:val="1"/>
    <w:link w:val="13"/>
    <w:semiHidden/>
    <w:unhideWhenUsed/>
    <w:qFormat/>
    <w:uiPriority w:val="99"/>
    <w:rPr>
      <w:sz w:val="18"/>
      <w:szCs w:val="18"/>
    </w:rPr>
  </w:style>
  <w:style w:type="paragraph" w:styleId="4">
    <w:name w:val="footer"/>
    <w:basedOn w:val="1"/>
    <w:link w:val="11"/>
    <w:semiHidden/>
    <w:unhideWhenUsed/>
    <w:qFormat/>
    <w:uiPriority w:val="99"/>
    <w:pPr>
      <w:tabs>
        <w:tab w:val="center" w:pos="4153"/>
        <w:tab w:val="right" w:pos="8306"/>
      </w:tabs>
      <w:snapToGrid w:val="0"/>
      <w:jc w:val="left"/>
    </w:pPr>
    <w:rPr>
      <w:sz w:val="18"/>
      <w:szCs w:val="18"/>
    </w:rPr>
  </w:style>
  <w:style w:type="paragraph" w:styleId="5">
    <w:name w:val="header"/>
    <w:basedOn w:val="1"/>
    <w:link w:val="10"/>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semiHidden/>
    <w:unhideWhenUsed/>
    <w:qFormat/>
    <w:uiPriority w:val="99"/>
    <w:pPr>
      <w:spacing w:before="0" w:beforeAutospacing="1" w:after="0" w:afterAutospacing="1"/>
      <w:ind w:left="0" w:right="0"/>
      <w:jc w:val="left"/>
    </w:pPr>
    <w:rPr>
      <w:kern w:val="0"/>
      <w:sz w:val="24"/>
      <w:lang w:val="en-US" w:eastAsia="zh-CN" w:bidi="ar"/>
    </w:rPr>
  </w:style>
  <w:style w:type="table" w:styleId="8">
    <w:name w:val="Table Grid"/>
    <w:basedOn w:val="7"/>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character" w:customStyle="1" w:styleId="10">
    <w:name w:val="页眉 Char"/>
    <w:basedOn w:val="9"/>
    <w:link w:val="5"/>
    <w:semiHidden/>
    <w:qFormat/>
    <w:uiPriority w:val="99"/>
    <w:rPr>
      <w:sz w:val="18"/>
      <w:szCs w:val="18"/>
    </w:rPr>
  </w:style>
  <w:style w:type="character" w:customStyle="1" w:styleId="11">
    <w:name w:val="页脚 Char"/>
    <w:basedOn w:val="9"/>
    <w:link w:val="4"/>
    <w:semiHidden/>
    <w:qFormat/>
    <w:uiPriority w:val="99"/>
    <w:rPr>
      <w:sz w:val="18"/>
      <w:szCs w:val="18"/>
    </w:rPr>
  </w:style>
  <w:style w:type="paragraph" w:styleId="12">
    <w:name w:val="List Paragraph"/>
    <w:basedOn w:val="1"/>
    <w:qFormat/>
    <w:uiPriority w:val="34"/>
    <w:pPr>
      <w:ind w:firstLine="420" w:firstLineChars="200"/>
    </w:pPr>
  </w:style>
  <w:style w:type="character" w:customStyle="1" w:styleId="13">
    <w:name w:val="批注框文本 Char"/>
    <w:basedOn w:val="9"/>
    <w:link w:val="3"/>
    <w:semiHidden/>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5</Pages>
  <Words>2002</Words>
  <Characters>2153</Characters>
  <Lines>26</Lines>
  <Paragraphs>7</Paragraphs>
  <TotalTime>8</TotalTime>
  <ScaleCrop>false</ScaleCrop>
  <LinksUpToDate>false</LinksUpToDate>
  <CharactersWithSpaces>2165</CharactersWithSpaces>
  <Application>WPS Office_11.8.2.8875_F1E327BC-269C-435d-A152-05C5408002CA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2018-05-28T04:33:00Z</dcterms:created>
  <dc:creator>Admin</dc:creator>
  <cp:lastModifiedBy>张元</cp:lastModifiedBy>
  <cp:lastPrinted>2025-04-11T08:52:25Z</cp:lastPrinted>
  <dcterms:modified xsi:type="dcterms:W3CDTF">2025-04-11T08:53:21Z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2052-11.8.2.8875</vt:lpwstr>
  </property>
  <property fmtid="{D5CDD505-2E9C-101B-9397-08002B2CF9AE}" pid="3" name="ICV">
    <vt:lpwstr>E35567CA9F2F408FABA2B5273B3FC1EA</vt:lpwstr>
  </property>
</Properties>
</file>