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Times New Roman"/>
          <w:color w:val="000000"/>
          <w:sz w:val="36"/>
          <w:szCs w:val="36"/>
          <w:lang w:val="en-US" w:eastAsia="zh-CN"/>
        </w:rPr>
      </w:pPr>
      <w:r>
        <w:rPr>
          <w:rFonts w:hint="eastAsia" w:ascii="方正小标宋_GBK" w:hAnsi="仿宋" w:eastAsia="方正小标宋_GBK" w:cs="Times New Roman"/>
          <w:color w:val="000000"/>
          <w:sz w:val="36"/>
          <w:szCs w:val="36"/>
          <w:lang w:val="en-US" w:eastAsia="zh-CN"/>
        </w:rPr>
        <w:t>克拉玛依市独山子人民医院</w:t>
      </w:r>
    </w:p>
    <w:p>
      <w:pPr>
        <w:jc w:val="center"/>
        <w:rPr>
          <w:rFonts w:ascii="方正小标宋_GBK" w:eastAsia="方正小标宋_GBK"/>
          <w:sz w:val="36"/>
          <w:szCs w:val="36"/>
        </w:rPr>
      </w:pPr>
      <w:r>
        <w:rPr>
          <w:rFonts w:hint="eastAsia" w:ascii="方正小标宋_GBK" w:hAnsi="仿宋" w:eastAsia="方正小标宋_GBK" w:cs="Times New Roman"/>
          <w:color w:val="000000"/>
          <w:sz w:val="36"/>
          <w:szCs w:val="36"/>
        </w:rPr>
        <w:t>等保测评项目</w:t>
      </w:r>
      <w:r>
        <w:rPr>
          <w:rFonts w:hint="eastAsia" w:ascii="方正小标宋_GBK" w:eastAsia="方正小标宋_GBK"/>
          <w:sz w:val="36"/>
          <w:szCs w:val="36"/>
        </w:rPr>
        <w:t>采购需求</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投标人资格条件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有依法缴纳税收和社会保障资金的良好记录；</w:t>
      </w:r>
    </w:p>
    <w:p>
      <w:pPr>
        <w:numPr>
          <w:ilvl w:val="0"/>
          <w:numId w:val="3"/>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p>
    <w:p>
      <w:pPr>
        <w:tabs>
          <w:tab w:val="left" w:pos="1134"/>
        </w:tabs>
        <w:snapToGrid w:val="0"/>
        <w:spacing w:line="460" w:lineRule="exact"/>
        <w:ind w:left="480"/>
        <w:rPr>
          <w:rFonts w:ascii="仿宋_GB2312" w:hAnsi="仿宋" w:eastAsia="仿宋_GB2312"/>
          <w:sz w:val="32"/>
          <w:szCs w:val="32"/>
        </w:rPr>
      </w:pPr>
      <w:r>
        <w:rPr>
          <w:rFonts w:hint="eastAsia" w:ascii="仿宋_GB2312" w:hAnsi="仿宋" w:eastAsia="仿宋_GB2312"/>
          <w:sz w:val="32"/>
          <w:szCs w:val="32"/>
        </w:rPr>
        <w:t>（二）特定资格条件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具有等级保护测评资质：《网络安全等级测评与检测评估机构服务认证证书》</w:t>
      </w:r>
    </w:p>
    <w:p>
      <w:pPr>
        <w:pStyle w:val="14"/>
        <w:numPr>
          <w:ilvl w:val="0"/>
          <w:numId w:val="4"/>
        </w:numPr>
        <w:spacing w:line="460" w:lineRule="exact"/>
        <w:ind w:firstLineChars="0"/>
        <w:rPr>
          <w:rFonts w:ascii="仿宋_GB2312" w:hAnsi="仿宋" w:eastAsia="仿宋_GB2312" w:cs="Times New Roman"/>
          <w:sz w:val="32"/>
          <w:szCs w:val="32"/>
        </w:rPr>
      </w:pPr>
      <w:r>
        <w:rPr>
          <w:rFonts w:hint="eastAsia" w:ascii="仿宋_GB2312" w:hAnsi="仿宋" w:eastAsia="仿宋_GB2312" w:cs="Times New Roman"/>
          <w:sz w:val="32"/>
          <w:szCs w:val="32"/>
        </w:rPr>
        <w:t>联合体投标</w:t>
      </w:r>
    </w:p>
    <w:p>
      <w:pPr>
        <w:pStyle w:val="14"/>
        <w:spacing w:line="460" w:lineRule="exact"/>
        <w:ind w:left="320" w:firstLine="0" w:firstLineChars="0"/>
        <w:rPr>
          <w:rFonts w:ascii="仿宋_GB2312" w:hAnsi="仿宋" w:eastAsia="仿宋_GB2312" w:cs="Times New Roman"/>
          <w:b/>
          <w:sz w:val="32"/>
          <w:szCs w:val="32"/>
        </w:rPr>
      </w:pPr>
      <w:r>
        <w:rPr>
          <w:rFonts w:hint="eastAsia" w:ascii="仿宋_GB2312" w:hAnsi="仿宋" w:eastAsia="仿宋_GB2312" w:cs="Times New Roman"/>
          <w:sz w:val="32"/>
          <w:szCs w:val="32"/>
        </w:rPr>
        <w:t>本项目不接受联合体投标。</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服务内容及要求</w:t>
      </w:r>
    </w:p>
    <w:p>
      <w:pPr>
        <w:spacing w:line="460" w:lineRule="exact"/>
        <w:ind w:firstLine="640" w:firstLineChars="200"/>
        <w:rPr>
          <w:rFonts w:ascii="仿宋_GB2312" w:hAnsi="仿宋" w:eastAsia="仿宋_GB2312" w:cs="Times New Roman"/>
          <w:color w:val="000000"/>
          <w:sz w:val="32"/>
          <w:szCs w:val="32"/>
        </w:rPr>
      </w:pPr>
      <w:bookmarkStart w:id="0" w:name="_Toc438456195"/>
      <w:r>
        <w:rPr>
          <w:rFonts w:hint="eastAsia" w:ascii="仿宋_GB2312" w:hAnsi="仿宋" w:eastAsia="仿宋_GB2312" w:cs="Times New Roman"/>
          <w:color w:val="000000"/>
          <w:sz w:val="32"/>
          <w:szCs w:val="32"/>
        </w:rPr>
        <w:t>（一）</w:t>
      </w:r>
      <w:bookmarkEnd w:id="0"/>
      <w:bookmarkStart w:id="1" w:name="_Toc490672253"/>
      <w:r>
        <w:rPr>
          <w:rFonts w:hint="eastAsia" w:ascii="仿宋_GB2312" w:hAnsi="仿宋" w:eastAsia="仿宋_GB2312" w:cs="Times New Roman"/>
          <w:color w:val="000000"/>
          <w:sz w:val="32"/>
          <w:szCs w:val="32"/>
        </w:rPr>
        <w:t>招标项目</w:t>
      </w:r>
      <w:bookmarkEnd w:id="1"/>
      <w:r>
        <w:rPr>
          <w:rFonts w:hint="eastAsia" w:ascii="仿宋_GB2312" w:hAnsi="仿宋" w:eastAsia="仿宋_GB2312" w:cs="Times New Roman"/>
          <w:color w:val="000000"/>
          <w:sz w:val="32"/>
          <w:szCs w:val="32"/>
        </w:rPr>
        <w:t>名称、预算、服务期限</w:t>
      </w:r>
    </w:p>
    <w:p>
      <w:pPr>
        <w:spacing w:line="460" w:lineRule="exact"/>
        <w:ind w:firstLine="640" w:firstLineChars="200"/>
        <w:rPr>
          <w:rFonts w:ascii="仿宋_GB2312" w:hAnsi="仿宋" w:eastAsia="仿宋_GB2312" w:cs="Times New Roman"/>
          <w:color w:val="000000"/>
          <w:sz w:val="32"/>
          <w:szCs w:val="32"/>
        </w:rPr>
      </w:pP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1701"/>
        <w:gridCol w:w="232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序号</w:t>
            </w:r>
          </w:p>
        </w:tc>
        <w:tc>
          <w:tcPr>
            <w:tcW w:w="2452"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项目名称</w:t>
            </w:r>
          </w:p>
        </w:tc>
        <w:tc>
          <w:tcPr>
            <w:tcW w:w="1701"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采购预算</w:t>
            </w:r>
          </w:p>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（万元）</w:t>
            </w:r>
          </w:p>
        </w:tc>
        <w:tc>
          <w:tcPr>
            <w:tcW w:w="2325"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服务期限</w:t>
            </w:r>
          </w:p>
        </w:tc>
        <w:tc>
          <w:tcPr>
            <w:tcW w:w="1207"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1</w:t>
            </w:r>
          </w:p>
        </w:tc>
        <w:tc>
          <w:tcPr>
            <w:tcW w:w="2452"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等保测评</w:t>
            </w:r>
          </w:p>
        </w:tc>
        <w:tc>
          <w:tcPr>
            <w:tcW w:w="1701" w:type="dxa"/>
            <w:vAlign w:val="center"/>
          </w:tcPr>
          <w:p>
            <w:pPr>
              <w:pStyle w:val="3"/>
              <w:spacing w:line="400" w:lineRule="exact"/>
              <w:ind w:left="0"/>
              <w:jc w:val="center"/>
              <w:rPr>
                <w:rFonts w:ascii="仿宋_GB2312" w:hAnsi="宋体" w:eastAsia="仿宋_GB2312"/>
                <w:bCs/>
                <w:szCs w:val="24"/>
              </w:rPr>
            </w:pPr>
            <w:r>
              <w:rPr>
                <w:rFonts w:hint="eastAsia" w:ascii="仿宋_GB2312" w:hAnsi="宋体" w:eastAsia="仿宋_GB2312"/>
                <w:bCs/>
                <w:szCs w:val="24"/>
              </w:rPr>
              <w:t>20</w:t>
            </w:r>
          </w:p>
        </w:tc>
        <w:tc>
          <w:tcPr>
            <w:tcW w:w="2325" w:type="dxa"/>
            <w:vAlign w:val="center"/>
          </w:tcPr>
          <w:p>
            <w:pPr>
              <w:pStyle w:val="3"/>
              <w:spacing w:line="400" w:lineRule="exact"/>
              <w:ind w:left="0"/>
              <w:jc w:val="center"/>
              <w:rPr>
                <w:rFonts w:hint="eastAsia" w:ascii="仿宋_GB2312" w:hAnsi="宋体" w:eastAsia="仿宋_GB2312"/>
                <w:bCs/>
                <w:szCs w:val="24"/>
                <w:lang w:val="en-US" w:eastAsia="zh-CN"/>
              </w:rPr>
            </w:pPr>
            <w:r>
              <w:rPr>
                <w:rFonts w:hint="eastAsia" w:ascii="仿宋_GB2312" w:hAnsi="宋体" w:eastAsia="仿宋_GB2312"/>
                <w:bCs/>
                <w:szCs w:val="24"/>
                <w:lang w:val="en-US" w:eastAsia="zh-CN"/>
              </w:rPr>
              <w:t>2年，合同一年一签</w:t>
            </w:r>
            <w:bookmarkStart w:id="2" w:name="_GoBack"/>
            <w:bookmarkEnd w:id="2"/>
          </w:p>
        </w:tc>
        <w:tc>
          <w:tcPr>
            <w:tcW w:w="1207" w:type="dxa"/>
            <w:vAlign w:val="center"/>
          </w:tcPr>
          <w:p>
            <w:pPr>
              <w:pStyle w:val="3"/>
              <w:rPr>
                <w:rFonts w:ascii="仿宋_GB2312" w:hAnsi="宋体" w:eastAsia="仿宋_GB2312"/>
                <w:bCs/>
                <w:szCs w:val="24"/>
              </w:rPr>
            </w:pPr>
          </w:p>
        </w:tc>
      </w:tr>
    </w:tbl>
    <w:p>
      <w:pPr>
        <w:spacing w:line="460" w:lineRule="exact"/>
        <w:ind w:firstLine="640" w:firstLineChars="200"/>
        <w:rPr>
          <w:rFonts w:hint="default" w:ascii="仿宋_GB2312" w:hAnsi="仿宋" w:eastAsia="仿宋_GB2312" w:cs="Times New Roman"/>
          <w:color w:val="000000"/>
          <w:sz w:val="32"/>
          <w:szCs w:val="32"/>
          <w:lang w:val="en-US" w:eastAsia="zh-CN"/>
        </w:rPr>
      </w:pP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（二）项目基本情况及服务内容</w:t>
      </w:r>
    </w:p>
    <w:p>
      <w:pPr>
        <w:spacing w:line="4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等级保护是我国关于网络安全的基本政策，《国家信息化领导小组关于加强信息安全保障工作的意见》（中办发[2003]27 号，以下简称“27 号文件”）明确要求我国信息安全保障工作实行等级保护制度。通过等级保护工作，发现单位信息系统与国家安全标准之间存在的差距，查明目前系统存在的安全隐患和不足，通过安全整改之后，提高信息系统的信息安全防护能力，降低系统被各种攻击的风险。</w:t>
      </w:r>
    </w:p>
    <w:p>
      <w:pPr>
        <w:pStyle w:val="23"/>
        <w:snapToGrid w:val="0"/>
        <w:spacing w:line="360" w:lineRule="auto"/>
        <w:textAlignment w:val="auto"/>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1.评测范围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502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Align w:val="center"/>
          </w:tcPr>
          <w:p>
            <w:pPr>
              <w:pStyle w:val="25"/>
              <w:spacing w:before="156" w:after="156"/>
              <w:ind w:firstLine="0" w:firstLineChars="0"/>
              <w:jc w:val="center"/>
              <w:rPr>
                <w:rFonts w:hint="eastAsia" w:ascii="仿宋_GB2312" w:hAnsi="宋体" w:eastAsia="仿宋_GB2312" w:cs="Times New Roman"/>
                <w:b/>
                <w:bCs w:val="0"/>
                <w:kern w:val="2"/>
                <w:sz w:val="32"/>
                <w:szCs w:val="32"/>
                <w:lang w:val="en-US" w:eastAsia="zh-CN" w:bidi="ar-SA"/>
              </w:rPr>
            </w:pPr>
            <w:r>
              <w:rPr>
                <w:rFonts w:hint="eastAsia" w:ascii="仿宋_GB2312" w:hAnsi="宋体" w:eastAsia="仿宋_GB2312" w:cs="Times New Roman"/>
                <w:b/>
                <w:bCs w:val="0"/>
                <w:kern w:val="2"/>
                <w:sz w:val="32"/>
                <w:szCs w:val="32"/>
                <w:lang w:val="en-US" w:eastAsia="zh-CN" w:bidi="ar-SA"/>
              </w:rPr>
              <w:t>序号</w:t>
            </w:r>
          </w:p>
        </w:tc>
        <w:tc>
          <w:tcPr>
            <w:tcW w:w="5027" w:type="dxa"/>
            <w:vAlign w:val="center"/>
          </w:tcPr>
          <w:p>
            <w:pPr>
              <w:pStyle w:val="25"/>
              <w:spacing w:before="156" w:after="156"/>
              <w:ind w:firstLine="0" w:firstLineChars="0"/>
              <w:jc w:val="center"/>
              <w:rPr>
                <w:rFonts w:hint="eastAsia" w:ascii="仿宋_GB2312" w:hAnsi="宋体" w:eastAsia="仿宋_GB2312" w:cs="Times New Roman"/>
                <w:b/>
                <w:bCs w:val="0"/>
                <w:kern w:val="2"/>
                <w:sz w:val="32"/>
                <w:szCs w:val="32"/>
                <w:lang w:val="en-US" w:eastAsia="zh-CN" w:bidi="ar-SA"/>
              </w:rPr>
            </w:pPr>
            <w:r>
              <w:rPr>
                <w:rFonts w:hint="eastAsia" w:ascii="仿宋_GB2312" w:hAnsi="宋体" w:eastAsia="仿宋_GB2312" w:cs="Times New Roman"/>
                <w:b/>
                <w:bCs w:val="0"/>
                <w:kern w:val="2"/>
                <w:sz w:val="32"/>
                <w:szCs w:val="32"/>
                <w:lang w:val="en-US" w:eastAsia="zh-CN" w:bidi="ar-SA"/>
              </w:rPr>
              <w:t>系统名称</w:t>
            </w:r>
          </w:p>
        </w:tc>
        <w:tc>
          <w:tcPr>
            <w:tcW w:w="1985" w:type="dxa"/>
            <w:vAlign w:val="center"/>
          </w:tcPr>
          <w:p>
            <w:pPr>
              <w:pStyle w:val="25"/>
              <w:spacing w:before="156" w:after="156"/>
              <w:ind w:firstLine="0" w:firstLineChars="0"/>
              <w:jc w:val="center"/>
              <w:rPr>
                <w:rFonts w:hint="eastAsia" w:ascii="仿宋_GB2312" w:hAnsi="宋体" w:eastAsia="仿宋_GB2312" w:cs="Times New Roman"/>
                <w:b/>
                <w:bCs w:val="0"/>
                <w:kern w:val="2"/>
                <w:sz w:val="32"/>
                <w:szCs w:val="32"/>
                <w:lang w:val="en-US" w:eastAsia="zh-CN" w:bidi="ar-SA"/>
              </w:rPr>
            </w:pPr>
            <w:r>
              <w:rPr>
                <w:rFonts w:hint="eastAsia" w:ascii="仿宋_GB2312" w:hAnsi="宋体" w:eastAsia="仿宋_GB2312" w:cs="Times New Roman"/>
                <w:b/>
                <w:bCs w:val="0"/>
                <w:kern w:val="2"/>
                <w:sz w:val="32"/>
                <w:szCs w:val="32"/>
                <w:lang w:val="en-US" w:eastAsia="zh-CN" w:bidi="ar-SA"/>
              </w:rPr>
              <w:t>拟定达到级别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46"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w:t>
            </w:r>
          </w:p>
        </w:tc>
        <w:tc>
          <w:tcPr>
            <w:tcW w:w="5027"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HIS系统</w:t>
            </w:r>
          </w:p>
        </w:tc>
        <w:tc>
          <w:tcPr>
            <w:tcW w:w="1985"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46"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w:t>
            </w:r>
          </w:p>
        </w:tc>
        <w:tc>
          <w:tcPr>
            <w:tcW w:w="5027"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EMR系统</w:t>
            </w:r>
          </w:p>
        </w:tc>
        <w:tc>
          <w:tcPr>
            <w:tcW w:w="1985"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46"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w:t>
            </w:r>
          </w:p>
        </w:tc>
        <w:tc>
          <w:tcPr>
            <w:tcW w:w="5027"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LIS系统</w:t>
            </w:r>
          </w:p>
        </w:tc>
        <w:tc>
          <w:tcPr>
            <w:tcW w:w="1985"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6"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w:t>
            </w:r>
          </w:p>
        </w:tc>
        <w:tc>
          <w:tcPr>
            <w:tcW w:w="5027"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克拉玛依市独山子人民医院网</w:t>
            </w:r>
          </w:p>
        </w:tc>
        <w:tc>
          <w:tcPr>
            <w:tcW w:w="1985"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6"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w:t>
            </w:r>
          </w:p>
        </w:tc>
        <w:tc>
          <w:tcPr>
            <w:tcW w:w="5027"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独医通网</w:t>
            </w:r>
          </w:p>
        </w:tc>
        <w:tc>
          <w:tcPr>
            <w:tcW w:w="1985" w:type="dxa"/>
            <w:vAlign w:val="center"/>
          </w:tcPr>
          <w:p>
            <w:pPr>
              <w:pStyle w:val="25"/>
              <w:spacing w:before="156" w:after="156"/>
              <w:ind w:firstLine="0" w:firstLineChars="0"/>
              <w:jc w:val="center"/>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二级</w:t>
            </w:r>
          </w:p>
        </w:tc>
      </w:tr>
    </w:tbl>
    <w:p>
      <w:pPr>
        <w:pStyle w:val="23"/>
        <w:snapToGrid w:val="0"/>
        <w:spacing w:line="360" w:lineRule="auto"/>
        <w:textAlignment w:val="auto"/>
        <w:rPr>
          <w:rFonts w:eastAsia="宋体" w:cs="宋体"/>
          <w:sz w:val="24"/>
          <w:szCs w:val="24"/>
        </w:rPr>
      </w:pPr>
    </w:p>
    <w:p>
      <w:pPr>
        <w:pStyle w:val="8"/>
        <w:spacing w:line="360" w:lineRule="auto"/>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复评系统包括：</w:t>
      </w:r>
      <w:r>
        <w:rPr>
          <w:rFonts w:ascii="仿宋_GB2312" w:hAnsi="宋体" w:eastAsia="仿宋_GB2312" w:cs="Times New Roman"/>
          <w:bCs/>
          <w:sz w:val="32"/>
          <w:szCs w:val="32"/>
        </w:rPr>
        <w:t xml:space="preserve"> HIS</w:t>
      </w:r>
      <w:r>
        <w:rPr>
          <w:rFonts w:hint="eastAsia" w:ascii="仿宋_GB2312" w:hAnsi="宋体" w:eastAsia="仿宋_GB2312" w:cs="Times New Roman"/>
          <w:bCs/>
          <w:sz w:val="32"/>
          <w:szCs w:val="32"/>
        </w:rPr>
        <w:t>系统</w:t>
      </w:r>
      <w:r>
        <w:rPr>
          <w:rFonts w:ascii="仿宋_GB2312" w:hAnsi="宋体" w:eastAsia="仿宋_GB2312" w:cs="Times New Roman"/>
          <w:bCs/>
          <w:sz w:val="32"/>
          <w:szCs w:val="32"/>
        </w:rPr>
        <w:t>、</w:t>
      </w:r>
      <w:r>
        <w:rPr>
          <w:rFonts w:hint="eastAsia" w:ascii="仿宋_GB2312" w:hAnsi="宋体" w:eastAsia="仿宋_GB2312" w:cs="Times New Roman"/>
          <w:bCs/>
          <w:sz w:val="32"/>
          <w:szCs w:val="32"/>
        </w:rPr>
        <w:t>EMR系统</w:t>
      </w:r>
      <w:r>
        <w:rPr>
          <w:rFonts w:ascii="仿宋_GB2312" w:hAnsi="宋体" w:eastAsia="仿宋_GB2312" w:cs="Times New Roman"/>
          <w:bCs/>
          <w:sz w:val="32"/>
          <w:szCs w:val="32"/>
        </w:rPr>
        <w:t>、LIS</w:t>
      </w:r>
      <w:r>
        <w:rPr>
          <w:rFonts w:hint="eastAsia" w:ascii="仿宋_GB2312" w:hAnsi="宋体" w:eastAsia="仿宋_GB2312" w:cs="Times New Roman"/>
          <w:bCs/>
          <w:sz w:val="32"/>
          <w:szCs w:val="32"/>
        </w:rPr>
        <w:t>系统。</w:t>
      </w:r>
    </w:p>
    <w:p>
      <w:pPr>
        <w:pStyle w:val="8"/>
        <w:spacing w:line="360" w:lineRule="auto"/>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初评系统：克拉玛依市独山子人民医院网、独医通网</w:t>
      </w:r>
    </w:p>
    <w:p>
      <w:pPr>
        <w:pStyle w:val="23"/>
        <w:snapToGrid w:val="0"/>
        <w:spacing w:line="360" w:lineRule="auto"/>
        <w:textAlignment w:val="auto"/>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2.项目团队要求</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2.1项目经理具有高级网络安全等级测评证书，具有高级网络与信息安全工程师、渗透测试高级工程师证书。</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2.2项目组人员具有中级测评师证书具备网络安全管理二级证书、公安部信息安全等级保护评估中心颁发的CIIP-D证书。</w:t>
      </w:r>
    </w:p>
    <w:p>
      <w:pPr>
        <w:spacing w:line="360" w:lineRule="auto"/>
        <w:rPr>
          <w:rFonts w:eastAsia="宋体" w:cs="宋体"/>
          <w:sz w:val="32"/>
          <w:szCs w:val="32"/>
        </w:rPr>
      </w:pPr>
      <w:r>
        <w:rPr>
          <w:rFonts w:hint="eastAsia" w:ascii="仿宋_GB2312" w:hAnsi="宋体" w:eastAsia="仿宋_GB2312" w:cs="Times New Roman"/>
          <w:bCs/>
          <w:sz w:val="32"/>
          <w:szCs w:val="32"/>
        </w:rPr>
        <w:t>2.3 项目组人员具有中级测评师证书及网络应急响应工程师证书。</w:t>
      </w:r>
    </w:p>
    <w:p>
      <w:pPr>
        <w:pStyle w:val="23"/>
        <w:snapToGrid w:val="0"/>
        <w:spacing w:line="360" w:lineRule="auto"/>
        <w:textAlignment w:val="auto"/>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3.服务要求</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3.1商用密码咨询及培训服务</w:t>
      </w:r>
    </w:p>
    <w:p>
      <w:pPr>
        <w:spacing w:line="360" w:lineRule="auto"/>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对网络信息安全等保测评系统开展商用密码咨询服务：主要分为密码技术和密码技术应用，密码技术主要包括：功能、密钥管理、密码配用策略、密码实现机制、密码安全防护。密码技术应用主要包括：物理安全密码、网络安全密码、主机密码安全、应用安全密码、数据安全及备份恢复密码。</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3.2风险评估服务</w:t>
      </w:r>
    </w:p>
    <w:p>
      <w:pPr>
        <w:spacing w:line="360" w:lineRule="auto"/>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对网络信息安全等保测评项目开展风险评估服务。根据风险评估要素关系模型，进行风险评估需要分析评价各要素，按照各要素关系，风险评估的过程主要包括:风险评估的准备，即信息收集与整理、对资产、威胁、脆弱性的分析、己有采取安全措施的确认以及风险评价等环节。</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3.3每年提供两次（上半年一次下半年一次）信息安全检查服务，根据公司信息部门安排，每次实施三次安全扫描，分别对应着信息安全检查的自查初级阶段、自查复核阶段、最终整改阶段。每个阶段保证7个工作日完成扫描结果和整改措施的提报。提报的结果以简单、方便阅读的图表或其他方式呈现，方便用户根据扫描结果进行整改。</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3.4对该系统进行信息安全评估，通过资产梳理、资产识别、资产赋值、脆弱性赋值、威胁性赋值，形成最终的安全风险评估报告和安全加固建议。</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3.5渗透测试：通过对重点服务器进行准确、全面的测试，可以发现系统最脆弱的环节，以便对危害性严重的漏洞及时修补，以免后患。出具渗透测试报告，并根据渗透测试结果指导应用厂商进行修复和加固；修复后进行渗透测试复查，验证漏洞修复情况，出具复查报告。</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3.6安全培训：宣贯国家信息系统等级保护政策，明确开展等级保护工作的目标、内容和要求。</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3.7应急响应服务：在国家法定节假日、国家或自治区重要会议、安全事件大规模爆发等重要时刻，提供7x24小时现场应急支撑服务。</w:t>
      </w:r>
    </w:p>
    <w:p>
      <w:pPr>
        <w:spacing w:line="360" w:lineRule="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4.项目技术规范</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 xml:space="preserve">质量标准：应依据国家等级保护相关标准开展工作，依据标准包括但不限于如下国家标准。 </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《中华人民共和国网络安全法》</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《网络安全等级保护条例》（征求意见稿）</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《计算机信息系统安全保护等级划分准则》（</w:t>
      </w:r>
      <w:r>
        <w:rPr>
          <w:rFonts w:ascii="仿宋_GB2312" w:hAnsi="宋体" w:eastAsia="仿宋_GB2312" w:cs="Times New Roman"/>
          <w:bCs/>
          <w:sz w:val="32"/>
          <w:szCs w:val="32"/>
        </w:rPr>
        <w:t>GB17859-1999</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《网络安全等级保护定级指南》（</w:t>
      </w:r>
      <w:r>
        <w:rPr>
          <w:rFonts w:ascii="仿宋_GB2312" w:hAnsi="宋体" w:eastAsia="仿宋_GB2312" w:cs="Times New Roman"/>
          <w:bCs/>
          <w:sz w:val="32"/>
          <w:szCs w:val="32"/>
        </w:rPr>
        <w:t>GB/T 22240-2020</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《网络安全等级保护实施指南》（</w:t>
      </w:r>
      <w:r>
        <w:rPr>
          <w:rFonts w:ascii="仿宋_GB2312" w:hAnsi="宋体" w:eastAsia="仿宋_GB2312" w:cs="Times New Roman"/>
          <w:bCs/>
          <w:sz w:val="32"/>
          <w:szCs w:val="32"/>
        </w:rPr>
        <w:t xml:space="preserve">GB/T 25058-2019 </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《网络安全等级保护基本要求》（</w:t>
      </w:r>
      <w:r>
        <w:rPr>
          <w:rFonts w:ascii="仿宋_GB2312" w:hAnsi="宋体" w:eastAsia="仿宋_GB2312" w:cs="Times New Roman"/>
          <w:bCs/>
          <w:sz w:val="32"/>
          <w:szCs w:val="32"/>
        </w:rPr>
        <w:t>GB/T 22239-2019</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《网络安全等级保护测评要求》（</w:t>
      </w:r>
      <w:r>
        <w:rPr>
          <w:rFonts w:ascii="仿宋_GB2312" w:hAnsi="宋体" w:eastAsia="仿宋_GB2312" w:cs="Times New Roman"/>
          <w:bCs/>
          <w:sz w:val="32"/>
          <w:szCs w:val="32"/>
        </w:rPr>
        <w:t>GB/T 28448-2019</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《网络安全等级保护设计技术要求》（</w:t>
      </w:r>
      <w:r>
        <w:rPr>
          <w:rFonts w:ascii="仿宋_GB2312" w:hAnsi="宋体" w:eastAsia="仿宋_GB2312" w:cs="Times New Roman"/>
          <w:bCs/>
          <w:sz w:val="32"/>
          <w:szCs w:val="32"/>
        </w:rPr>
        <w:t>GB/T 25070-2019</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《网络安全等级保护测评过程指南》（</w:t>
      </w:r>
      <w:r>
        <w:rPr>
          <w:rFonts w:ascii="仿宋_GB2312" w:hAnsi="宋体" w:eastAsia="仿宋_GB2312" w:cs="Times New Roman"/>
          <w:bCs/>
          <w:sz w:val="32"/>
          <w:szCs w:val="32"/>
        </w:rPr>
        <w:t>GB/T 28449-2018</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《信息技术安全技术信息安全管理体系要求》（</w:t>
      </w:r>
      <w:r>
        <w:rPr>
          <w:rFonts w:ascii="仿宋_GB2312" w:hAnsi="宋体" w:eastAsia="仿宋_GB2312" w:cs="Times New Roman"/>
          <w:bCs/>
          <w:sz w:val="32"/>
          <w:szCs w:val="32"/>
        </w:rPr>
        <w:t>GB/T22080-2008</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《计算机信息系统安全等级保护通用技术要求》（</w:t>
      </w:r>
      <w:r>
        <w:rPr>
          <w:rFonts w:ascii="仿宋_GB2312" w:hAnsi="宋体" w:eastAsia="仿宋_GB2312" w:cs="Times New Roman"/>
          <w:bCs/>
          <w:sz w:val="32"/>
          <w:szCs w:val="32"/>
        </w:rPr>
        <w:t>GA/T390-2002</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《信息安全技术信息系统安全管理要求》（</w:t>
      </w:r>
      <w:r>
        <w:rPr>
          <w:rFonts w:ascii="仿宋_GB2312" w:hAnsi="宋体" w:eastAsia="仿宋_GB2312" w:cs="Times New Roman"/>
          <w:bCs/>
          <w:sz w:val="32"/>
          <w:szCs w:val="32"/>
        </w:rPr>
        <w:t>GB/T 0269-2006</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《信息系统安全工程管理要求》（</w:t>
      </w:r>
      <w:r>
        <w:rPr>
          <w:rFonts w:ascii="仿宋_GB2312" w:hAnsi="宋体" w:eastAsia="仿宋_GB2312" w:cs="Times New Roman"/>
          <w:bCs/>
          <w:sz w:val="32"/>
          <w:szCs w:val="32"/>
        </w:rPr>
        <w:t>GB/T20282-2006</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《网络安全等级保护设计技术要求》（</w:t>
      </w:r>
      <w:r>
        <w:rPr>
          <w:rFonts w:ascii="仿宋_GB2312" w:hAnsi="宋体" w:eastAsia="仿宋_GB2312" w:cs="Times New Roman"/>
          <w:bCs/>
          <w:sz w:val="32"/>
          <w:szCs w:val="32"/>
        </w:rPr>
        <w:t>GB/T 25070-2019</w:t>
      </w:r>
      <w:r>
        <w:rPr>
          <w:rFonts w:hint="eastAsia" w:ascii="仿宋_GB2312" w:hAnsi="宋体" w:eastAsia="仿宋_GB2312" w:cs="Times New Roman"/>
          <w:bCs/>
          <w:sz w:val="32"/>
          <w:szCs w:val="32"/>
        </w:rPr>
        <w:t>）</w:t>
      </w:r>
    </w:p>
    <w:p>
      <w:pPr>
        <w:spacing w:line="360" w:lineRule="auto"/>
        <w:rPr>
          <w:rFonts w:ascii="仿宋_GB2312" w:hAnsi="宋体" w:eastAsia="仿宋_GB2312" w:cs="Times New Roman"/>
          <w:bCs/>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《信息安全技术信息安全风险评估规范》（</w:t>
      </w:r>
      <w:r>
        <w:rPr>
          <w:rFonts w:ascii="仿宋_GB2312" w:hAnsi="宋体" w:eastAsia="仿宋_GB2312" w:cs="Times New Roman"/>
          <w:bCs/>
          <w:sz w:val="32"/>
          <w:szCs w:val="32"/>
        </w:rPr>
        <w:t>GB/T 20984-2007</w:t>
      </w:r>
      <w:r>
        <w:rPr>
          <w:rFonts w:hint="eastAsia" w:ascii="仿宋_GB2312" w:hAnsi="宋体" w:eastAsia="仿宋_GB2312" w:cs="Times New Roman"/>
          <w:bCs/>
          <w:sz w:val="32"/>
          <w:szCs w:val="32"/>
        </w:rPr>
        <w:t>）</w:t>
      </w:r>
    </w:p>
    <w:p>
      <w:pPr>
        <w:spacing w:line="360" w:lineRule="auto"/>
        <w:rPr>
          <w:rFonts w:asciiTheme="minorEastAsia" w:hAnsiTheme="minorEastAsia"/>
          <w:sz w:val="32"/>
          <w:szCs w:val="32"/>
        </w:rPr>
      </w:pPr>
      <w:r>
        <w:rPr>
          <w:rFonts w:ascii="仿宋_GB2312" w:hAnsi="宋体" w:eastAsia="仿宋_GB2312" w:cs="Times New Roman"/>
          <w:bCs/>
          <w:sz w:val="32"/>
          <w:szCs w:val="32"/>
        </w:rPr>
        <w:t></w:t>
      </w:r>
      <w:r>
        <w:rPr>
          <w:rFonts w:ascii="仿宋_GB2312" w:hAnsi="宋体" w:eastAsia="仿宋_GB2312" w:cs="Times New Roman"/>
          <w:bCs/>
          <w:sz w:val="32"/>
          <w:szCs w:val="32"/>
        </w:rPr>
        <w:tab/>
      </w:r>
      <w:r>
        <w:rPr>
          <w:rFonts w:hint="eastAsia" w:ascii="仿宋_GB2312" w:hAnsi="宋体" w:eastAsia="仿宋_GB2312" w:cs="Times New Roman"/>
          <w:bCs/>
          <w:sz w:val="32"/>
          <w:szCs w:val="32"/>
        </w:rPr>
        <w:t>《信息安全技术网络安全等级保护测试评估技术指南》（</w:t>
      </w:r>
      <w:r>
        <w:rPr>
          <w:rFonts w:ascii="仿宋_GB2312" w:hAnsi="宋体" w:eastAsia="仿宋_GB2312" w:cs="Times New Roman"/>
          <w:bCs/>
          <w:sz w:val="32"/>
          <w:szCs w:val="32"/>
        </w:rPr>
        <w:t>GB/T36627-2018</w:t>
      </w:r>
      <w:r>
        <w:rPr>
          <w:rFonts w:hint="eastAsia" w:ascii="仿宋_GB2312" w:hAnsi="宋体" w:eastAsia="仿宋_GB2312" w:cs="Times New Roman"/>
          <w:bCs/>
          <w:sz w:val="32"/>
          <w:szCs w:val="32"/>
        </w:rPr>
        <w:t>）</w:t>
      </w:r>
    </w:p>
    <w:p>
      <w:pPr>
        <w:spacing w:line="460" w:lineRule="exac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5.服务标准及考核办法</w:t>
      </w:r>
    </w:p>
    <w:p>
      <w:pPr>
        <w:spacing w:line="360" w:lineRule="auto"/>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5.1服务保证：乙方将严格执行甲方的项目管理规定，从项目组织管理、项目进度管理、项目质量保障和安全保密等方面加强项目管理，确保服务质量。</w:t>
      </w:r>
    </w:p>
    <w:p>
      <w:pPr>
        <w:spacing w:line="360" w:lineRule="auto"/>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5.2质量保证：乙方将建立严格的质量保证体系，制定项目过程的质量控制方案和实施措施，并督促落实各环节质量控制内容和目标；保证项目各个阶段工作满足采购人对质量的要求。</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乙方将根据项目的工作计划，对阶段性工作成果进行审核，并向项目单位提交里程碑式工作成果。通过保证各阶段性成果的质量，最终保证整个项目的质量。</w:t>
      </w:r>
    </w:p>
    <w:p>
      <w:pPr>
        <w:spacing w:line="360" w:lineRule="auto"/>
        <w:rPr>
          <w:rFonts w:ascii="仿宋_GB2312" w:hAnsi="宋体" w:eastAsia="仿宋_GB2312" w:cs="Times New Roman"/>
          <w:bCs/>
          <w:sz w:val="32"/>
          <w:szCs w:val="32"/>
        </w:rPr>
      </w:pPr>
      <w:r>
        <w:rPr>
          <w:rFonts w:hint="eastAsia" w:ascii="仿宋_GB2312" w:hAnsi="宋体" w:eastAsia="仿宋_GB2312" w:cs="Times New Roman"/>
          <w:bCs/>
          <w:sz w:val="32"/>
          <w:szCs w:val="32"/>
        </w:rPr>
        <w:t>交付《网络安全等级保护测评报告》。</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服务地点</w:t>
      </w:r>
    </w:p>
    <w:p>
      <w:pPr>
        <w:spacing w:line="460" w:lineRule="exact"/>
        <w:ind w:firstLine="566" w:firstLineChars="177"/>
        <w:rPr>
          <w:rFonts w:ascii="仿宋_GB2312" w:hAnsi="仿宋" w:eastAsia="仿宋_GB2312"/>
          <w:sz w:val="32"/>
          <w:szCs w:val="32"/>
        </w:rPr>
      </w:pPr>
      <w:r>
        <w:rPr>
          <w:rFonts w:hint="eastAsia" w:ascii="仿宋_GB2312" w:hAnsi="仿宋" w:eastAsia="仿宋_GB2312" w:cs="Times New Roman"/>
          <w:color w:val="000000"/>
          <w:sz w:val="32"/>
          <w:szCs w:val="32"/>
        </w:rPr>
        <w:t>克拉玛依独山子人民医院</w:t>
      </w:r>
    </w:p>
    <w:p>
      <w:pPr>
        <w:spacing w:line="460" w:lineRule="exact"/>
        <w:ind w:firstLine="566" w:firstLineChars="177"/>
        <w:rPr>
          <w:rFonts w:ascii="仿宋_GB2312" w:hAnsi="仿宋" w:eastAsia="仿宋_GB2312" w:cs="Times New Roman"/>
          <w:color w:val="000000"/>
          <w:sz w:val="32"/>
          <w:szCs w:val="32"/>
        </w:rPr>
      </w:pP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付款方式</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合同签订后支付合同总额的30%，出具合格的网络安全等级保护测评报告后经甲方验收合格支付合同剩余70%。</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履约保证金</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无</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拟签订的合同文本</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无</w:t>
      </w:r>
    </w:p>
    <w:p>
      <w:pPr>
        <w:pStyle w:val="14"/>
        <w:numPr>
          <w:ilvl w:val="0"/>
          <w:numId w:val="2"/>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采购单位咨询电话</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联系人：张祎</w:t>
      </w:r>
    </w:p>
    <w:p>
      <w:pPr>
        <w:snapToGrid w:val="0"/>
        <w:spacing w:line="460" w:lineRule="exact"/>
        <w:ind w:firstLine="800" w:firstLineChars="2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联系电话：0992-3691234</w:t>
      </w:r>
    </w:p>
    <w:p>
      <w:pPr>
        <w:snapToGrid w:val="0"/>
        <w:spacing w:line="460" w:lineRule="exact"/>
        <w:ind w:firstLine="800" w:firstLineChars="2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手机号：13809922823</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地址：克拉玛依市独山子区长庆路1号</w:t>
      </w:r>
    </w:p>
    <w:p>
      <w:pPr>
        <w:snapToGrid w:val="0"/>
        <w:spacing w:line="460" w:lineRule="exact"/>
        <w:rPr>
          <w:rFonts w:ascii="仿宋_GB2312" w:hAnsi="仿宋" w:eastAsia="仿宋_GB2312" w:cs="宋体"/>
          <w:kern w:val="0"/>
          <w:sz w:val="32"/>
          <w:szCs w:val="32"/>
        </w:rPr>
      </w:pPr>
    </w:p>
    <w:p>
      <w:pPr>
        <w:snapToGrid w:val="0"/>
        <w:spacing w:line="460" w:lineRule="exact"/>
        <w:rPr>
          <w:rFonts w:ascii="仿宋_GB2312" w:hAnsi="仿宋" w:eastAsia="仿宋_GB2312" w:cs="宋体"/>
          <w:kern w:val="0"/>
          <w:sz w:val="32"/>
          <w:szCs w:val="32"/>
        </w:rPr>
      </w:pPr>
    </w:p>
    <w:p>
      <w:pPr>
        <w:snapToGrid w:val="0"/>
        <w:spacing w:line="460" w:lineRule="exact"/>
        <w:rPr>
          <w:rFonts w:hint="eastAsia" w:ascii="仿宋_GB2312" w:hAnsi="仿宋" w:eastAsia="仿宋_GB2312" w:cs="宋体"/>
          <w:kern w:val="0"/>
          <w:sz w:val="32"/>
          <w:szCs w:val="32"/>
        </w:rPr>
      </w:pPr>
    </w:p>
    <w:p>
      <w:pPr>
        <w:snapToGrid w:val="0"/>
        <w:spacing w:line="460" w:lineRule="exact"/>
        <w:ind w:firstLine="2240" w:firstLineChars="70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采购人名称：克拉玛依市独山子人民医院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3C604A"/>
    <w:multiLevelType w:val="singleLevel"/>
    <w:tmpl w:val="183C604A"/>
    <w:lvl w:ilvl="0" w:tentative="0">
      <w:start w:val="1"/>
      <w:numFmt w:val="japaneseCounting"/>
      <w:pStyle w:val="12"/>
      <w:lvlText w:val="%1、"/>
      <w:lvlJc w:val="left"/>
      <w:pPr>
        <w:tabs>
          <w:tab w:val="left" w:pos="960"/>
        </w:tabs>
        <w:ind w:left="960" w:hanging="480"/>
      </w:pPr>
      <w:rPr>
        <w:rFonts w:hint="eastAsia"/>
        <w:b/>
      </w:r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8C2105"/>
    <w:multiLevelType w:val="multilevel"/>
    <w:tmpl w:val="738C2105"/>
    <w:lvl w:ilvl="0" w:tentative="0">
      <w:start w:val="3"/>
      <w:numFmt w:val="japaneseCounting"/>
      <w:lvlText w:val="（%1）"/>
      <w:lvlJc w:val="left"/>
      <w:pPr>
        <w:ind w:left="1720" w:hanging="108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13A88"/>
    <w:rsid w:val="00133C19"/>
    <w:rsid w:val="0013646E"/>
    <w:rsid w:val="00155852"/>
    <w:rsid w:val="00167C50"/>
    <w:rsid w:val="001714BC"/>
    <w:rsid w:val="0017612A"/>
    <w:rsid w:val="001B4C76"/>
    <w:rsid w:val="001D0DCF"/>
    <w:rsid w:val="00200C72"/>
    <w:rsid w:val="00221FD4"/>
    <w:rsid w:val="002344BD"/>
    <w:rsid w:val="00276620"/>
    <w:rsid w:val="002913F0"/>
    <w:rsid w:val="0029332E"/>
    <w:rsid w:val="002B2830"/>
    <w:rsid w:val="002C0BC1"/>
    <w:rsid w:val="002C6A60"/>
    <w:rsid w:val="002E0C22"/>
    <w:rsid w:val="002E4878"/>
    <w:rsid w:val="002E56EC"/>
    <w:rsid w:val="002E5A7B"/>
    <w:rsid w:val="002E74FD"/>
    <w:rsid w:val="002F022C"/>
    <w:rsid w:val="002F1120"/>
    <w:rsid w:val="002F6109"/>
    <w:rsid w:val="002F683F"/>
    <w:rsid w:val="0031317D"/>
    <w:rsid w:val="00323192"/>
    <w:rsid w:val="00324E2E"/>
    <w:rsid w:val="003402B0"/>
    <w:rsid w:val="00345BFE"/>
    <w:rsid w:val="003460C1"/>
    <w:rsid w:val="00373DF2"/>
    <w:rsid w:val="0038714D"/>
    <w:rsid w:val="0039146B"/>
    <w:rsid w:val="00394AB6"/>
    <w:rsid w:val="00397403"/>
    <w:rsid w:val="003B6852"/>
    <w:rsid w:val="003E014C"/>
    <w:rsid w:val="003F0DF9"/>
    <w:rsid w:val="003F17BE"/>
    <w:rsid w:val="0040472C"/>
    <w:rsid w:val="00416605"/>
    <w:rsid w:val="00441012"/>
    <w:rsid w:val="00465EEA"/>
    <w:rsid w:val="00476CAF"/>
    <w:rsid w:val="004912E1"/>
    <w:rsid w:val="004A70CD"/>
    <w:rsid w:val="004B2F31"/>
    <w:rsid w:val="004C08B3"/>
    <w:rsid w:val="004C77DA"/>
    <w:rsid w:val="004E327E"/>
    <w:rsid w:val="004E5560"/>
    <w:rsid w:val="004E69A2"/>
    <w:rsid w:val="00500A8E"/>
    <w:rsid w:val="0051111B"/>
    <w:rsid w:val="00511187"/>
    <w:rsid w:val="00521522"/>
    <w:rsid w:val="00524C90"/>
    <w:rsid w:val="00535737"/>
    <w:rsid w:val="0053621E"/>
    <w:rsid w:val="005411EF"/>
    <w:rsid w:val="005532CE"/>
    <w:rsid w:val="00561EC6"/>
    <w:rsid w:val="00563AF9"/>
    <w:rsid w:val="005744C3"/>
    <w:rsid w:val="005D5CC3"/>
    <w:rsid w:val="005F1511"/>
    <w:rsid w:val="005F1E9B"/>
    <w:rsid w:val="00601841"/>
    <w:rsid w:val="00603260"/>
    <w:rsid w:val="0061713F"/>
    <w:rsid w:val="006179A0"/>
    <w:rsid w:val="006302BD"/>
    <w:rsid w:val="0063292C"/>
    <w:rsid w:val="006437DB"/>
    <w:rsid w:val="00647D79"/>
    <w:rsid w:val="00653944"/>
    <w:rsid w:val="006540B8"/>
    <w:rsid w:val="00656120"/>
    <w:rsid w:val="006717C1"/>
    <w:rsid w:val="00673FCC"/>
    <w:rsid w:val="006748B4"/>
    <w:rsid w:val="00676CA7"/>
    <w:rsid w:val="006835B3"/>
    <w:rsid w:val="006A1A58"/>
    <w:rsid w:val="006A66C3"/>
    <w:rsid w:val="006B3CD9"/>
    <w:rsid w:val="006C00A6"/>
    <w:rsid w:val="006C468F"/>
    <w:rsid w:val="006D2857"/>
    <w:rsid w:val="006E0FAE"/>
    <w:rsid w:val="006F1DAF"/>
    <w:rsid w:val="006F7D1D"/>
    <w:rsid w:val="00703FC7"/>
    <w:rsid w:val="007245D4"/>
    <w:rsid w:val="00725A13"/>
    <w:rsid w:val="007420FB"/>
    <w:rsid w:val="00744A01"/>
    <w:rsid w:val="00754E83"/>
    <w:rsid w:val="007676FE"/>
    <w:rsid w:val="00767E48"/>
    <w:rsid w:val="007A6EE0"/>
    <w:rsid w:val="007A7A54"/>
    <w:rsid w:val="007C5177"/>
    <w:rsid w:val="007C7303"/>
    <w:rsid w:val="007F1903"/>
    <w:rsid w:val="007F2D1D"/>
    <w:rsid w:val="00811B5D"/>
    <w:rsid w:val="00812C4F"/>
    <w:rsid w:val="0081509E"/>
    <w:rsid w:val="00823A37"/>
    <w:rsid w:val="0082722F"/>
    <w:rsid w:val="0083753F"/>
    <w:rsid w:val="00864025"/>
    <w:rsid w:val="00870705"/>
    <w:rsid w:val="00881A2C"/>
    <w:rsid w:val="00887418"/>
    <w:rsid w:val="008A52C1"/>
    <w:rsid w:val="008B05C4"/>
    <w:rsid w:val="008B3278"/>
    <w:rsid w:val="008B674C"/>
    <w:rsid w:val="008B69C8"/>
    <w:rsid w:val="008C3CAF"/>
    <w:rsid w:val="008E51B4"/>
    <w:rsid w:val="008E72B0"/>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A03B92"/>
    <w:rsid w:val="00A043E6"/>
    <w:rsid w:val="00A11623"/>
    <w:rsid w:val="00A165C6"/>
    <w:rsid w:val="00A337D0"/>
    <w:rsid w:val="00A54956"/>
    <w:rsid w:val="00A66943"/>
    <w:rsid w:val="00A677CE"/>
    <w:rsid w:val="00A70065"/>
    <w:rsid w:val="00A874D4"/>
    <w:rsid w:val="00AD2AC9"/>
    <w:rsid w:val="00AD45D6"/>
    <w:rsid w:val="00AD7432"/>
    <w:rsid w:val="00AF2C82"/>
    <w:rsid w:val="00B1654F"/>
    <w:rsid w:val="00B35D69"/>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94AC7"/>
    <w:rsid w:val="00CA0F8A"/>
    <w:rsid w:val="00CC72AC"/>
    <w:rsid w:val="00CD21AF"/>
    <w:rsid w:val="00CE63E5"/>
    <w:rsid w:val="00CF1A7C"/>
    <w:rsid w:val="00CF364F"/>
    <w:rsid w:val="00CF3E94"/>
    <w:rsid w:val="00D2166D"/>
    <w:rsid w:val="00D26FF3"/>
    <w:rsid w:val="00D32454"/>
    <w:rsid w:val="00D422B0"/>
    <w:rsid w:val="00D55315"/>
    <w:rsid w:val="00D559B4"/>
    <w:rsid w:val="00D6074E"/>
    <w:rsid w:val="00D616C8"/>
    <w:rsid w:val="00D63480"/>
    <w:rsid w:val="00D70AB8"/>
    <w:rsid w:val="00DA1254"/>
    <w:rsid w:val="00DA75B2"/>
    <w:rsid w:val="00DB0F0C"/>
    <w:rsid w:val="00DB30DE"/>
    <w:rsid w:val="00DB7894"/>
    <w:rsid w:val="00DC7797"/>
    <w:rsid w:val="00DE1A37"/>
    <w:rsid w:val="00DE280C"/>
    <w:rsid w:val="00DF19CD"/>
    <w:rsid w:val="00DF5237"/>
    <w:rsid w:val="00E0573E"/>
    <w:rsid w:val="00E07346"/>
    <w:rsid w:val="00E214CC"/>
    <w:rsid w:val="00E4634F"/>
    <w:rsid w:val="00E51AB0"/>
    <w:rsid w:val="00E62687"/>
    <w:rsid w:val="00E86676"/>
    <w:rsid w:val="00E90A07"/>
    <w:rsid w:val="00EA0990"/>
    <w:rsid w:val="00EB2F88"/>
    <w:rsid w:val="00EE3A5E"/>
    <w:rsid w:val="00EF65D2"/>
    <w:rsid w:val="00F0010C"/>
    <w:rsid w:val="00F07E40"/>
    <w:rsid w:val="00F20405"/>
    <w:rsid w:val="00F20948"/>
    <w:rsid w:val="00F242FE"/>
    <w:rsid w:val="00F44647"/>
    <w:rsid w:val="00F53C5A"/>
    <w:rsid w:val="00F5672E"/>
    <w:rsid w:val="00F77C3C"/>
    <w:rsid w:val="00F83FC7"/>
    <w:rsid w:val="00F96108"/>
    <w:rsid w:val="00FA509A"/>
    <w:rsid w:val="00FB5C00"/>
    <w:rsid w:val="00FC12D4"/>
    <w:rsid w:val="00FC1DAA"/>
    <w:rsid w:val="00FC3E4B"/>
    <w:rsid w:val="00FD4CF6"/>
    <w:rsid w:val="00FF2321"/>
    <w:rsid w:val="00FF2D7F"/>
    <w:rsid w:val="245817BC"/>
    <w:rsid w:val="29540980"/>
    <w:rsid w:val="535640C7"/>
    <w:rsid w:val="5FE6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ody Text Indent"/>
    <w:basedOn w:val="1"/>
    <w:link w:val="16"/>
    <w:qFormat/>
    <w:uiPriority w:val="0"/>
    <w:pPr>
      <w:spacing w:line="520" w:lineRule="exact"/>
      <w:ind w:left="570"/>
    </w:pPr>
    <w:rPr>
      <w:rFonts w:ascii="方正仿宋简体" w:hAnsi="创艺简仿宋" w:eastAsia="方正仿宋简体" w:cs="Times New Roman"/>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Body Text First Indent"/>
    <w:basedOn w:val="2"/>
    <w:link w:val="22"/>
    <w:unhideWhenUsed/>
    <w:uiPriority w:val="99"/>
    <w:pPr>
      <w:ind w:firstLine="420" w:firstLineChars="1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3">
    <w:name w:val="HTML 预设格式 字符"/>
    <w:basedOn w:val="11"/>
    <w:link w:val="7"/>
    <w:qFormat/>
    <w:uiPriority w:val="99"/>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批注框文本 字符"/>
    <w:basedOn w:val="11"/>
    <w:link w:val="4"/>
    <w:semiHidden/>
    <w:qFormat/>
    <w:uiPriority w:val="99"/>
    <w:rPr>
      <w:sz w:val="18"/>
      <w:szCs w:val="18"/>
    </w:rPr>
  </w:style>
  <w:style w:type="character" w:customStyle="1" w:styleId="16">
    <w:name w:val="正文文本缩进 字符"/>
    <w:basedOn w:val="11"/>
    <w:link w:val="3"/>
    <w:qFormat/>
    <w:uiPriority w:val="0"/>
    <w:rPr>
      <w:rFonts w:ascii="方正仿宋简体" w:hAnsi="创艺简仿宋" w:eastAsia="方正仿宋简体" w:cs="Times New Roman"/>
      <w:sz w:val="24"/>
      <w:szCs w:val="20"/>
    </w:rPr>
  </w:style>
  <w:style w:type="paragraph" w:customStyle="1" w:styleId="17">
    <w:name w:val="采购二级"/>
    <w:basedOn w:val="1"/>
    <w:link w:val="18"/>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8">
    <w:name w:val="采购二级 Char"/>
    <w:basedOn w:val="11"/>
    <w:link w:val="17"/>
    <w:qFormat/>
    <w:uiPriority w:val="0"/>
    <w:rPr>
      <w:rFonts w:ascii="仿宋" w:hAnsi="仿宋" w:eastAsia="仿宋" w:cs="Times New Roman"/>
      <w:b/>
      <w:sz w:val="24"/>
      <w:szCs w:val="24"/>
    </w:rPr>
  </w:style>
  <w:style w:type="character" w:customStyle="1" w:styleId="19">
    <w:name w:val="页眉 字符"/>
    <w:basedOn w:val="11"/>
    <w:link w:val="6"/>
    <w:qFormat/>
    <w:uiPriority w:val="99"/>
    <w:rPr>
      <w:sz w:val="18"/>
      <w:szCs w:val="18"/>
    </w:rPr>
  </w:style>
  <w:style w:type="character" w:customStyle="1" w:styleId="20">
    <w:name w:val="页脚 字符"/>
    <w:basedOn w:val="11"/>
    <w:link w:val="5"/>
    <w:qFormat/>
    <w:uiPriority w:val="99"/>
    <w:rPr>
      <w:sz w:val="18"/>
      <w:szCs w:val="18"/>
    </w:rPr>
  </w:style>
  <w:style w:type="character" w:customStyle="1" w:styleId="21">
    <w:name w:val="正文文本 字符"/>
    <w:basedOn w:val="11"/>
    <w:link w:val="2"/>
    <w:semiHidden/>
    <w:qFormat/>
    <w:uiPriority w:val="99"/>
    <w:rPr>
      <w:kern w:val="2"/>
      <w:sz w:val="21"/>
      <w:szCs w:val="22"/>
    </w:rPr>
  </w:style>
  <w:style w:type="character" w:customStyle="1" w:styleId="22">
    <w:name w:val="正文文本首行缩进 字符"/>
    <w:basedOn w:val="21"/>
    <w:link w:val="8"/>
    <w:qFormat/>
    <w:uiPriority w:val="99"/>
    <w:rPr>
      <w:kern w:val="2"/>
      <w:sz w:val="21"/>
      <w:szCs w:val="22"/>
    </w:rPr>
  </w:style>
  <w:style w:type="paragraph" w:customStyle="1" w:styleId="23">
    <w:name w:val="样式1"/>
    <w:basedOn w:val="1"/>
    <w:link w:val="24"/>
    <w:qFormat/>
    <w:uiPriority w:val="0"/>
    <w:pPr>
      <w:adjustRightInd w:val="0"/>
      <w:textAlignment w:val="baseline"/>
    </w:pPr>
    <w:rPr>
      <w:rFonts w:ascii="宋体" w:hAnsi="宋体"/>
      <w:kern w:val="0"/>
      <w:szCs w:val="21"/>
    </w:rPr>
  </w:style>
  <w:style w:type="character" w:customStyle="1" w:styleId="24">
    <w:name w:val="样式1 Char"/>
    <w:link w:val="23"/>
    <w:qFormat/>
    <w:uiPriority w:val="0"/>
    <w:rPr>
      <w:rFonts w:ascii="宋体" w:hAnsi="宋体"/>
      <w:sz w:val="21"/>
      <w:szCs w:val="21"/>
    </w:rPr>
  </w:style>
  <w:style w:type="paragraph" w:customStyle="1" w:styleId="25">
    <w:name w:val="Q"/>
    <w:qFormat/>
    <w:uiPriority w:val="0"/>
    <w:pPr>
      <w:spacing w:beforeLines="50" w:afterLines="50" w:line="360" w:lineRule="auto"/>
      <w:ind w:firstLine="200" w:firstLineChars="200"/>
    </w:pPr>
    <w:rPr>
      <w:rFonts w:ascii="Arial" w:hAnsi="Arial" w:eastAsia="宋体" w:cs="Times New Roman"/>
      <w:bCs/>
      <w:kern w:val="2"/>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393</Words>
  <Characters>2245</Characters>
  <Lines>18</Lines>
  <Paragraphs>5</Paragraphs>
  <TotalTime>200</TotalTime>
  <ScaleCrop>false</ScaleCrop>
  <LinksUpToDate>false</LinksUpToDate>
  <CharactersWithSpaces>2633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2018-05-28T04:43:00Z</dcterms:created>
  <dc:creator>微软中国</dc:creator>
  <cp:lastModifiedBy>Administrator</cp:lastModifiedBy>
  <dcterms:modified xsi:type="dcterms:W3CDTF">2024-06-21T09:04:45Z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