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bookmarkStart w:id="0" w:name="_Toc23443"/>
    </w:p>
    <w:p>
      <w:pP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bookmarkEnd w:id="0"/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林草生态建设（生态补水）-克白南部</w:t>
      </w: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生态补水项目</w:t>
      </w: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实</w:t>
      </w:r>
    </w:p>
    <w:p>
      <w:pPr>
        <w:pStyle w:val="2"/>
        <w:rPr>
          <w:rFonts w:hint="eastAsia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施</w:t>
      </w:r>
    </w:p>
    <w:p>
      <w:pPr>
        <w:pStyle w:val="2"/>
        <w:rPr>
          <w:rFonts w:hint="eastAsia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方</w:t>
      </w:r>
    </w:p>
    <w:p>
      <w:pPr>
        <w:pStyle w:val="2"/>
        <w:rPr>
          <w:rFonts w:hint="eastAsia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  <w:t>案</w:t>
      </w:r>
    </w:p>
    <w:p>
      <w:pPr>
        <w:pStyle w:val="2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pStyle w:val="2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pStyle w:val="2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pStyle w:val="2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pacing w:val="8"/>
          <w:sz w:val="43"/>
          <w:szCs w:val="43"/>
          <w:lang w:val="en-US" w:eastAsia="zh-CN"/>
        </w:rPr>
      </w:pPr>
    </w:p>
    <w:p>
      <w:pPr>
        <w:pStyle w:val="3"/>
        <w:spacing w:line="246" w:lineRule="auto"/>
        <w:jc w:val="center"/>
        <w:rPr>
          <w:rFonts w:ascii="宋体" w:hAnsi="宋体" w:eastAsia="宋体" w:cs="宋体"/>
          <w:b/>
          <w:bCs/>
          <w:spacing w:val="8"/>
          <w:sz w:val="31"/>
          <w:szCs w:val="31"/>
        </w:rPr>
      </w:pPr>
      <w:r>
        <w:rPr>
          <w:rFonts w:ascii="宋体" w:hAnsi="宋体" w:eastAsia="宋体" w:cs="宋体"/>
          <w:b/>
          <w:bCs/>
          <w:spacing w:val="8"/>
          <w:sz w:val="31"/>
          <w:szCs w:val="31"/>
        </w:rPr>
        <w:t>编制单位：</w:t>
      </w:r>
      <w:r>
        <w:rPr>
          <w:rFonts w:hint="eastAsia" w:ascii="宋体" w:hAnsi="宋体" w:eastAsia="宋体" w:cs="宋体"/>
          <w:b/>
          <w:bCs/>
          <w:spacing w:val="8"/>
          <w:sz w:val="31"/>
          <w:szCs w:val="31"/>
          <w:lang w:val="en-US" w:eastAsia="zh-CN"/>
        </w:rPr>
        <w:t>新疆昊科工程规划设计</w:t>
      </w:r>
      <w:r>
        <w:rPr>
          <w:rFonts w:ascii="宋体" w:hAnsi="宋体" w:eastAsia="宋体" w:cs="宋体"/>
          <w:b/>
          <w:bCs/>
          <w:spacing w:val="8"/>
          <w:sz w:val="31"/>
          <w:szCs w:val="31"/>
        </w:rPr>
        <w:t>有限公司</w:t>
      </w:r>
    </w:p>
    <w:p>
      <w:pPr>
        <w:pStyle w:val="3"/>
        <w:spacing w:line="246" w:lineRule="auto"/>
        <w:ind w:firstLine="1963" w:firstLineChars="600"/>
        <w:jc w:val="center"/>
        <w:rPr>
          <w:rFonts w:ascii="宋体" w:hAnsi="宋体" w:eastAsia="宋体" w:cs="宋体"/>
          <w:b/>
          <w:bCs/>
          <w:spacing w:val="8"/>
          <w:sz w:val="31"/>
          <w:szCs w:val="31"/>
        </w:rPr>
      </w:pPr>
    </w:p>
    <w:p>
      <w:pPr>
        <w:jc w:val="center"/>
        <w:rPr>
          <w:rFonts w:hint="eastAsia" w:ascii="宋体" w:hAnsi="宋体" w:eastAsia="宋体" w:cs="宋体"/>
          <w:b/>
          <w:bCs/>
          <w:spacing w:val="8"/>
          <w:sz w:val="31"/>
          <w:szCs w:val="31"/>
          <w:lang w:val="en-US" w:eastAsia="zh-CN"/>
        </w:rPr>
      </w:pPr>
      <w:r>
        <w:rPr>
          <w:rFonts w:hint="eastAsia" w:ascii="宋体" w:hAnsi="宋体" w:eastAsia="宋体" w:cs="宋体"/>
          <w:b/>
          <w:bCs/>
          <w:spacing w:val="8"/>
          <w:sz w:val="31"/>
          <w:szCs w:val="31"/>
          <w:lang w:val="en-US" w:eastAsia="zh-CN"/>
        </w:rPr>
        <w:t>2025年4月20日</w:t>
      </w:r>
    </w:p>
    <w:p>
      <w:pPr>
        <w:pStyle w:val="2"/>
        <w:rPr>
          <w:rFonts w:hint="eastAsia" w:ascii="宋体" w:hAnsi="宋体" w:eastAsia="宋体" w:cs="宋体"/>
          <w:b/>
          <w:bCs/>
          <w:spacing w:val="8"/>
          <w:sz w:val="31"/>
          <w:szCs w:val="31"/>
          <w:lang w:val="en-US" w:eastAsia="zh-CN"/>
        </w:rPr>
      </w:pPr>
    </w:p>
    <w:p>
      <w:pPr>
        <w:spacing w:before="100" w:line="227" w:lineRule="auto"/>
        <w:ind w:left="3295"/>
        <w:outlineLvl w:val="0"/>
        <w:rPr>
          <w:rFonts w:hint="default" w:ascii="黑体" w:hAnsi="黑体" w:eastAsia="黑体" w:cs="黑体"/>
          <w:sz w:val="31"/>
          <w:szCs w:val="31"/>
          <w:lang w:val="en-US" w:eastAsia="zh-CN"/>
        </w:rPr>
      </w:pPr>
      <w:bookmarkStart w:id="1" w:name="_Toc20341"/>
      <w:r>
        <w:rPr>
          <w:rFonts w:ascii="黑体" w:hAnsi="黑体" w:eastAsia="黑体" w:cs="黑体"/>
          <w:b/>
          <w:bCs/>
          <w:spacing w:val="1"/>
          <w:sz w:val="31"/>
          <w:szCs w:val="31"/>
        </w:rPr>
        <w:t>第一章</w:t>
      </w:r>
      <w:r>
        <w:rPr>
          <w:rFonts w:ascii="黑体" w:hAnsi="黑体" w:eastAsia="黑体" w:cs="黑体"/>
          <w:spacing w:val="24"/>
          <w:sz w:val="31"/>
          <w:szCs w:val="31"/>
        </w:rPr>
        <w:t xml:space="preserve"> </w:t>
      </w:r>
      <w:r>
        <w:rPr>
          <w:rFonts w:hint="eastAsia" w:ascii="黑体" w:hAnsi="黑体" w:eastAsia="黑体" w:cs="黑体"/>
          <w:b/>
          <w:bCs/>
          <w:spacing w:val="1"/>
          <w:sz w:val="31"/>
          <w:szCs w:val="31"/>
          <w:lang w:val="en-US" w:eastAsia="zh-CN"/>
        </w:rPr>
        <w:t>项目概况</w:t>
      </w:r>
      <w:bookmarkEnd w:id="1"/>
    </w:p>
    <w:p>
      <w:pPr>
        <w:spacing w:before="194" w:line="235" w:lineRule="auto"/>
        <w:ind w:left="641"/>
        <w:outlineLvl w:val="1"/>
        <w:rPr>
          <w:rFonts w:ascii="楷体" w:hAnsi="楷体" w:eastAsia="楷体" w:cs="楷体"/>
          <w:sz w:val="30"/>
          <w:szCs w:val="30"/>
        </w:rPr>
      </w:pPr>
      <w:bookmarkStart w:id="2" w:name="bookmark3"/>
      <w:bookmarkEnd w:id="2"/>
      <w:bookmarkStart w:id="3" w:name="_Toc13295"/>
      <w:r>
        <w:rPr>
          <w:rFonts w:ascii="楷体" w:hAnsi="楷体" w:eastAsia="楷体" w:cs="楷体"/>
          <w:b/>
          <w:bCs/>
          <w:spacing w:val="-20"/>
          <w:sz w:val="30"/>
          <w:szCs w:val="30"/>
        </w:rPr>
        <w:t>1.1</w:t>
      </w:r>
      <w:r>
        <w:rPr>
          <w:rFonts w:ascii="楷体" w:hAnsi="楷体" w:eastAsia="楷体" w:cs="楷体"/>
          <w:spacing w:val="19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20"/>
          <w:sz w:val="30"/>
          <w:szCs w:val="30"/>
        </w:rPr>
        <w:t>项目名称</w:t>
      </w:r>
      <w:bookmarkEnd w:id="3"/>
    </w:p>
    <w:p>
      <w:pPr>
        <w:spacing w:before="236" w:line="215" w:lineRule="auto"/>
        <w:ind w:left="25" w:firstLine="834" w:firstLineChars="300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" w:name="_Toc9429"/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  <w:t>林草生态建设（生态补水）-克白南部生态补水项目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实施方案</w:t>
      </w:r>
      <w:bookmarkEnd w:id="4"/>
    </w:p>
    <w:p>
      <w:pPr>
        <w:spacing w:before="194" w:line="235" w:lineRule="auto"/>
        <w:ind w:left="641"/>
        <w:outlineLvl w:val="1"/>
        <w:rPr>
          <w:rFonts w:hint="eastAsia" w:ascii="楷体" w:hAnsi="楷体" w:eastAsia="楷体" w:cs="楷体"/>
          <w:b/>
          <w:bCs/>
          <w:spacing w:val="-20"/>
          <w:sz w:val="30"/>
          <w:szCs w:val="30"/>
          <w:lang w:val="en-US" w:eastAsia="zh-CN"/>
        </w:rPr>
      </w:pPr>
      <w:bookmarkStart w:id="5" w:name="bookmark5"/>
      <w:bookmarkEnd w:id="5"/>
      <w:bookmarkStart w:id="6" w:name="_Toc16214"/>
      <w:r>
        <w:rPr>
          <w:rFonts w:ascii="楷体" w:hAnsi="楷体" w:eastAsia="楷体" w:cs="楷体"/>
          <w:b/>
          <w:bCs/>
          <w:spacing w:val="-20"/>
          <w:sz w:val="30"/>
          <w:szCs w:val="30"/>
        </w:rPr>
        <w:t xml:space="preserve">1.2 </w:t>
      </w:r>
      <w:r>
        <w:rPr>
          <w:rFonts w:hint="eastAsia" w:ascii="楷体" w:hAnsi="楷体" w:eastAsia="楷体" w:cs="楷体"/>
          <w:b/>
          <w:bCs/>
          <w:spacing w:val="-20"/>
          <w:sz w:val="30"/>
          <w:szCs w:val="30"/>
          <w:lang w:val="en-US" w:eastAsia="zh-CN"/>
        </w:rPr>
        <w:t>建设地点</w:t>
      </w:r>
      <w:bookmarkEnd w:id="6"/>
    </w:p>
    <w:p>
      <w:pPr>
        <w:spacing w:before="212" w:line="360" w:lineRule="auto"/>
        <w:ind w:left="584" w:firstLine="540" w:firstLineChars="200"/>
        <w:outlineLvl w:val="1"/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bookmarkStart w:id="7" w:name="_Toc4010"/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造林项目区位于克拉玛依市克拉玛依区9林班1、148、152、153、154、687小班；坐标范围：（352458 5037331）、（350740 5032676）、（350575 5035118）、（353278 5035353）</w:t>
      </w:r>
      <w:bookmarkEnd w:id="7"/>
    </w:p>
    <w:p>
      <w:pPr>
        <w:spacing w:before="217" w:line="224" w:lineRule="auto"/>
        <w:ind w:left="641"/>
        <w:outlineLvl w:val="1"/>
        <w:rPr>
          <w:rFonts w:ascii="楷体" w:hAnsi="楷体" w:eastAsia="楷体" w:cs="楷体"/>
          <w:sz w:val="30"/>
          <w:szCs w:val="30"/>
        </w:rPr>
      </w:pPr>
      <w:bookmarkStart w:id="8" w:name="_Toc18649"/>
      <w:r>
        <w:rPr>
          <w:rFonts w:hint="eastAsia" w:ascii="楷体" w:hAnsi="楷体" w:eastAsia="楷体" w:cs="楷体"/>
          <w:b/>
          <w:bCs/>
          <w:spacing w:val="-4"/>
          <w:sz w:val="30"/>
          <w:szCs w:val="30"/>
          <w:lang w:val="en-US" w:eastAsia="zh-CN"/>
        </w:rPr>
        <w:t>1.3建设单位及</w:t>
      </w:r>
      <w:r>
        <w:rPr>
          <w:rFonts w:ascii="楷体" w:hAnsi="楷体" w:eastAsia="楷体" w:cs="楷体"/>
          <w:b/>
          <w:bCs/>
          <w:spacing w:val="-4"/>
          <w:sz w:val="30"/>
          <w:szCs w:val="30"/>
        </w:rPr>
        <w:t>负责人</w:t>
      </w:r>
      <w:bookmarkEnd w:id="8"/>
    </w:p>
    <w:p>
      <w:pPr>
        <w:spacing w:before="212" w:line="360" w:lineRule="auto"/>
        <w:ind w:left="584" w:firstLine="540" w:firstLineChars="200"/>
        <w:outlineLvl w:val="1"/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 xml:space="preserve"> </w:t>
      </w:r>
      <w:bookmarkStart w:id="9" w:name="_Toc16824"/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项目实施单位：</w:t>
      </w:r>
      <w:bookmarkEnd w:id="9"/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克拉玛依市林林业和草原局</w:t>
      </w:r>
    </w:p>
    <w:p>
      <w:pPr>
        <w:spacing w:before="212" w:line="360" w:lineRule="auto"/>
        <w:ind w:firstLine="1350" w:firstLineChars="500"/>
        <w:outlineLvl w:val="1"/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bookmarkStart w:id="10" w:name="_Toc16648"/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项目负责人：</w:t>
      </w:r>
      <w:bookmarkEnd w:id="10"/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李彦</w:t>
      </w:r>
    </w:p>
    <w:p>
      <w:pPr>
        <w:spacing w:before="204" w:line="225" w:lineRule="auto"/>
        <w:ind w:left="641"/>
        <w:outlineLvl w:val="2"/>
        <w:rPr>
          <w:rFonts w:ascii="楷体" w:hAnsi="楷体" w:eastAsia="楷体" w:cs="楷体"/>
          <w:sz w:val="30"/>
          <w:szCs w:val="30"/>
        </w:rPr>
      </w:pPr>
      <w:bookmarkStart w:id="11" w:name="bookmark7"/>
      <w:bookmarkEnd w:id="11"/>
      <w:bookmarkStart w:id="12" w:name="_Toc16323"/>
      <w:r>
        <w:rPr>
          <w:rFonts w:ascii="楷体" w:hAnsi="楷体" w:eastAsia="楷体" w:cs="楷体"/>
          <w:b/>
          <w:bCs/>
          <w:spacing w:val="-5"/>
          <w:sz w:val="30"/>
          <w:szCs w:val="30"/>
        </w:rPr>
        <w:t>1.3</w:t>
      </w:r>
      <w:r>
        <w:rPr>
          <w:rFonts w:hint="eastAsia" w:ascii="楷体" w:hAnsi="楷体" w:eastAsia="楷体" w:cs="楷体"/>
          <w:spacing w:val="-5"/>
          <w:sz w:val="30"/>
          <w:szCs w:val="30"/>
          <w:lang w:val="en-US" w:eastAsia="zh-CN"/>
        </w:rPr>
        <w:t>.1</w:t>
      </w:r>
      <w:r>
        <w:rPr>
          <w:rFonts w:ascii="楷体" w:hAnsi="楷体" w:eastAsia="楷体" w:cs="楷体"/>
          <w:b/>
          <w:bCs/>
          <w:spacing w:val="-5"/>
          <w:sz w:val="30"/>
          <w:szCs w:val="30"/>
        </w:rPr>
        <w:t>任务及范围</w:t>
      </w:r>
      <w:bookmarkEnd w:id="12"/>
    </w:p>
    <w:p>
      <w:pPr>
        <w:spacing w:before="212" w:line="360" w:lineRule="auto"/>
        <w:ind w:left="584" w:firstLine="540" w:firstLineChars="200"/>
        <w:outlineLvl w:val="1"/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克拉玛依市位于中国新疆维吾尔自治区北部，地处准噶尔盆地西北边缘，具体在东经 84°44′-86°1′，北纬 44°7′-46°8′之间。本工程位于克拉玛依市第二污水处理厂至玛河古道荒漠湿地之间约30km 长的线性区域。工程起点为克拉玛依市第二污水处理厂，第二污水处理厂位于克拉玛依市九公里立交桥东南，217 国道以南约 500 米，201 省道以东约 600 米。</w:t>
      </w:r>
    </w:p>
    <w:p>
      <w:pPr>
        <w:spacing w:before="212" w:line="360" w:lineRule="auto"/>
        <w:ind w:left="584" w:firstLine="540" w:firstLineChars="200"/>
        <w:outlineLvl w:val="1"/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</w:p>
    <w:p>
      <w:pPr>
        <w:spacing w:before="212" w:line="360" w:lineRule="auto"/>
        <w:ind w:left="584" w:firstLine="540" w:firstLineChars="200"/>
        <w:outlineLvl w:val="1"/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本次项目建设主要为约10000亩防护林进行生态补水，取水点分水口接自克拉玛依市第二污水厂二期线路里程K18+100处。</w:t>
      </w:r>
    </w:p>
    <w:p>
      <w:pPr>
        <w:spacing w:before="212" w:line="360" w:lineRule="auto"/>
        <w:ind w:left="584" w:firstLine="540" w:firstLineChars="200"/>
        <w:outlineLvl w:val="1"/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 xml:space="preserve"> 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克拉玛依市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第二污水厂至玛河古道荒漠湿地的净化污水外排管线设计输水规模 18×104m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vertAlign w:val="superscript"/>
          <w:lang w:val="en-US" w:eastAsia="zh-CN"/>
        </w:rPr>
        <w:t>3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/d，设计输水能力8750m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vertAlign w:val="superscript"/>
          <w:lang w:val="en-US" w:eastAsia="zh-CN"/>
        </w:rPr>
        <w:t>3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/h，设计管径DN1200，管线总长度约28.2km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，设计压力0.8MPa,本工程取水口位于线路里程K18+100处，分水口管径DN500，从主水管分别接南北2条支线DN250管线供南部、北部灌木林地区域的补水</w:t>
      </w:r>
      <w:r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。</w:t>
      </w:r>
    </w:p>
    <w:p>
      <w:pPr>
        <w:spacing w:before="204" w:line="225" w:lineRule="auto"/>
        <w:ind w:left="641"/>
        <w:outlineLvl w:val="1"/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</w:pPr>
      <w:bookmarkStart w:id="13" w:name="_Toc16574"/>
      <w:r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  <w:t>1.4 设计单位</w:t>
      </w:r>
      <w:bookmarkEnd w:id="13"/>
    </w:p>
    <w:p>
      <w:pPr>
        <w:spacing w:before="236" w:line="215" w:lineRule="auto"/>
        <w:ind w:left="25" w:firstLine="834" w:firstLineChars="300"/>
        <w:outlineLvl w:val="2"/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</w:pPr>
      <w:bookmarkStart w:id="14" w:name="_Toc30108"/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  <w:t>新疆昊科工程规划设计有限公司</w:t>
      </w:r>
      <w:bookmarkEnd w:id="14"/>
    </w:p>
    <w:p>
      <w:pPr>
        <w:spacing w:before="217" w:line="234" w:lineRule="auto"/>
        <w:ind w:left="641"/>
        <w:outlineLvl w:val="1"/>
        <w:rPr>
          <w:rFonts w:hint="eastAsia" w:ascii="楷体" w:hAnsi="楷体" w:eastAsia="楷体" w:cs="楷体"/>
          <w:sz w:val="30"/>
          <w:szCs w:val="30"/>
          <w:lang w:val="en-US" w:eastAsia="zh-CN"/>
        </w:rPr>
      </w:pPr>
      <w:bookmarkStart w:id="15" w:name="_Toc16209"/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1.5</w:t>
      </w:r>
      <w:r>
        <w:rPr>
          <w:rFonts w:ascii="楷体" w:hAnsi="楷体" w:eastAsia="楷体" w:cs="楷体"/>
          <w:spacing w:val="20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建设</w:t>
      </w:r>
      <w:r>
        <w:rPr>
          <w:rFonts w:hint="eastAsia" w:ascii="楷体" w:hAnsi="楷体" w:eastAsia="楷体" w:cs="楷体"/>
          <w:b/>
          <w:bCs/>
          <w:spacing w:val="-9"/>
          <w:sz w:val="30"/>
          <w:szCs w:val="30"/>
          <w:lang w:val="en-US" w:eastAsia="zh-CN"/>
        </w:rPr>
        <w:t>规模</w:t>
      </w:r>
      <w:bookmarkEnd w:id="15"/>
    </w:p>
    <w:p>
      <w:pPr>
        <w:spacing w:before="212" w:line="360" w:lineRule="auto"/>
        <w:ind w:left="584" w:firstLine="540" w:firstLineChars="200"/>
        <w:outlineLvl w:val="1"/>
        <w:rPr>
          <w:rFonts w:ascii="FangSong_GB2312" w:hAnsi="FangSong_GB2312" w:eastAsia="FangSong_GB2312" w:cs="FangSong_GB2312"/>
          <w:sz w:val="28"/>
          <w:szCs w:val="28"/>
        </w:rPr>
      </w:pPr>
      <w:bookmarkStart w:id="16" w:name="_Toc28918"/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本项目在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2025年8月前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，完成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约 10000 亩灌木林地生态补水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，通过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生态补水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调整林分树种结构、层次结构和林分密度，增强林分稳定性， 改善林分生境，提高林分生态防护功能。使荒漠植被更好的发挥防风固沙，遏制土地沙化荒漠化的重要作用。在荒漠区与项目区及周边农区形成一道绿色屏障，大大减弱风沙对项目区及周边农区的危害，为达到提高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荒漠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地区森林植被覆盖率、增加农民收入、维护本地区社会稳定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繁荣打下良好基础。</w:t>
      </w:r>
      <w:bookmarkEnd w:id="16"/>
    </w:p>
    <w:p>
      <w:pPr>
        <w:spacing w:before="29" w:line="224" w:lineRule="auto"/>
        <w:ind w:left="641"/>
        <w:outlineLvl w:val="1"/>
        <w:rPr>
          <w:rFonts w:ascii="楷体" w:hAnsi="楷体" w:eastAsia="楷体" w:cs="楷体"/>
          <w:sz w:val="30"/>
          <w:szCs w:val="30"/>
        </w:rPr>
      </w:pPr>
      <w:bookmarkStart w:id="17" w:name="bookmark13"/>
      <w:bookmarkEnd w:id="17"/>
      <w:bookmarkStart w:id="18" w:name="_Toc6312"/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1.6</w:t>
      </w:r>
      <w:r>
        <w:rPr>
          <w:rFonts w:ascii="楷体" w:hAnsi="楷体" w:eastAsia="楷体" w:cs="楷体"/>
          <w:spacing w:val="20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项目期限</w:t>
      </w:r>
      <w:bookmarkEnd w:id="18"/>
    </w:p>
    <w:p>
      <w:pPr>
        <w:spacing w:before="212" w:line="360" w:lineRule="auto"/>
        <w:ind w:left="584" w:firstLine="540" w:firstLineChars="200"/>
        <w:outlineLvl w:val="1"/>
        <w:rPr>
          <w:rFonts w:ascii="FangSong_GB2312" w:hAnsi="FangSong_GB2312" w:eastAsia="FangSong_GB2312" w:cs="FangSong_GB2312"/>
          <w:spacing w:val="-5"/>
          <w:sz w:val="28"/>
          <w:szCs w:val="28"/>
        </w:rPr>
      </w:pPr>
      <w:bookmarkStart w:id="19" w:name="_Toc28900"/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本项目建设期限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0.5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年，即 202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年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月-2025年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10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月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eastAsia="zh-CN"/>
        </w:rPr>
        <w:t>，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2025年7月31日前完成分水口施工、软管管线施工，9-10月进行浇水养护工作，10月-11月进行验收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。</w:t>
      </w:r>
      <w:bookmarkEnd w:id="19"/>
    </w:p>
    <w:p>
      <w:pPr>
        <w:pStyle w:val="2"/>
        <w:rPr>
          <w:rFonts w:hint="eastAsia"/>
          <w:lang w:val="en-US" w:eastAsia="zh-CN"/>
        </w:rPr>
      </w:pPr>
    </w:p>
    <w:p>
      <w:pPr>
        <w:spacing w:before="97" w:line="231" w:lineRule="auto"/>
        <w:ind w:left="641"/>
        <w:outlineLvl w:val="1"/>
        <w:rPr>
          <w:rFonts w:ascii="楷体" w:hAnsi="楷体" w:eastAsia="楷体" w:cs="楷体"/>
          <w:sz w:val="30"/>
          <w:szCs w:val="30"/>
        </w:rPr>
      </w:pPr>
      <w:bookmarkStart w:id="20" w:name="_Toc10922"/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1.7</w:t>
      </w:r>
      <w:r>
        <w:rPr>
          <w:rFonts w:ascii="楷体" w:hAnsi="楷体" w:eastAsia="楷体" w:cs="楷体"/>
          <w:spacing w:val="20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9"/>
          <w:sz w:val="30"/>
          <w:szCs w:val="30"/>
        </w:rPr>
        <w:t>建设方式</w:t>
      </w:r>
      <w:bookmarkEnd w:id="20"/>
    </w:p>
    <w:p>
      <w:pPr>
        <w:spacing w:before="212" w:line="360" w:lineRule="auto"/>
        <w:ind w:firstLine="544" w:firstLineChars="200"/>
        <w:jc w:val="both"/>
        <w:outlineLvl w:val="1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  <w:bookmarkStart w:id="21" w:name="_Toc25749"/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生态补水10000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亩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左右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，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灌溉方式为DN250软管浇灌，对现地损毁的林地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进行清理，通过平整土地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  <w:t>、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起垄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、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重新浇水灌溉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，达到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生态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修复的效果。</w:t>
      </w:r>
      <w:bookmarkEnd w:id="21"/>
    </w:p>
    <w:p>
      <w:pPr>
        <w:spacing w:before="220" w:line="224" w:lineRule="auto"/>
        <w:ind w:left="641"/>
        <w:outlineLvl w:val="1"/>
        <w:rPr>
          <w:rFonts w:ascii="楷体" w:hAnsi="楷体" w:eastAsia="楷体" w:cs="楷体"/>
          <w:sz w:val="30"/>
          <w:szCs w:val="30"/>
        </w:rPr>
      </w:pPr>
      <w:bookmarkStart w:id="22" w:name="bookmark17"/>
      <w:bookmarkEnd w:id="22"/>
      <w:bookmarkStart w:id="23" w:name="_Toc13584"/>
      <w:r>
        <w:rPr>
          <w:rFonts w:ascii="楷体" w:hAnsi="楷体" w:eastAsia="楷体" w:cs="楷体"/>
          <w:b/>
          <w:bCs/>
          <w:spacing w:val="-5"/>
          <w:sz w:val="30"/>
          <w:szCs w:val="30"/>
        </w:rPr>
        <w:t>1.8</w:t>
      </w:r>
      <w:r>
        <w:rPr>
          <w:rFonts w:ascii="楷体" w:hAnsi="楷体" w:eastAsia="楷体" w:cs="楷体"/>
          <w:spacing w:val="-5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5"/>
          <w:sz w:val="30"/>
          <w:szCs w:val="30"/>
        </w:rPr>
        <w:t>投资规模及来源</w:t>
      </w:r>
      <w:bookmarkEnd w:id="23"/>
    </w:p>
    <w:p>
      <w:pPr>
        <w:spacing w:before="212" w:line="360" w:lineRule="auto"/>
        <w:ind w:firstLine="544" w:firstLineChars="200"/>
        <w:jc w:val="both"/>
        <w:outlineLvl w:val="0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  <w:bookmarkStart w:id="24" w:name="_Toc27934"/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本项目总投资为</w:t>
      </w:r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highlight w:val="none"/>
          <w:lang w:val="en-US" w:eastAsia="zh-CN"/>
        </w:rPr>
        <w:t>29.78万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元，全部为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市级财政预算投资（中石油新疆油田分公司公益</w:t>
      </w:r>
      <w:bookmarkStart w:id="78" w:name="_GoBack"/>
      <w:bookmarkEnd w:id="78"/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val="en-US" w:eastAsia="zh-CN"/>
        </w:rPr>
        <w:t>捐赠）</w:t>
      </w:r>
      <w:r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  <w:t>。</w:t>
      </w:r>
      <w:bookmarkEnd w:id="24"/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spacing w:before="100" w:line="227" w:lineRule="auto"/>
        <w:ind w:left="2172" w:firstLine="970" w:firstLineChars="300"/>
        <w:outlineLvl w:val="0"/>
        <w:rPr>
          <w:rFonts w:hint="default" w:ascii="黑体" w:hAnsi="黑体" w:eastAsia="黑体" w:cs="黑体"/>
          <w:sz w:val="31"/>
          <w:szCs w:val="31"/>
          <w:lang w:val="en-US" w:eastAsia="zh-CN"/>
        </w:rPr>
      </w:pPr>
      <w:bookmarkStart w:id="25" w:name="_Toc18130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第三章</w:t>
      </w:r>
      <w:r>
        <w:rPr>
          <w:rFonts w:ascii="黑体" w:hAnsi="黑体" w:eastAsia="黑体" w:cs="黑体"/>
          <w:spacing w:val="6"/>
          <w:sz w:val="31"/>
          <w:szCs w:val="31"/>
        </w:rPr>
        <w:t xml:space="preserve"> </w:t>
      </w: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设计原则和依据</w:t>
      </w:r>
      <w:bookmarkEnd w:id="25"/>
    </w:p>
    <w:p>
      <w:pPr>
        <w:spacing w:before="193" w:line="224" w:lineRule="auto"/>
        <w:ind w:left="625"/>
        <w:outlineLvl w:val="1"/>
        <w:rPr>
          <w:rFonts w:ascii="楷体" w:hAnsi="楷体" w:eastAsia="楷体" w:cs="楷体"/>
          <w:sz w:val="30"/>
          <w:szCs w:val="30"/>
        </w:rPr>
      </w:pPr>
      <w:bookmarkStart w:id="26" w:name="bookmark29"/>
      <w:bookmarkEnd w:id="26"/>
      <w:bookmarkStart w:id="27" w:name="_Toc20171"/>
      <w:r>
        <w:rPr>
          <w:rFonts w:ascii="楷体" w:hAnsi="楷体" w:eastAsia="楷体" w:cs="楷体"/>
          <w:b/>
          <w:bCs/>
          <w:spacing w:val="-7"/>
          <w:sz w:val="30"/>
          <w:szCs w:val="30"/>
        </w:rPr>
        <w:t>3.1</w:t>
      </w:r>
      <w:r>
        <w:rPr>
          <w:rFonts w:ascii="楷体" w:hAnsi="楷体" w:eastAsia="楷体" w:cs="楷体"/>
          <w:spacing w:val="-56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7"/>
          <w:sz w:val="30"/>
          <w:szCs w:val="30"/>
        </w:rPr>
        <w:t>指导思想</w:t>
      </w:r>
      <w:bookmarkEnd w:id="27"/>
    </w:p>
    <w:p>
      <w:pPr>
        <w:spacing w:before="213" w:line="360" w:lineRule="auto"/>
        <w:ind w:firstLine="516" w:firstLineChars="200"/>
        <w:jc w:val="both"/>
        <w:outlineLvl w:val="1"/>
        <w:rPr>
          <w:rFonts w:ascii="FangSong_GB2312" w:hAnsi="FangSong_GB2312" w:eastAsia="FangSong_GB2312" w:cs="FangSong_GB2312"/>
          <w:sz w:val="28"/>
          <w:szCs w:val="28"/>
        </w:rPr>
      </w:pPr>
      <w:bookmarkStart w:id="28" w:name="_Toc17223"/>
      <w:r>
        <w:rPr>
          <w:rFonts w:ascii="FangSong_GB2312" w:hAnsi="FangSong_GB2312" w:eastAsia="FangSong_GB2312" w:cs="FangSong_GB2312"/>
          <w:spacing w:val="-11"/>
          <w:sz w:val="28"/>
          <w:szCs w:val="28"/>
        </w:rPr>
        <w:t>坚持“</w:t>
      </w:r>
      <w:r>
        <w:rPr>
          <w:rFonts w:ascii="FangSong_GB2312" w:hAnsi="FangSong_GB2312" w:eastAsia="FangSong_GB2312" w:cs="FangSong_GB2312"/>
          <w:spacing w:val="-78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11"/>
          <w:sz w:val="28"/>
          <w:szCs w:val="28"/>
        </w:rPr>
        <w:t>因地制宜，适度超前，量力而行，稳步推进”的原则， 以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建设完善的绿色生态屏障为目标，以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生态补水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为重</w:t>
      </w: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点，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通过林业行业项目建设，进而扶持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域完善生态防护体系的建设，减缓沙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漠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化趋势，促进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形成良性的绿洲生态循环系统，有效改善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区域生态环境质量，为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经济、社会的稳步健康可持续发展贡献力量。紧紧围绕重点防护林工程，结合当前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克区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生态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环境的急需治理的实际要求，以改善生态环境、提高人民生</w:t>
      </w: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活质量、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实观可持续发展为目标，本着合理布局，集中连片、讲究实效，突出重点的原则，在土地沙化严重和近期林木植被较容易恢复的地区，通过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生态补水、人工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管护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等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措施，使其在较短的时间内，使公益林的林分质量和林木覆盖度有一个较大提高，增强防风固沙能力，减轻林地沙漠化和荒漠化程度。构造起林业生态防护体系，使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克区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的生态环境面貌有一个较大改观，为寻求土地沙化、荒漠化治理模式提供及试点样板，使林业的生态效益、社会效益和经济效益得到充分发挥，为积极配合国家西部大开发和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克拉玛依市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经济的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发展，打好生态基础。</w:t>
      </w:r>
      <w:bookmarkEnd w:id="28"/>
    </w:p>
    <w:p>
      <w:pPr>
        <w:spacing w:before="30" w:line="225" w:lineRule="auto"/>
        <w:ind w:left="625"/>
        <w:outlineLvl w:val="1"/>
        <w:rPr>
          <w:rFonts w:ascii="楷体" w:hAnsi="楷体" w:eastAsia="楷体" w:cs="楷体"/>
          <w:sz w:val="30"/>
          <w:szCs w:val="30"/>
        </w:rPr>
      </w:pPr>
      <w:bookmarkStart w:id="29" w:name="bookmark31"/>
      <w:bookmarkEnd w:id="29"/>
      <w:bookmarkStart w:id="30" w:name="_Toc16712"/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3.2</w:t>
      </w:r>
      <w:r>
        <w:rPr>
          <w:rFonts w:ascii="楷体" w:hAnsi="楷体" w:eastAsia="楷体" w:cs="楷体"/>
          <w:spacing w:val="-63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基本原则</w:t>
      </w:r>
      <w:bookmarkEnd w:id="30"/>
    </w:p>
    <w:p>
      <w:pPr>
        <w:spacing w:before="236" w:line="353" w:lineRule="auto"/>
        <w:ind w:left="29" w:right="41" w:firstLine="553" w:firstLineChars="202"/>
        <w:rPr>
          <w:rFonts w:ascii="FangSong_GB2312" w:hAnsi="FangSong_GB2312" w:eastAsia="FangSong_GB2312" w:cs="FangSong_GB2312"/>
          <w:spacing w:val="-3"/>
          <w:sz w:val="28"/>
          <w:szCs w:val="28"/>
        </w:rPr>
      </w:pP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坚持集中连片，规模治理的原则，本着先易后难和生态治理区的轻重缓急，集中安排任务，形成规模效益，使林业生态工程建设效益得到充分发挥。</w:t>
      </w:r>
    </w:p>
    <w:p>
      <w:pPr>
        <w:spacing w:before="236" w:line="353" w:lineRule="auto"/>
        <w:ind w:left="29" w:right="41" w:firstLine="553" w:firstLineChars="202"/>
        <w:rPr>
          <w:rFonts w:ascii="FangSong_GB2312" w:hAnsi="FangSong_GB2312" w:eastAsia="FangSong_GB2312" w:cs="FangSong_GB2312"/>
          <w:spacing w:val="-3"/>
          <w:sz w:val="28"/>
          <w:szCs w:val="28"/>
        </w:rPr>
      </w:pP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坚持以防沙治沙为重点，要优先安排风沙区的治理任务， 加强植被保护，遏制生态恶化。减轻风沙危害，改善绿洲生态环境。</w:t>
      </w:r>
    </w:p>
    <w:p>
      <w:pPr>
        <w:spacing w:before="236" w:line="353" w:lineRule="auto"/>
        <w:ind w:left="29" w:right="41" w:firstLine="553" w:firstLineChars="202"/>
        <w:rPr>
          <w:rFonts w:ascii="FangSong_GB2312" w:hAnsi="FangSong_GB2312" w:eastAsia="FangSong_GB2312" w:cs="FangSong_GB2312"/>
          <w:spacing w:val="-3"/>
          <w:sz w:val="28"/>
          <w:szCs w:val="28"/>
        </w:rPr>
      </w:pP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坚持尊重自然规律，因地制宜科学修复。遵循森林发展演替、林木生长、树种分布等规律，促进林分健康稳定。</w:t>
      </w:r>
    </w:p>
    <w:p>
      <w:pPr>
        <w:spacing w:before="235" w:line="214" w:lineRule="auto"/>
        <w:ind w:left="596"/>
        <w:outlineLvl w:val="2"/>
        <w:rPr>
          <w:rFonts w:ascii="FangSong_GB2312" w:hAnsi="FangSong_GB2312" w:eastAsia="FangSong_GB2312" w:cs="FangSong_GB2312"/>
          <w:spacing w:val="-4"/>
          <w:sz w:val="28"/>
          <w:szCs w:val="28"/>
        </w:rPr>
      </w:pPr>
      <w:bookmarkStart w:id="31" w:name="_Toc29393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坚持量力而行，实事求是的原则，合理规划林业生态建设任务，</w:t>
      </w:r>
    </w:p>
    <w:p>
      <w:pPr>
        <w:spacing w:before="235" w:line="214" w:lineRule="auto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做到林业</w:t>
      </w:r>
      <w:bookmarkEnd w:id="31"/>
      <w:bookmarkStart w:id="32" w:name="_Toc25027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生态任务、治理能力综合平衡。</w:t>
      </w:r>
      <w:bookmarkEnd w:id="32"/>
      <w:bookmarkStart w:id="33" w:name="_Toc14264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坚持因地制宜的原则。因地制宜，适地适树，因害设防， 合理布局。选</w:t>
      </w:r>
      <w:bookmarkEnd w:id="33"/>
      <w:bookmarkStart w:id="34" w:name="_Toc1324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择适合的种植密度、树种、管理方法。</w:t>
      </w:r>
      <w:bookmarkEnd w:id="34"/>
      <w:bookmarkStart w:id="35" w:name="_Toc18378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坚持依靠科学技术，建立强有力的科技保障体系。</w:t>
      </w:r>
      <w:bookmarkEnd w:id="35"/>
      <w:bookmarkStart w:id="36" w:name="_Toc29742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坚持生态效益、社会效益和经济效益相结合的原则。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坚持工程建</w:t>
      </w:r>
      <w:bookmarkEnd w:id="36"/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设与当地经济、社会发展和农民增收、产业结构调整、与构筑和谐社</w:t>
      </w: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会相结合。</w:t>
      </w:r>
    </w:p>
    <w:p>
      <w:pPr>
        <w:spacing w:before="29" w:line="229" w:lineRule="auto"/>
        <w:ind w:left="625"/>
        <w:outlineLvl w:val="1"/>
        <w:rPr>
          <w:rFonts w:ascii="楷体" w:hAnsi="楷体" w:eastAsia="楷体" w:cs="楷体"/>
          <w:sz w:val="30"/>
          <w:szCs w:val="30"/>
        </w:rPr>
      </w:pPr>
      <w:bookmarkStart w:id="37" w:name="bookmark33"/>
      <w:bookmarkEnd w:id="37"/>
      <w:bookmarkStart w:id="38" w:name="_Toc29370"/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3.3</w:t>
      </w:r>
      <w:r>
        <w:rPr>
          <w:rFonts w:ascii="楷体" w:hAnsi="楷体" w:eastAsia="楷体" w:cs="楷体"/>
          <w:spacing w:val="-58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编制依据</w:t>
      </w:r>
      <w:bookmarkEnd w:id="38"/>
    </w:p>
    <w:p>
      <w:pPr>
        <w:spacing w:before="204" w:line="214" w:lineRule="auto"/>
        <w:ind w:left="601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39" w:name="_Toc2717"/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1、《中华人民共和国森林法》</w:t>
      </w:r>
      <w:bookmarkEnd w:id="39"/>
    </w:p>
    <w:p>
      <w:pPr>
        <w:spacing w:before="232" w:line="215" w:lineRule="auto"/>
        <w:ind w:left="606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0" w:name="_Toc24426"/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2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、《造林实施方案规程》LY/T1607—2003</w:t>
      </w:r>
      <w:bookmarkEnd w:id="40"/>
    </w:p>
    <w:p>
      <w:pPr>
        <w:spacing w:before="233" w:line="214" w:lineRule="auto"/>
        <w:ind w:left="594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1" w:name="_Toc16640"/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  <w:t>3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、《生态公益林建设技术规程》（GB/T18337.3-2001）</w:t>
      </w:r>
      <w:bookmarkEnd w:id="41"/>
    </w:p>
    <w:p>
      <w:pPr>
        <w:spacing w:before="235" w:line="214" w:lineRule="auto"/>
        <w:ind w:left="597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2" w:name="_Toc4392"/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  <w:t>4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、《营造林工程建设项目文件组成及深度要求》中华人民共和</w:t>
      </w:r>
      <w:bookmarkEnd w:id="42"/>
    </w:p>
    <w:p>
      <w:pPr>
        <w:spacing w:before="234" w:line="216" w:lineRule="auto"/>
        <w:ind w:left="49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7"/>
          <w:sz w:val="28"/>
          <w:szCs w:val="28"/>
        </w:rPr>
        <w:t>国行业标准</w:t>
      </w:r>
    </w:p>
    <w:p>
      <w:pPr>
        <w:spacing w:before="234" w:line="215" w:lineRule="auto"/>
        <w:ind w:firstLine="544" w:firstLineChars="200"/>
        <w:jc w:val="both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3" w:name="_Toc29461"/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、《关于印发&lt;自治区造林绿化工程实施方案编制指南&gt;的通知》</w:t>
      </w:r>
      <w:bookmarkEnd w:id="43"/>
    </w:p>
    <w:p>
      <w:pPr>
        <w:spacing w:before="233" w:line="215" w:lineRule="auto"/>
        <w:ind w:left="29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新林造字〔2009〕757</w:t>
      </w:r>
      <w:r>
        <w:rPr>
          <w:rFonts w:ascii="FangSong_GB2312" w:hAnsi="FangSong_GB2312" w:eastAsia="FangSong_GB2312" w:cs="FangSong_GB2312"/>
          <w:spacing w:val="-37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号</w:t>
      </w:r>
    </w:p>
    <w:p>
      <w:pPr>
        <w:spacing w:before="234" w:line="216" w:lineRule="auto"/>
        <w:ind w:firstLine="556" w:firstLineChars="200"/>
        <w:outlineLvl w:val="2"/>
        <w:rPr>
          <w:rFonts w:ascii="FangSong_GB2312" w:hAnsi="FangSong_GB2312" w:eastAsia="FangSong_GB2312" w:cs="FangSong_GB2312"/>
          <w:sz w:val="28"/>
          <w:szCs w:val="28"/>
        </w:rPr>
      </w:pPr>
      <w:bookmarkStart w:id="44" w:name="_Toc18900"/>
      <w:r>
        <w:rPr>
          <w:rFonts w:hint="eastAsia" w:ascii="FangSong_GB2312" w:hAnsi="FangSong_GB2312" w:eastAsia="FangSong_GB2312" w:cs="FangSong_GB2312"/>
          <w:spacing w:val="-1"/>
          <w:sz w:val="28"/>
          <w:szCs w:val="28"/>
          <w:lang w:val="en-US" w:eastAsia="zh-CN"/>
        </w:rPr>
        <w:t>6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、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其它有关国家行业地方技术标准</w:t>
      </w:r>
      <w:bookmarkEnd w:id="44"/>
    </w:p>
    <w:p>
      <w:pPr>
        <w:spacing w:before="29" w:line="229" w:lineRule="auto"/>
        <w:ind w:left="625"/>
        <w:outlineLvl w:val="1"/>
        <w:rPr>
          <w:rFonts w:ascii="楷体" w:hAnsi="楷体" w:eastAsia="楷体" w:cs="楷体"/>
          <w:b/>
          <w:bCs/>
          <w:spacing w:val="-6"/>
          <w:sz w:val="30"/>
          <w:szCs w:val="30"/>
        </w:rPr>
      </w:pPr>
      <w:bookmarkStart w:id="45" w:name="bookmark35"/>
      <w:bookmarkEnd w:id="45"/>
      <w:bookmarkStart w:id="46" w:name="_Toc31707"/>
    </w:p>
    <w:p>
      <w:pPr>
        <w:spacing w:before="29" w:line="229" w:lineRule="auto"/>
        <w:ind w:left="625"/>
        <w:outlineLvl w:val="1"/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</w:pP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 xml:space="preserve">3.4 </w:t>
      </w:r>
      <w:r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  <w:t>建设目标</w:t>
      </w:r>
      <w:bookmarkEnd w:id="46"/>
    </w:p>
    <w:p>
      <w:pPr>
        <w:spacing w:before="236" w:line="353" w:lineRule="auto"/>
        <w:ind w:left="29" w:right="41" w:firstLine="553" w:firstLineChars="202"/>
        <w:rPr>
          <w:rFonts w:hint="default" w:ascii="FangSong_GB2312" w:hAnsi="FangSong_GB2312" w:eastAsia="FangSong_GB2312" w:cs="FangSong_GB2312"/>
          <w:spacing w:val="-3"/>
          <w:sz w:val="28"/>
          <w:szCs w:val="28"/>
          <w:lang w:val="en-US" w:eastAsia="zh-CN"/>
        </w:rPr>
      </w:pPr>
      <w:bookmarkStart w:id="47" w:name="_Toc23823"/>
      <w:r>
        <w:rPr>
          <w:rFonts w:hint="eastAsia" w:ascii="FangSong_GB2312" w:hAnsi="FangSong_GB2312" w:eastAsia="FangSong_GB2312" w:cs="FangSong_GB2312"/>
          <w:spacing w:val="-3"/>
          <w:sz w:val="28"/>
          <w:szCs w:val="28"/>
          <w:lang w:val="en-US" w:eastAsia="zh-CN"/>
        </w:rPr>
        <w:t>在2025年，通过整地、安装分水口管线及阀门、以及补水抚育管护等一系列作业手段对约10000亩灌木林地补水。同时，通过项目建设达到提高荒漠地区森林植被覆盖率、增加农民收入、维护本地区社会稳定繁荣打下良好基础。</w:t>
      </w:r>
      <w:bookmarkEnd w:id="47"/>
    </w:p>
    <w:p>
      <w:pPr>
        <w:spacing w:before="29" w:line="229" w:lineRule="auto"/>
        <w:ind w:left="625"/>
        <w:outlineLvl w:val="1"/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</w:pPr>
      <w:bookmarkStart w:id="48" w:name="_Toc18247"/>
      <w:r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  <w:t>3.5建设规模</w:t>
      </w:r>
      <w:bookmarkEnd w:id="48"/>
    </w:p>
    <w:p>
      <w:pPr>
        <w:spacing w:before="212" w:line="360" w:lineRule="auto"/>
        <w:ind w:firstLine="544" w:firstLineChars="200"/>
        <w:jc w:val="both"/>
        <w:outlineLvl w:val="9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  <w:bookmarkStart w:id="49" w:name="_Toc17425"/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本项目建设总规模10000亩左右，全部设置分水井一座，内设置阀门2个，四通一个，放气排气阀两个，涂塑钢管约40米，地面分水阀2个，带法兰PVC管线共计约480米。</w:t>
      </w:r>
      <w:bookmarkEnd w:id="49"/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numPr>
          <w:ilvl w:val="0"/>
          <w:numId w:val="1"/>
        </w:numPr>
        <w:spacing w:before="218" w:line="226" w:lineRule="auto"/>
        <w:jc w:val="center"/>
        <w:outlineLvl w:val="0"/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</w:pPr>
      <w:bookmarkStart w:id="50" w:name="_Toc7933"/>
      <w:r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  <w:t>项目区范围图与布局</w:t>
      </w:r>
      <w:bookmarkEnd w:id="50"/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  <w:drawing>
          <wp:inline distT="0" distB="0" distL="114300" distR="114300">
            <wp:extent cx="5300345" cy="7491095"/>
            <wp:effectExtent l="0" t="0" r="3175" b="6985"/>
            <wp:docPr id="6" name="图片 6" descr="lQDPJx8BAjrqpZPNJr_NG2uwbQSUVEWfzwgH8I2o76twAA_7019_9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lQDPJx8BAjrqpZPNJr_NG2uwbQSUVEWfzwgH8I2o76twAA_7019_99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74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  <w:drawing>
          <wp:inline distT="0" distB="0" distL="114300" distR="114300">
            <wp:extent cx="5808345" cy="8208645"/>
            <wp:effectExtent l="0" t="0" r="1905" b="1905"/>
            <wp:docPr id="1" name="图片 1" descr="2.布局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.布局图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08345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  <w:drawing>
          <wp:inline distT="0" distB="0" distL="114300" distR="114300">
            <wp:extent cx="5802630" cy="8208645"/>
            <wp:effectExtent l="0" t="0" r="3810" b="5715"/>
            <wp:docPr id="9" name="图片 9" descr="27dc1e52e19d2c5a8bb6f2db7a8d4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7dc1e52e19d2c5a8bb6f2db7a8d4a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2630" cy="82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FangSong_GB2312" w:hAnsi="FangSong_GB2312" w:eastAsia="FangSong_GB2312" w:cs="FangSong_GB2312"/>
          <w:spacing w:val="-4"/>
          <w:sz w:val="28"/>
          <w:szCs w:val="28"/>
          <w:highlight w:val="none"/>
          <w:lang w:eastAsia="zh-CN"/>
        </w:rPr>
      </w:pPr>
    </w:p>
    <w:p>
      <w:pPr>
        <w:spacing w:before="101" w:line="226" w:lineRule="auto"/>
        <w:ind w:left="2532"/>
        <w:outlineLvl w:val="0"/>
        <w:rPr>
          <w:rFonts w:hint="default" w:ascii="黑体" w:hAnsi="黑体" w:eastAsia="黑体" w:cs="黑体"/>
          <w:sz w:val="31"/>
          <w:szCs w:val="31"/>
          <w:lang w:val="en-US" w:eastAsia="zh-CN"/>
        </w:rPr>
      </w:pPr>
      <w:bookmarkStart w:id="51" w:name="_Toc5613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第五章</w:t>
      </w:r>
      <w:r>
        <w:rPr>
          <w:rFonts w:ascii="黑体" w:hAnsi="黑体" w:eastAsia="黑体" w:cs="黑体"/>
          <w:spacing w:val="6"/>
          <w:sz w:val="31"/>
          <w:szCs w:val="31"/>
        </w:rPr>
        <w:t xml:space="preserve"> </w:t>
      </w: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设计的规模与内容</w:t>
      </w:r>
      <w:bookmarkEnd w:id="51"/>
    </w:p>
    <w:p>
      <w:pPr>
        <w:spacing w:before="195" w:line="228" w:lineRule="auto"/>
        <w:outlineLvl w:val="1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52" w:name="bookmark43"/>
      <w:bookmarkEnd w:id="52"/>
      <w:bookmarkStart w:id="53" w:name="_Toc6305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5.1 设计的规模与进度安排</w:t>
      </w:r>
      <w:bookmarkEnd w:id="53"/>
    </w:p>
    <w:p>
      <w:pPr>
        <w:spacing w:before="226" w:line="354" w:lineRule="auto"/>
        <w:ind w:left="43" w:right="13" w:firstLine="546"/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设计总规模为10000亩灌木林地的灌溉，建设内容包括平整土地、开挖分水井、安装分水阀门 管件等、安装法兰胶管、灌溉、施肥等。</w:t>
      </w:r>
    </w:p>
    <w:p>
      <w:pPr>
        <w:spacing w:before="226" w:line="354" w:lineRule="auto"/>
        <w:ind w:left="43" w:right="13" w:firstLine="546"/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项目进度2025年6月-2025年7月完成基础设施建设，2025年7月15日前具备灌溉条件。</w:t>
      </w:r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54" w:name="_Toc29355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5.2灌溉设计</w:t>
      </w:r>
      <w:bookmarkEnd w:id="54"/>
    </w:p>
    <w:p>
      <w:pPr>
        <w:spacing w:before="195" w:line="228" w:lineRule="auto"/>
        <w:outlineLvl w:val="2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55" w:name="_Toc30032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5.2.1</w:t>
      </w:r>
      <w:bookmarkEnd w:id="55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现场情况</w:t>
      </w:r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56" w:name="_Toc21893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5.2.1.1立地条件</w:t>
      </w:r>
      <w:bookmarkEnd w:id="56"/>
    </w:p>
    <w:p>
      <w:pPr>
        <w:spacing w:before="226" w:line="363" w:lineRule="auto"/>
        <w:ind w:left="22" w:right="45" w:firstLine="561"/>
        <w:jc w:val="both"/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地处南部荒漠防风固沙林区，地势较为平坦，海拔280-300米。土壤质地以砂壤土为主，有少量砾石。</w:t>
      </w:r>
    </w:p>
    <w:p>
      <w:pPr>
        <w:spacing w:before="43" w:line="396" w:lineRule="auto"/>
        <w:ind w:left="26" w:right="81" w:firstLine="564"/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项目区的土壤PH值在6.5-7.9之间，全盐含量为0.46%左右，有机质含量为1.15%左右，局部土壤含沙量在29.75%，土层厚度50-85cm。气候干旱，降水稀少，蒸发强烈，植被稀少，平均植被覆盖率为10%左右，植被种类主要以梭梭等荒漠植被为主。灌溉用水为降雨及地下水。</w:t>
      </w:r>
    </w:p>
    <w:p>
      <w:pPr>
        <w:spacing w:before="64" w:line="227" w:lineRule="auto"/>
        <w:outlineLvl w:val="1"/>
        <w:rPr>
          <w:rFonts w:ascii="楷体" w:hAnsi="楷体" w:eastAsia="楷体" w:cs="楷体"/>
          <w:b/>
          <w:bCs/>
          <w:spacing w:val="-5"/>
          <w:sz w:val="30"/>
          <w:szCs w:val="30"/>
        </w:rPr>
      </w:pPr>
      <w:bookmarkStart w:id="57" w:name="_Toc27944"/>
      <w:r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  <w:t>5.2.1.2</w:t>
      </w:r>
      <w:r>
        <w:rPr>
          <w:rFonts w:ascii="楷体" w:hAnsi="楷体" w:eastAsia="楷体" w:cs="楷体"/>
          <w:b/>
          <w:bCs/>
          <w:spacing w:val="-5"/>
          <w:sz w:val="30"/>
          <w:szCs w:val="30"/>
        </w:rPr>
        <w:t>基础设施条件（交通）</w:t>
      </w:r>
      <w:bookmarkEnd w:id="57"/>
    </w:p>
    <w:p>
      <w:pPr>
        <w:spacing w:before="185" w:line="397" w:lineRule="auto"/>
        <w:ind w:left="49" w:right="6" w:firstLine="538"/>
        <w:rPr>
          <w:rFonts w:ascii="FangSong_GB2312" w:hAnsi="FangSong_GB2312" w:eastAsia="FangSong_GB2312" w:cs="FangSong_GB2312"/>
          <w:spacing w:val="-3"/>
          <w:sz w:val="28"/>
          <w:szCs w:val="28"/>
        </w:rPr>
      </w:pPr>
      <w:r>
        <w:rPr>
          <w:rFonts w:ascii="FangSong_GB2312" w:hAnsi="FangSong_GB2312" w:eastAsia="FangSong_GB2312" w:cs="FangSong_GB2312"/>
          <w:spacing w:val="-11"/>
          <w:sz w:val="28"/>
          <w:szCs w:val="28"/>
        </w:rPr>
        <w:t>项目区内乡、镇之间，场与村之间均有道路连通，交通运输便利，</w:t>
      </w:r>
      <w:r>
        <w:rPr>
          <w:rFonts w:ascii="FangSong_GB2312" w:hAnsi="FangSong_GB2312" w:eastAsia="FangSong_GB2312" w:cs="FangSong_GB2312"/>
          <w:spacing w:val="6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能保证修复项目实施通行的要求。</w:t>
      </w:r>
    </w:p>
    <w:p>
      <w:pPr>
        <w:spacing w:before="64" w:line="227" w:lineRule="auto"/>
        <w:outlineLvl w:val="1"/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</w:pPr>
      <w:bookmarkStart w:id="58" w:name="_Toc27496"/>
      <w:r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  <w:t>5.2.1.3分水井配置</w:t>
      </w:r>
      <w:bookmarkEnd w:id="58"/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59" w:name="_Toc5985"/>
      <w:r>
        <w:drawing>
          <wp:inline distT="0" distB="0" distL="114300" distR="114300">
            <wp:extent cx="5267325" cy="3772535"/>
            <wp:effectExtent l="0" t="0" r="571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85" w:line="397" w:lineRule="auto"/>
        <w:ind w:left="49" w:right="6" w:firstLine="538"/>
        <w:rPr>
          <w:rFonts w:hint="default" w:ascii="FangSong_GB2312" w:hAnsi="FangSong_GB2312" w:eastAsia="FangSong_GB2312" w:cs="FangSong_GB2312"/>
          <w:spacing w:val="-3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3"/>
          <w:sz w:val="28"/>
          <w:szCs w:val="28"/>
          <w:lang w:val="en-US" w:eastAsia="zh-CN"/>
        </w:rPr>
        <w:t>在18+100处设置一处分水井，分水井大样图如下；从分水井分别引2根DN500分水管至南北2侧灌溉区，通过出地桩阀门调整控制灌溉区的用水量。南侧地势较高处用DN250软管法兰的连接方式，将水引至高点，再将水均匀高点自然流至灌溉区域内；北侧灌溉条件较好，可直接开沟；将水头直接引至灌溉区，南北侧的通井道路、井场、日常巡检道路、农田区、冲沟等处需要设置挡水土垄，土垄宽度为i米，高度1米，压实度不小于0.75，沿井场及道路均布（需根据实地情况）；每次放水前，需要人员对上述重点区域进行仔细巡查，发现有损坏、低洼处及时进行修补，确保在灌溉时限内，道路及正常生产不受影响。</w:t>
      </w:r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5546725" cy="3985260"/>
            <wp:effectExtent l="0" t="0" r="6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4672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4358640" cy="364236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5864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9"/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60" w:name="_Toc21843"/>
    </w:p>
    <w:p>
      <w:pPr>
        <w:spacing w:before="195" w:line="228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5.2.1.4分水井主要技术措施</w:t>
      </w:r>
      <w:bookmarkEnd w:id="60"/>
    </w:p>
    <w:p>
      <w:pPr>
        <w:spacing w:before="225" w:line="353" w:lineRule="auto"/>
        <w:ind w:left="54" w:right="74" w:firstLine="536"/>
        <w:rPr>
          <w:rFonts w:ascii="FangSong_GB2312" w:hAnsi="FangSong_GB2312" w:eastAsia="FangSong_GB2312" w:cs="FangSong_GB2312"/>
          <w:color w:val="auto"/>
          <w:sz w:val="28"/>
          <w:szCs w:val="28"/>
        </w:rPr>
      </w:pP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lang w:val="en-US" w:eastAsia="zh-CN"/>
        </w:rPr>
        <w:t>严格按照施工图纸KLMY-FSJ-01～07分水井设计图、KLMY-JDDYT-01～02节点大样图、KLMY-CL-01管道穿土路设计图 、KLMY-DSTG-01挡水土埂设计图进行施工，确保工程顺利进行；确保灌溉区域内的灌</w:t>
      </w: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  <w:lang w:val="en-US" w:eastAsia="zh-CN"/>
        </w:rPr>
        <w:t>木林地生态补水顺利；全年灌溉8个月，从4月开始，11月结束，全年灌水2-3次左右，灌溉定额600m</w:t>
      </w: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  <w:vertAlign w:val="superscript"/>
          <w:lang w:val="en-US" w:eastAsia="zh-CN"/>
        </w:rPr>
        <w:t>3</w:t>
      </w: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  <w:lang w:val="en-US" w:eastAsia="zh-CN"/>
        </w:rPr>
        <w:t>/亩年，</w:t>
      </w:r>
      <w:r>
        <w:rPr>
          <w:rFonts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</w:rPr>
        <w:t>管护期间根据需要每月灌水 1-2 次</w:t>
      </w: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  <w:lang w:eastAsia="zh-CN"/>
        </w:rPr>
        <w:t>，</w:t>
      </w:r>
      <w:r>
        <w:rPr>
          <w:rFonts w:hint="eastAsia"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  <w:lang w:val="en-US" w:eastAsia="zh-CN"/>
        </w:rPr>
        <w:t>夏季炎热时段根据苗木情况增加浇水次数</w:t>
      </w:r>
      <w:r>
        <w:rPr>
          <w:rFonts w:ascii="FangSong_GB2312" w:hAnsi="FangSong_GB2312" w:eastAsia="FangSong_GB2312" w:cs="FangSong_GB2312"/>
          <w:color w:val="auto"/>
          <w:spacing w:val="-7"/>
          <w:sz w:val="28"/>
          <w:szCs w:val="28"/>
          <w:highlight w:val="none"/>
        </w:rPr>
        <w:t>。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2025</w:t>
      </w:r>
      <w:r>
        <w:rPr>
          <w:rFonts w:ascii="FangSong_GB2312" w:hAnsi="FangSong_GB2312" w:eastAsia="FangSong_GB2312" w:cs="FangSong_GB2312"/>
          <w:color w:val="auto"/>
          <w:spacing w:val="-46"/>
          <w:sz w:val="28"/>
          <w:szCs w:val="28"/>
          <w:highlight w:val="none"/>
        </w:rPr>
        <w:t xml:space="preserve"> 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年</w:t>
      </w:r>
      <w:r>
        <w:rPr>
          <w:rFonts w:ascii="FangSong_GB2312" w:hAnsi="FangSong_GB2312" w:eastAsia="FangSong_GB2312" w:cs="FangSong_GB2312"/>
          <w:color w:val="auto"/>
          <w:spacing w:val="-38"/>
          <w:sz w:val="28"/>
          <w:szCs w:val="28"/>
          <w:highlight w:val="none"/>
        </w:rPr>
        <w:t xml:space="preserve"> </w:t>
      </w:r>
      <w:r>
        <w:rPr>
          <w:rFonts w:hint="eastAsia" w:ascii="FangSong_GB2312" w:hAnsi="FangSong_GB2312" w:eastAsia="FangSong_GB2312" w:cs="FangSong_GB2312"/>
          <w:color w:val="auto"/>
          <w:spacing w:val="-38"/>
          <w:sz w:val="28"/>
          <w:szCs w:val="28"/>
          <w:highlight w:val="none"/>
          <w:lang w:val="en-US" w:eastAsia="zh-CN"/>
        </w:rPr>
        <w:t>8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-</w:t>
      </w:r>
      <w:r>
        <w:rPr>
          <w:rFonts w:hint="eastAsia"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  <w:lang w:val="en-US" w:eastAsia="zh-CN"/>
        </w:rPr>
        <w:t>10</w:t>
      </w:r>
      <w:r>
        <w:rPr>
          <w:rFonts w:ascii="FangSong_GB2312" w:hAnsi="FangSong_GB2312" w:eastAsia="FangSong_GB2312" w:cs="FangSong_GB2312"/>
          <w:color w:val="auto"/>
          <w:spacing w:val="-46"/>
          <w:sz w:val="28"/>
          <w:szCs w:val="28"/>
          <w:highlight w:val="none"/>
        </w:rPr>
        <w:t xml:space="preserve"> 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月对</w:t>
      </w:r>
      <w:r>
        <w:rPr>
          <w:rFonts w:hint="eastAsia"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  <w:lang w:val="en-US" w:eastAsia="zh-CN"/>
        </w:rPr>
        <w:t>10000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亩进行</w:t>
      </w:r>
      <w:r>
        <w:rPr>
          <w:rFonts w:hint="eastAsia"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  <w:lang w:val="en-US" w:eastAsia="zh-CN"/>
        </w:rPr>
        <w:t>灌木林地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  <w:highlight w:val="none"/>
        </w:rPr>
        <w:t>自</w:t>
      </w:r>
      <w:r>
        <w:rPr>
          <w:rFonts w:ascii="FangSong_GB2312" w:hAnsi="FangSong_GB2312" w:eastAsia="FangSong_GB2312" w:cs="FangSong_GB2312"/>
          <w:color w:val="auto"/>
          <w:spacing w:val="-5"/>
          <w:sz w:val="28"/>
          <w:szCs w:val="28"/>
        </w:rPr>
        <w:t>查，制定补</w:t>
      </w:r>
      <w:r>
        <w:rPr>
          <w:rFonts w:hint="eastAsia" w:ascii="FangSong_GB2312" w:hAnsi="FangSong_GB2312" w:eastAsia="FangSong_GB2312" w:cs="FangSong_GB2312"/>
          <w:color w:val="auto"/>
          <w:spacing w:val="-5"/>
          <w:sz w:val="28"/>
          <w:szCs w:val="28"/>
          <w:lang w:val="en-US" w:eastAsia="zh-CN"/>
        </w:rPr>
        <w:t>水</w:t>
      </w: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计划</w:t>
      </w:r>
      <w:r>
        <w:rPr>
          <w:rFonts w:ascii="FangSong_GB2312" w:hAnsi="FangSong_GB2312" w:eastAsia="FangSong_GB2312" w:cs="FangSong_GB2312"/>
          <w:color w:val="auto"/>
          <w:spacing w:val="-2"/>
          <w:sz w:val="28"/>
          <w:szCs w:val="28"/>
        </w:rPr>
        <w:t>、</w:t>
      </w: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2025年11月</w:t>
      </w:r>
      <w:r>
        <w:rPr>
          <w:rFonts w:ascii="FangSong_GB2312" w:hAnsi="FangSong_GB2312" w:eastAsia="FangSong_GB2312" w:cs="FangSong_GB2312"/>
          <w:color w:val="auto"/>
          <w:spacing w:val="-2"/>
          <w:sz w:val="28"/>
          <w:szCs w:val="28"/>
        </w:rPr>
        <w:t>进行项目验收、评价总结。</w:t>
      </w:r>
    </w:p>
    <w:p>
      <w:pPr>
        <w:spacing w:before="234" w:line="360" w:lineRule="auto"/>
        <w:rPr>
          <w:rFonts w:hint="eastAsia" w:ascii="FangSong_GB2312" w:hAnsi="FangSong_GB2312" w:eastAsia="FangSong_GB2312" w:cs="FangSong_GB2312"/>
          <w:color w:val="auto"/>
          <w:spacing w:val="-3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3"/>
          <w:sz w:val="28"/>
          <w:szCs w:val="28"/>
          <w:lang w:val="en-US" w:eastAsia="zh-CN"/>
        </w:rPr>
        <w:t>护林防火和有害生物防治</w:t>
      </w:r>
    </w:p>
    <w:p>
      <w:pPr>
        <w:spacing w:before="226" w:line="353" w:lineRule="auto"/>
        <w:ind w:left="33" w:right="74" w:firstLine="561"/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认真遵照执行《森林防火条例》、《森林病虫害防治条例》、《森林植物检疫条例》等各项条例法规，坚持实行“预防为主，综合治理”的方针和“谁经营，谁防治”的原则，建立责任制度。</w:t>
      </w:r>
    </w:p>
    <w:p>
      <w:pPr>
        <w:spacing w:before="226" w:line="353" w:lineRule="auto"/>
        <w:ind w:left="33" w:right="74" w:firstLine="561"/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加强森林火险的预测、预报工作，将造林地纳入当地的护林防火体系。</w:t>
      </w:r>
    </w:p>
    <w:p>
      <w:pPr>
        <w:spacing w:before="226" w:line="353" w:lineRule="auto"/>
        <w:ind w:left="33" w:right="74" w:firstLine="561"/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加强森林病虫鼠害的预测、预报工作，坚持生物防治为主采取必要的营林措施，综合治理，减免病虫害的发生和蔓延。</w:t>
      </w:r>
    </w:p>
    <w:p>
      <w:pPr>
        <w:spacing w:before="234" w:line="360" w:lineRule="auto"/>
        <w:rPr>
          <w:rFonts w:hint="eastAsia" w:ascii="FangSong_GB2312" w:hAnsi="FangSong_GB2312" w:eastAsia="FangSong_GB2312" w:cs="FangSong_GB2312"/>
          <w:color w:val="auto"/>
          <w:spacing w:val="-3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3"/>
          <w:sz w:val="28"/>
          <w:szCs w:val="28"/>
          <w:lang w:val="en-US" w:eastAsia="zh-CN"/>
        </w:rPr>
        <w:t>宣传与管护</w:t>
      </w:r>
    </w:p>
    <w:p>
      <w:pPr>
        <w:spacing w:line="360" w:lineRule="auto"/>
        <w:rPr>
          <w:rFonts w:ascii="FangSong_GB2312" w:hAnsi="FangSong_GB2312" w:eastAsia="FangSong_GB2312" w:cs="FangSong_GB2312"/>
          <w:color w:val="auto"/>
          <w:spacing w:val="-4"/>
          <w:sz w:val="28"/>
          <w:szCs w:val="28"/>
        </w:rPr>
      </w:pPr>
      <w:r>
        <w:rPr>
          <w:rFonts w:ascii="Times New Roman" w:hAnsi="Times New Roman" w:eastAsia="仿宋" w:cs="Times New Roman"/>
          <w:sz w:val="24"/>
          <w:szCs w:val="24"/>
        </w:rPr>
        <w:t xml:space="preserve">    </w:t>
      </w: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 xml:space="preserve">  在植被恢复区人畜活动频繁处，设置宣传牌1块，加强宣传教育。同时结合公益林建设，对植被恢复区进行定期人员巡护。</w:t>
      </w: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pStyle w:val="2"/>
        <w:rPr>
          <w:rFonts w:ascii="FangSong_GB2312" w:hAnsi="FangSong_GB2312" w:eastAsia="FangSong_GB2312" w:cs="FangSong_GB2312"/>
          <w:spacing w:val="-4"/>
          <w:sz w:val="28"/>
          <w:szCs w:val="28"/>
          <w:highlight w:val="none"/>
        </w:rPr>
      </w:pPr>
    </w:p>
    <w:p>
      <w:pPr>
        <w:numPr>
          <w:ilvl w:val="0"/>
          <w:numId w:val="2"/>
        </w:numPr>
        <w:spacing w:before="100" w:line="227" w:lineRule="auto"/>
        <w:ind w:left="2172" w:firstLine="970" w:firstLineChars="300"/>
        <w:outlineLvl w:val="0"/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bookmarkStart w:id="61" w:name="_Toc14395"/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工程量统计表</w:t>
      </w:r>
      <w:bookmarkEnd w:id="61"/>
    </w:p>
    <w:p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/>
          <w:lang w:val="en-US" w:eastAsia="zh-CN"/>
        </w:rPr>
      </w:pPr>
    </w:p>
    <w:p>
      <w:pPr>
        <w:spacing w:before="226" w:line="353" w:lineRule="auto"/>
        <w:ind w:left="33" w:right="74" w:firstLine="561"/>
        <w:rPr>
          <w:rFonts w:hint="default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</w:pP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根据项目现场情况及灌溉区域规模，现有地形地貌、地面植被等情况</w:t>
      </w:r>
      <w:r>
        <w:rPr>
          <w:rFonts w:hint="default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，计算出本项目</w:t>
      </w: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所</w:t>
      </w:r>
      <w:r>
        <w:rPr>
          <w:rFonts w:hint="default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需</w:t>
      </w:r>
      <w:r>
        <w:rPr>
          <w:rFonts w:hint="eastAsia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资金及相关的附属设备设施</w:t>
      </w:r>
      <w:r>
        <w:rPr>
          <w:rFonts w:hint="default" w:ascii="FangSong_GB2312" w:hAnsi="FangSong_GB2312" w:eastAsia="FangSong_GB2312" w:cs="FangSong_GB2312"/>
          <w:color w:val="auto"/>
          <w:spacing w:val="-2"/>
          <w:sz w:val="28"/>
          <w:szCs w:val="28"/>
          <w:lang w:val="en-US" w:eastAsia="zh-CN"/>
        </w:rPr>
        <w:t>。</w:t>
      </w:r>
    </w:p>
    <w:p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/>
          <w:lang w:val="en-US" w:eastAsia="zh-CN"/>
        </w:rPr>
      </w:pPr>
    </w:p>
    <w:p>
      <w:pPr>
        <w:spacing w:before="100" w:line="227" w:lineRule="auto"/>
        <w:outlineLvl w:val="1"/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bookmarkStart w:id="62" w:name="_Toc8305"/>
      <w:r>
        <w:drawing>
          <wp:inline distT="0" distB="0" distL="114300" distR="114300">
            <wp:extent cx="6005830" cy="6478270"/>
            <wp:effectExtent l="0" t="0" r="1397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rcRect l="11072" t="3639" r="4368" b="4333"/>
                    <a:stretch>
                      <a:fillRect/>
                    </a:stretch>
                  </pic:blipFill>
                  <pic:spPr>
                    <a:xfrm>
                      <a:off x="0" y="0"/>
                      <a:ext cx="6005830" cy="647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line="227" w:lineRule="auto"/>
        <w:outlineLvl w:val="1"/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</w:p>
    <w:bookmarkEnd w:id="62"/>
    <w:p>
      <w:pPr>
        <w:spacing w:before="100" w:line="227" w:lineRule="auto"/>
        <w:ind w:left="2172" w:firstLine="970" w:firstLineChars="300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bookmarkStart w:id="63" w:name="_Toc957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第</w:t>
      </w: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七</w:t>
      </w:r>
      <w:r>
        <w:rPr>
          <w:rFonts w:ascii="黑体" w:hAnsi="黑体" w:eastAsia="黑体" w:cs="黑体"/>
          <w:b/>
          <w:bCs/>
          <w:spacing w:val="6"/>
          <w:sz w:val="31"/>
          <w:szCs w:val="31"/>
        </w:rPr>
        <w:t xml:space="preserve">章 </w:t>
      </w: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工程施工进度</w:t>
      </w:r>
      <w:bookmarkEnd w:id="63"/>
    </w:p>
    <w:p>
      <w:pPr>
        <w:spacing w:before="212" w:line="223" w:lineRule="auto"/>
        <w:ind w:left="624"/>
        <w:outlineLvl w:val="1"/>
        <w:rPr>
          <w:rFonts w:ascii="楷体" w:hAnsi="楷体" w:eastAsia="楷体" w:cs="楷体"/>
          <w:b/>
          <w:bCs/>
          <w:spacing w:val="-6"/>
          <w:sz w:val="30"/>
          <w:szCs w:val="30"/>
        </w:rPr>
      </w:pPr>
      <w:bookmarkStart w:id="64" w:name="_Toc32665"/>
      <w:r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  <w:t>7.1</w:t>
      </w: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 xml:space="preserve"> 项目建设期限</w:t>
      </w:r>
      <w:bookmarkEnd w:id="64"/>
    </w:p>
    <w:p>
      <w:pPr>
        <w:spacing w:before="197" w:line="214" w:lineRule="auto"/>
        <w:ind w:left="587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项目建设期限为</w:t>
      </w:r>
      <w:r>
        <w:rPr>
          <w:rFonts w:hint="eastAsia" w:ascii="FangSong_GB2312" w:hAnsi="FangSong_GB2312" w:eastAsia="FangSong_GB2312" w:cs="FangSong_GB2312"/>
          <w:spacing w:val="-8"/>
          <w:sz w:val="28"/>
          <w:szCs w:val="28"/>
          <w:lang w:val="en-US" w:eastAsia="zh-CN"/>
        </w:rPr>
        <w:t>半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年，即</w:t>
      </w:r>
      <w:r>
        <w:rPr>
          <w:rFonts w:ascii="FangSong_GB2312" w:hAnsi="FangSong_GB2312" w:eastAsia="FangSong_GB2312" w:cs="FangSong_GB2312"/>
          <w:spacing w:val="-49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202</w:t>
      </w:r>
      <w:r>
        <w:rPr>
          <w:rFonts w:hint="eastAsia" w:ascii="FangSong_GB2312" w:hAnsi="FangSong_GB2312" w:eastAsia="FangSong_GB2312" w:cs="FangSong_GB2312"/>
          <w:spacing w:val="-8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年</w:t>
      </w:r>
      <w:r>
        <w:rPr>
          <w:rFonts w:hint="eastAsia" w:ascii="FangSong_GB2312" w:hAnsi="FangSong_GB2312" w:eastAsia="FangSong_GB2312" w:cs="FangSong_GB2312"/>
          <w:spacing w:val="-44"/>
          <w:sz w:val="28"/>
          <w:szCs w:val="28"/>
          <w:lang w:val="en-US" w:eastAsia="zh-CN"/>
        </w:rPr>
        <w:t>6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月-2025</w:t>
      </w:r>
      <w:r>
        <w:rPr>
          <w:rFonts w:ascii="FangSong_GB2312" w:hAnsi="FangSong_GB2312" w:eastAsia="FangSong_GB2312" w:cs="FangSong_GB2312"/>
          <w:spacing w:val="-57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年</w:t>
      </w:r>
      <w:r>
        <w:rPr>
          <w:rFonts w:hint="eastAsia" w:ascii="FangSong_GB2312" w:hAnsi="FangSong_GB2312" w:eastAsia="FangSong_GB2312" w:cs="FangSong_GB2312"/>
          <w:spacing w:val="-50"/>
          <w:sz w:val="28"/>
          <w:szCs w:val="28"/>
          <w:lang w:val="en-US" w:eastAsia="zh-CN"/>
        </w:rPr>
        <w:t>10</w:t>
      </w:r>
      <w:r>
        <w:rPr>
          <w:rFonts w:ascii="FangSong_GB2312" w:hAnsi="FangSong_GB2312" w:eastAsia="FangSong_GB2312" w:cs="FangSong_GB2312"/>
          <w:spacing w:val="-8"/>
          <w:sz w:val="28"/>
          <w:szCs w:val="28"/>
        </w:rPr>
        <w:t>月。</w:t>
      </w:r>
    </w:p>
    <w:p>
      <w:pPr>
        <w:spacing w:before="212" w:line="223" w:lineRule="auto"/>
        <w:ind w:left="624"/>
        <w:outlineLvl w:val="1"/>
        <w:rPr>
          <w:rFonts w:ascii="楷体" w:hAnsi="楷体" w:eastAsia="楷体" w:cs="楷体"/>
          <w:sz w:val="30"/>
          <w:szCs w:val="30"/>
        </w:rPr>
      </w:pPr>
      <w:bookmarkStart w:id="65" w:name="bookmark57"/>
      <w:bookmarkEnd w:id="65"/>
      <w:bookmarkStart w:id="66" w:name="_Toc27611"/>
      <w:r>
        <w:rPr>
          <w:rFonts w:hint="eastAsia" w:ascii="楷体" w:hAnsi="楷体" w:eastAsia="楷体" w:cs="楷体"/>
          <w:b/>
          <w:bCs/>
          <w:spacing w:val="-6"/>
          <w:sz w:val="30"/>
          <w:szCs w:val="30"/>
          <w:lang w:val="en-US" w:eastAsia="zh-CN"/>
        </w:rPr>
        <w:t>7</w:t>
      </w: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.2</w:t>
      </w:r>
      <w:r>
        <w:rPr>
          <w:rFonts w:ascii="楷体" w:hAnsi="楷体" w:eastAsia="楷体" w:cs="楷体"/>
          <w:spacing w:val="-54"/>
          <w:sz w:val="30"/>
          <w:szCs w:val="30"/>
        </w:rPr>
        <w:t xml:space="preserve"> </w:t>
      </w:r>
      <w:r>
        <w:rPr>
          <w:rFonts w:ascii="楷体" w:hAnsi="楷体" w:eastAsia="楷体" w:cs="楷体"/>
          <w:b/>
          <w:bCs/>
          <w:spacing w:val="-6"/>
          <w:sz w:val="30"/>
          <w:szCs w:val="30"/>
        </w:rPr>
        <w:t>项目进度安排</w:t>
      </w:r>
      <w:bookmarkEnd w:id="66"/>
    </w:p>
    <w:p>
      <w:pPr>
        <w:spacing w:before="201" w:line="340" w:lineRule="auto"/>
        <w:ind w:left="22" w:right="13" w:firstLine="569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1"/>
          <w:sz w:val="28"/>
          <w:szCs w:val="28"/>
        </w:rPr>
        <w:t>前期准备：202</w:t>
      </w:r>
      <w:r>
        <w:rPr>
          <w:rFonts w:hint="eastAsia" w:ascii="FangSong_GB2312" w:hAnsi="FangSong_GB2312" w:eastAsia="FangSong_GB2312" w:cs="FangSong_GB2312"/>
          <w:spacing w:val="1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53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1"/>
          <w:sz w:val="28"/>
          <w:szCs w:val="28"/>
        </w:rPr>
        <w:t>年</w:t>
      </w:r>
      <w:r>
        <w:rPr>
          <w:rFonts w:ascii="FangSong_GB2312" w:hAnsi="FangSong_GB2312" w:eastAsia="FangSong_GB2312" w:cs="FangSong_GB2312"/>
          <w:spacing w:val="-42"/>
          <w:sz w:val="28"/>
          <w:szCs w:val="28"/>
        </w:rPr>
        <w:t xml:space="preserve"> </w:t>
      </w:r>
      <w:r>
        <w:rPr>
          <w:rFonts w:hint="eastAsia" w:ascii="FangSong_GB2312" w:hAnsi="FangSong_GB2312" w:eastAsia="FangSong_GB2312" w:cs="FangSong_GB2312"/>
          <w:spacing w:val="1"/>
          <w:sz w:val="28"/>
          <w:szCs w:val="28"/>
          <w:lang w:val="en-US" w:eastAsia="zh-CN"/>
        </w:rPr>
        <w:t>6</w:t>
      </w:r>
      <w:r>
        <w:rPr>
          <w:rFonts w:ascii="FangSong_GB2312" w:hAnsi="FangSong_GB2312" w:eastAsia="FangSong_GB2312" w:cs="FangSong_GB2312"/>
          <w:spacing w:val="1"/>
          <w:sz w:val="28"/>
          <w:szCs w:val="28"/>
        </w:rPr>
        <w:t>月</w:t>
      </w:r>
      <w:r>
        <w:rPr>
          <w:rFonts w:hint="eastAsia" w:ascii="FangSong_GB2312" w:hAnsi="FangSong_GB2312" w:eastAsia="FangSong_GB2312" w:cs="FangSong_GB2312"/>
          <w:spacing w:val="1"/>
          <w:sz w:val="28"/>
          <w:szCs w:val="28"/>
          <w:lang w:val="en-US" w:eastAsia="zh-CN"/>
        </w:rPr>
        <w:t>-10月</w:t>
      </w:r>
      <w:r>
        <w:rPr>
          <w:rFonts w:ascii="FangSong_GB2312" w:hAnsi="FangSong_GB2312" w:eastAsia="FangSong_GB2312" w:cs="FangSong_GB2312"/>
          <w:spacing w:val="1"/>
          <w:sz w:val="28"/>
          <w:szCs w:val="28"/>
        </w:rPr>
        <w:t>完成实施方案和实施</w:t>
      </w:r>
      <w:r>
        <w:rPr>
          <w:rFonts w:ascii="FangSong_GB2312" w:hAnsi="FangSong_GB2312" w:eastAsia="FangSong_GB2312" w:cs="FangSong_GB2312"/>
          <w:sz w:val="28"/>
          <w:szCs w:val="28"/>
        </w:rPr>
        <w:t>计划。并进行工程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建设前期准备工作；</w:t>
      </w:r>
    </w:p>
    <w:p>
      <w:pPr>
        <w:spacing w:before="49" w:line="340" w:lineRule="auto"/>
        <w:ind w:left="22" w:right="13" w:firstLine="564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组织准备：组织好施工领导监督小组，将工程责任明确到人，将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建设目标分解到人；</w:t>
      </w:r>
    </w:p>
    <w:p>
      <w:pPr>
        <w:spacing w:before="48" w:line="340" w:lineRule="auto"/>
        <w:ind w:left="31" w:right="13" w:firstLine="567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宣传准备：深入宣传项目建设的重大意义和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必要性，充分调动农</w:t>
      </w:r>
      <w:r>
        <w:rPr>
          <w:rFonts w:ascii="FangSong_GB2312" w:hAnsi="FangSong_GB2312" w:eastAsia="FangSong_GB2312" w:cs="FangSong_GB2312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牧民、个体企业的参与和积极性；</w:t>
      </w:r>
    </w:p>
    <w:p>
      <w:pPr>
        <w:spacing w:before="48" w:line="340" w:lineRule="auto"/>
        <w:ind w:left="31" w:right="13" w:firstLine="567"/>
        <w:rPr>
          <w:rFonts w:ascii="FangSong_GB2312" w:hAnsi="FangSong_GB2312" w:eastAsia="FangSong_GB2312" w:cs="FangSong_GB2312"/>
          <w:spacing w:val="-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202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年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月进行整地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eastAsia="zh-CN"/>
        </w:rPr>
        <w:t>、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起垄；将原有低洼井场、农田及通井道路等进行保护，确保项目实施时将上述地区淹没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；</w:t>
      </w:r>
    </w:p>
    <w:p>
      <w:pPr>
        <w:spacing w:before="48" w:line="340" w:lineRule="auto"/>
        <w:ind w:left="31" w:right="13" w:firstLine="567"/>
        <w:rPr>
          <w:rFonts w:ascii="FangSong_GB2312" w:hAnsi="FangSong_GB2312" w:eastAsia="FangSong_GB2312" w:cs="FangSong_GB2312"/>
          <w:spacing w:val="-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202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5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 xml:space="preserve"> 年 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6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-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11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月进行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灌溉补水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；</w:t>
      </w:r>
    </w:p>
    <w:p>
      <w:pPr>
        <w:spacing w:before="47" w:line="214" w:lineRule="auto"/>
        <w:ind w:left="595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2025</w:t>
      </w:r>
      <w:r>
        <w:rPr>
          <w:rFonts w:ascii="FangSong_GB2312" w:hAnsi="FangSong_GB2312" w:eastAsia="FangSong_GB2312" w:cs="FangSong_GB2312"/>
          <w:spacing w:val="-42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年</w:t>
      </w:r>
      <w:r>
        <w:rPr>
          <w:rFonts w:ascii="FangSong_GB2312" w:hAnsi="FangSong_GB2312" w:eastAsia="FangSong_GB2312" w:cs="FangSong_GB2312"/>
          <w:spacing w:val="-49"/>
          <w:sz w:val="28"/>
          <w:szCs w:val="28"/>
        </w:rPr>
        <w:t xml:space="preserve"> 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10</w:t>
      </w:r>
      <w:r>
        <w:rPr>
          <w:rFonts w:ascii="FangSong_GB2312" w:hAnsi="FangSong_GB2312" w:eastAsia="FangSong_GB2312" w:cs="FangSong_GB2312"/>
          <w:spacing w:val="-47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月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-11月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进行项目验收、评价总结；</w:t>
      </w:r>
    </w:p>
    <w:p>
      <w:pPr>
        <w:spacing w:before="216" w:line="216" w:lineRule="auto"/>
        <w:ind w:left="583"/>
        <w:rPr>
          <w:rFonts w:ascii="FangSong_GB2312" w:hAnsi="FangSong_GB2312" w:eastAsia="FangSong_GB2312" w:cs="FangSong_GB2312"/>
          <w:spacing w:val="-1"/>
          <w:sz w:val="28"/>
          <w:szCs w:val="28"/>
        </w:rPr>
      </w:pPr>
    </w:p>
    <w:p>
      <w:pPr>
        <w:spacing w:before="216" w:line="216" w:lineRule="auto"/>
        <w:ind w:left="583"/>
        <w:rPr>
          <w:rFonts w:ascii="FangSong_GB2312" w:hAnsi="FangSong_GB2312" w:eastAsia="FangSong_GB2312" w:cs="FangSong_GB2312"/>
          <w:spacing w:val="-1"/>
          <w:sz w:val="28"/>
          <w:szCs w:val="28"/>
        </w:rPr>
      </w:pPr>
    </w:p>
    <w:p>
      <w:pPr>
        <w:spacing w:before="216" w:line="216" w:lineRule="auto"/>
        <w:ind w:left="583"/>
        <w:rPr>
          <w:rFonts w:ascii="FangSong_GB2312" w:hAnsi="FangSong_GB2312" w:eastAsia="FangSong_GB2312" w:cs="FangSong_GB2312"/>
          <w:spacing w:val="-1"/>
          <w:sz w:val="28"/>
          <w:szCs w:val="28"/>
        </w:rPr>
      </w:pPr>
    </w:p>
    <w:p>
      <w:pPr>
        <w:spacing w:before="216" w:line="216" w:lineRule="auto"/>
        <w:ind w:left="583"/>
        <w:rPr>
          <w:rFonts w:ascii="FangSong_GB2312" w:hAnsi="FangSong_GB2312" w:eastAsia="FangSong_GB2312" w:cs="FangSong_GB2312"/>
          <w:spacing w:val="-1"/>
          <w:sz w:val="28"/>
          <w:szCs w:val="28"/>
        </w:rPr>
      </w:pPr>
    </w:p>
    <w:p>
      <w:pPr>
        <w:spacing w:before="216" w:line="216" w:lineRule="auto"/>
        <w:ind w:left="583"/>
        <w:rPr>
          <w:rFonts w:ascii="FangSong_GB2312" w:hAnsi="FangSong_GB2312" w:eastAsia="FangSong_GB2312" w:cs="FangSong_GB2312"/>
          <w:spacing w:val="-1"/>
          <w:sz w:val="28"/>
          <w:szCs w:val="28"/>
        </w:rPr>
      </w:pPr>
    </w:p>
    <w:p>
      <w:pPr>
        <w:spacing w:before="101" w:line="226" w:lineRule="auto"/>
        <w:ind w:firstLine="2262" w:firstLineChars="700"/>
        <w:outlineLvl w:val="0"/>
        <w:rPr>
          <w:rFonts w:hint="default" w:ascii="黑体" w:hAnsi="黑体" w:eastAsia="黑体" w:cs="黑体"/>
          <w:sz w:val="31"/>
          <w:szCs w:val="31"/>
          <w:lang w:val="en-US"/>
        </w:rPr>
      </w:pPr>
      <w:bookmarkStart w:id="67" w:name="_Toc17170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第八章</w:t>
      </w:r>
      <w:r>
        <w:rPr>
          <w:rFonts w:ascii="黑体" w:hAnsi="黑体" w:eastAsia="黑体" w:cs="黑体"/>
          <w:spacing w:val="6"/>
          <w:sz w:val="31"/>
          <w:szCs w:val="31"/>
        </w:rPr>
        <w:t xml:space="preserve"> </w:t>
      </w:r>
      <w:r>
        <w:rPr>
          <w:rFonts w:hint="eastAsia" w:ascii="黑体" w:hAnsi="黑体" w:eastAsia="黑体" w:cs="黑体"/>
          <w:spacing w:val="6"/>
          <w:sz w:val="31"/>
          <w:szCs w:val="31"/>
          <w:lang w:val="en-US" w:eastAsia="zh-CN"/>
        </w:rPr>
        <w:t>投资概算和投资来源</w:t>
      </w:r>
    </w:p>
    <w:p>
      <w:pPr>
        <w:spacing w:before="194" w:line="227" w:lineRule="auto"/>
        <w:outlineLvl w:val="1"/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</w:pPr>
      <w:bookmarkStart w:id="68" w:name="bookmark71"/>
      <w:bookmarkEnd w:id="68"/>
      <w:bookmarkStart w:id="69" w:name="_Toc32388"/>
      <w:r>
        <w:rPr>
          <w:rFonts w:ascii="楷体" w:hAnsi="楷体" w:eastAsia="楷体" w:cs="楷体"/>
          <w:b/>
          <w:bCs/>
          <w:spacing w:val="-5"/>
          <w:sz w:val="30"/>
          <w:szCs w:val="30"/>
        </w:rPr>
        <w:t xml:space="preserve">8.1 </w:t>
      </w:r>
      <w:r>
        <w:rPr>
          <w:rFonts w:hint="eastAsia" w:ascii="楷体" w:hAnsi="楷体" w:eastAsia="楷体" w:cs="楷体"/>
          <w:b/>
          <w:bCs/>
          <w:spacing w:val="-5"/>
          <w:sz w:val="30"/>
          <w:szCs w:val="30"/>
          <w:lang w:val="en-US" w:eastAsia="zh-CN"/>
        </w:rPr>
        <w:t>投资概算依据</w:t>
      </w:r>
      <w:bookmarkEnd w:id="69"/>
    </w:p>
    <w:p>
      <w:pPr>
        <w:spacing w:before="206" w:line="214" w:lineRule="auto"/>
        <w:rPr>
          <w:rFonts w:ascii="FangSong_GB2312" w:hAnsi="FangSong_GB2312" w:eastAsia="FangSong_GB2312" w:cs="FangSong_GB2312"/>
          <w:spacing w:val="-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1、国家林业局及自治区有关概算编制的规定和要求</w:t>
      </w:r>
    </w:p>
    <w:p>
      <w:pPr>
        <w:spacing w:before="234" w:line="214" w:lineRule="auto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2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、《新疆林业企业生产单位费用标准》 新疆林业厅</w:t>
      </w:r>
    </w:p>
    <w:p>
      <w:pPr>
        <w:spacing w:before="234" w:line="214" w:lineRule="auto"/>
        <w:outlineLvl w:val="2"/>
        <w:rPr>
          <w:rFonts w:ascii="FangSong_GB2312" w:hAnsi="FangSong_GB2312" w:eastAsia="FangSong_GB2312" w:cs="FangSong_GB2312"/>
          <w:spacing w:val="-2"/>
          <w:sz w:val="28"/>
          <w:szCs w:val="28"/>
        </w:rPr>
      </w:pPr>
      <w:bookmarkStart w:id="70" w:name="_Toc28306"/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3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、</w:t>
      </w: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项目建设</w:t>
      </w:r>
      <w:r>
        <w:rPr>
          <w:rFonts w:ascii="FangSong_GB2312" w:hAnsi="FangSong_GB2312" w:eastAsia="FangSong_GB2312" w:cs="FangSong_GB2312"/>
          <w:spacing w:val="-2"/>
          <w:sz w:val="28"/>
          <w:szCs w:val="28"/>
        </w:rPr>
        <w:t>及人工费按市场询价计算</w:t>
      </w:r>
      <w:bookmarkEnd w:id="70"/>
    </w:p>
    <w:p>
      <w:pPr>
        <w:pStyle w:val="2"/>
        <w:rPr>
          <w:rFonts w:hint="default" w:eastAsia="FangSong_GB2312"/>
          <w:lang w:val="en-US" w:eastAsia="zh-CN"/>
        </w:rPr>
      </w:pPr>
      <w:r>
        <w:rPr>
          <w:rFonts w:hint="eastAsia" w:ascii="FangSong_GB2312" w:hAnsi="FangSong_GB2312" w:eastAsia="FangSong_GB2312" w:cs="FangSong_GB2312"/>
          <w:spacing w:val="-2"/>
          <w:sz w:val="28"/>
          <w:szCs w:val="28"/>
          <w:lang w:val="en-US" w:eastAsia="zh-CN"/>
        </w:rPr>
        <w:t>具体项目投资见投资概算表；</w:t>
      </w: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</w:p>
    <w:p>
      <w:pPr>
        <w:spacing w:before="192" w:line="224" w:lineRule="auto"/>
        <w:ind w:left="720"/>
        <w:jc w:val="center"/>
        <w:outlineLvl w:val="0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第九章 效益分析及评价</w:t>
      </w:r>
      <w:bookmarkEnd w:id="67"/>
    </w:p>
    <w:p>
      <w:pPr>
        <w:spacing w:before="192" w:line="224" w:lineRule="auto"/>
        <w:outlineLvl w:val="1"/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71" w:name="_Toc7168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9.1生态效益</w:t>
      </w:r>
      <w:bookmarkEnd w:id="71"/>
    </w:p>
    <w:p>
      <w:pPr>
        <w:pStyle w:val="9"/>
        <w:spacing w:before="210" w:line="360" w:lineRule="auto"/>
        <w:ind w:left="175" w:firstLine="536" w:firstLineChars="200"/>
        <w:rPr>
          <w:rFonts w:hint="default"/>
          <w:spacing w:val="8"/>
          <w:sz w:val="20"/>
          <w:szCs w:val="20"/>
          <w:lang w:val="en-US" w:eastAsia="zh-CN"/>
        </w:rPr>
      </w:pP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通过本项目建设，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灌溉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林地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 xml:space="preserve">10000 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亩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左右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。将保证森林资源不断增加，实现森林资源的可持续发展与合理利用。本项目的实施将增加项目区森林植被覆盖率，能在一定程度上遏止沙漠化，防灾减灾，并具有防治或减轻土壤次生盐渍化的功能，同时可以调节气候、改善生态环境。</w:t>
      </w:r>
    </w:p>
    <w:p>
      <w:pPr>
        <w:spacing w:before="192" w:line="224" w:lineRule="auto"/>
        <w:outlineLvl w:val="1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72" w:name="_Toc24087"/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9.2 社会效益</w:t>
      </w:r>
      <w:bookmarkEnd w:id="72"/>
    </w:p>
    <w:p>
      <w:pPr>
        <w:pStyle w:val="9"/>
        <w:spacing w:before="210" w:line="360" w:lineRule="auto"/>
        <w:ind w:left="175" w:firstLine="536" w:firstLineChars="200"/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</w:pP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项目实施后，将调整产业结构，推动经济发展，提高人口承载力，增加社会就业，减轻社会负担，提高人们物质生活水平，改善投资环境，增加融资渠道，促进对外开放起到推动作用。成为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克拉玛依区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经济增长和贫困农牧民就业，农牧民增收的有效渠道。</w:t>
      </w:r>
    </w:p>
    <w:p>
      <w:pPr>
        <w:pStyle w:val="9"/>
        <w:spacing w:before="210" w:line="360" w:lineRule="auto"/>
        <w:ind w:left="175" w:firstLine="536" w:firstLineChars="200"/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</w:pP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本项目区的实施，将对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克拉玛依区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境内防护林建设和经济林建设起到积极的示范作用，有利于积累经验，推广示范。</w:t>
      </w:r>
    </w:p>
    <w:p>
      <w:pPr>
        <w:spacing w:before="192" w:line="224" w:lineRule="auto"/>
        <w:outlineLvl w:val="1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73" w:name="_Toc20640"/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9.3 经济效益</w:t>
      </w:r>
      <w:bookmarkEnd w:id="73"/>
    </w:p>
    <w:p>
      <w:pPr>
        <w:spacing w:before="192" w:line="224" w:lineRule="auto"/>
        <w:outlineLvl w:val="2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74" w:name="_Toc12367"/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9.3.1 间接经济效益</w:t>
      </w:r>
      <w:bookmarkEnd w:id="74"/>
    </w:p>
    <w:p>
      <w:pPr>
        <w:pStyle w:val="9"/>
        <w:spacing w:before="210" w:line="360" w:lineRule="auto"/>
        <w:ind w:left="175" w:firstLine="804" w:firstLineChars="300"/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</w:pP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本项目建设对改善</w:t>
      </w:r>
      <w:r>
        <w:rPr>
          <w:rFonts w:hint="eastAsia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克拉玛依区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生态环境具有重要意义。</w:t>
      </w:r>
      <w:r>
        <w:rPr>
          <w:rFonts w:ascii="FangSong_GB2312" w:hAnsi="FangSong_GB2312" w:eastAsia="FangSong_GB2312" w:cs="FangSong_GB2312"/>
          <w:spacing w:val="2"/>
          <w:sz w:val="28"/>
          <w:szCs w:val="28"/>
        </w:rPr>
        <w:t>防护林体系建成后，可以使周边区域风速降低</w:t>
      </w:r>
      <w:r>
        <w:rPr>
          <w:rFonts w:ascii="FangSong_GB2312" w:hAnsi="FangSong_GB2312" w:eastAsia="FangSong_GB2312" w:cs="FangSong_GB2312"/>
          <w:spacing w:val="-28"/>
          <w:sz w:val="28"/>
          <w:szCs w:val="28"/>
        </w:rPr>
        <w:t xml:space="preserve"> </w:t>
      </w:r>
      <w:r>
        <w:rPr>
          <w:rFonts w:hint="eastAsia" w:ascii="FangSong_GB2312" w:hAnsi="FangSong_GB2312" w:eastAsia="FangSong_GB2312" w:cs="FangSong_GB2312"/>
          <w:spacing w:val="-28"/>
          <w:sz w:val="28"/>
          <w:szCs w:val="28"/>
          <w:lang w:val="en-US" w:eastAsia="zh-CN"/>
        </w:rPr>
        <w:t>1</w:t>
      </w:r>
      <w:r>
        <w:rPr>
          <w:rFonts w:ascii="FangSong_GB2312" w:hAnsi="FangSong_GB2312" w:eastAsia="FangSong_GB2312" w:cs="FangSong_GB2312"/>
          <w:spacing w:val="2"/>
          <w:sz w:val="28"/>
          <w:szCs w:val="28"/>
        </w:rPr>
        <w:t>0-</w:t>
      </w:r>
      <w:r>
        <w:rPr>
          <w:rFonts w:hint="eastAsia" w:ascii="FangSong_GB2312" w:hAnsi="FangSong_GB2312" w:eastAsia="FangSong_GB2312" w:cs="FangSong_GB2312"/>
          <w:spacing w:val="2"/>
          <w:sz w:val="28"/>
          <w:szCs w:val="28"/>
          <w:lang w:val="en-US" w:eastAsia="zh-CN"/>
        </w:rPr>
        <w:t>15</w:t>
      </w:r>
      <w:r>
        <w:rPr>
          <w:rFonts w:ascii="FangSong_GB2312" w:hAnsi="FangSong_GB2312" w:eastAsia="FangSong_GB2312" w:cs="FangSong_GB2312"/>
          <w:spacing w:val="2"/>
          <w:sz w:val="28"/>
          <w:szCs w:val="28"/>
        </w:rPr>
        <w:t>%，温度可以增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加</w:t>
      </w:r>
      <w:r>
        <w:rPr>
          <w:rFonts w:ascii="FangSong_GB2312" w:hAnsi="FangSong_GB2312" w:eastAsia="FangSong_GB2312" w:cs="FangSong_GB2312"/>
          <w:spacing w:val="-48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2-5%，蒸发量可以减少</w:t>
      </w:r>
      <w:r>
        <w:rPr>
          <w:rFonts w:ascii="FangSong_GB2312" w:hAnsi="FangSong_GB2312" w:eastAsia="FangSong_GB2312" w:cs="FangSong_GB2312"/>
          <w:spacing w:val="-46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5-20%；可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以使造林区的土壤有机质含量增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加、肥力提高，植被群落结构会发生明显变化，盖度大为提高。在冬季，林带强大的固雪作用，造林区内积雪增多，能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行之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有效补充地下水资源，改变土壤水分状况和土壤结构，保护土壤免受大风吹蚀，从而能有效降低干旱、干热风、大风、雪灾等恶劣自然灾害，减弱自然灾</w:t>
      </w:r>
      <w:r>
        <w:rPr>
          <w:rFonts w:ascii="FangSong_GB2312" w:hAnsi="FangSong_GB2312" w:eastAsia="FangSong_GB2312" w:cs="FangSong_GB2312"/>
          <w:spacing w:val="16"/>
          <w:sz w:val="28"/>
          <w:szCs w:val="28"/>
        </w:rPr>
        <w:t xml:space="preserve"> 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害对交通运输和农牧业生产的危害程度，增强农林牧生产抵御自然灾害的能力，促进农牧业生产持续稳定发展。</w:t>
      </w:r>
      <w:r>
        <w:rPr>
          <w:rFonts w:hint="default" w:ascii="FangSong_GB2312" w:hAnsi="FangSong_GB2312" w:eastAsia="FangSong_GB2312" w:cs="FangSong_GB2312"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另外，生态环境的改善，提高了人们的生活和工作环境，将有利于人民的身心健康，提高工作效率和生活治县的国民经济和社会快速发展。</w:t>
      </w:r>
    </w:p>
    <w:p>
      <w:pPr>
        <w:spacing w:before="192" w:line="224" w:lineRule="auto"/>
        <w:outlineLvl w:val="1"/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</w:pPr>
      <w:bookmarkStart w:id="75" w:name="_Toc5183"/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9</w:t>
      </w:r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.</w:t>
      </w:r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3</w:t>
      </w:r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.</w:t>
      </w:r>
      <w:r>
        <w:rPr>
          <w:rFonts w:hint="eastAsia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2</w:t>
      </w:r>
      <w:r>
        <w:rPr>
          <w:rFonts w:hint="default" w:ascii="楷体" w:hAnsi="楷体" w:eastAsia="楷体" w:cs="楷体"/>
          <w:b/>
          <w:bCs/>
          <w:spacing w:val="-3"/>
          <w:sz w:val="30"/>
          <w:szCs w:val="30"/>
          <w:lang w:val="en-US" w:eastAsia="zh-CN"/>
        </w:rPr>
        <w:t>社会效益</w:t>
      </w:r>
      <w:bookmarkEnd w:id="75"/>
    </w:p>
    <w:p>
      <w:pPr>
        <w:spacing w:before="47" w:line="214" w:lineRule="auto"/>
        <w:ind w:left="573"/>
        <w:rPr>
          <w:rFonts w:ascii="FangSong_GB2312" w:hAnsi="FangSong_GB2312" w:eastAsia="FangSong_GB2312" w:cs="FangSong_GB2312"/>
          <w:sz w:val="28"/>
          <w:szCs w:val="28"/>
        </w:rPr>
      </w:pPr>
    </w:p>
    <w:p>
      <w:pPr>
        <w:spacing w:before="47" w:line="214" w:lineRule="auto"/>
        <w:ind w:left="573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z w:val="28"/>
          <w:szCs w:val="28"/>
        </w:rPr>
        <w:t>（</w:t>
      </w:r>
      <w:r>
        <w:rPr>
          <w:rFonts w:hint="eastAsia" w:ascii="FangSong_GB2312" w:hAnsi="FangSong_GB2312" w:eastAsia="FangSong_GB2312" w:cs="FangSong_GB2312"/>
          <w:sz w:val="28"/>
          <w:szCs w:val="28"/>
          <w:lang w:val="en-US" w:eastAsia="zh-CN"/>
        </w:rPr>
        <w:t>1</w:t>
      </w:r>
      <w:r>
        <w:rPr>
          <w:rFonts w:ascii="FangSong_GB2312" w:hAnsi="FangSong_GB2312" w:eastAsia="FangSong_GB2312" w:cs="FangSong_GB2312"/>
          <w:sz w:val="28"/>
          <w:szCs w:val="28"/>
        </w:rPr>
        <w:t>）促进林业科技水平的提高</w:t>
      </w:r>
    </w:p>
    <w:p>
      <w:pPr>
        <w:spacing w:before="236" w:line="361" w:lineRule="auto"/>
        <w:ind w:left="21" w:firstLine="580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随着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生态补水项目</w:t>
      </w:r>
      <w:r>
        <w:rPr>
          <w:rFonts w:ascii="FangSong_GB2312" w:hAnsi="FangSong_GB2312" w:eastAsia="FangSong_GB2312" w:cs="FangSong_GB2312"/>
          <w:spacing w:val="-5"/>
          <w:sz w:val="28"/>
          <w:szCs w:val="28"/>
        </w:rPr>
        <w:t>引入和使用，将提高</w:t>
      </w:r>
      <w:r>
        <w:rPr>
          <w:rFonts w:hint="eastAsia" w:ascii="FangSong_GB2312" w:hAnsi="FangSong_GB2312" w:eastAsia="FangSong_GB2312" w:cs="FangSong_GB2312"/>
          <w:spacing w:val="-5"/>
          <w:sz w:val="28"/>
          <w:szCs w:val="28"/>
          <w:lang w:val="en-US" w:eastAsia="zh-CN"/>
        </w:rPr>
        <w:t>全区</w:t>
      </w:r>
      <w:r>
        <w:rPr>
          <w:rFonts w:ascii="FangSong_GB2312" w:hAnsi="FangSong_GB2312" w:eastAsia="FangSong_GB2312" w:cs="FangSong_GB2312"/>
          <w:spacing w:val="-10"/>
          <w:sz w:val="28"/>
          <w:szCs w:val="28"/>
        </w:rPr>
        <w:t>人民的整体素质，同时，改变原有的粗放型自给自足的经济生产模式，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使人们生产方式向社会化、产业化、规模化转变并使人们自觉参与市</w:t>
      </w:r>
      <w:r>
        <w:rPr>
          <w:rFonts w:ascii="FangSong_GB2312" w:hAnsi="FangSong_GB2312" w:eastAsia="FangSong_GB2312" w:cs="FangSong_GB2312"/>
          <w:sz w:val="28"/>
          <w:szCs w:val="28"/>
        </w:rPr>
        <w:t>场，进一步与市场经济相适应，从而进一步提高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全县的整体水平。</w:t>
      </w:r>
    </w:p>
    <w:p>
      <w:pPr>
        <w:spacing w:before="48" w:line="214" w:lineRule="auto"/>
        <w:ind w:left="573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z w:val="28"/>
          <w:szCs w:val="28"/>
        </w:rPr>
        <w:t>（</w:t>
      </w:r>
      <w:r>
        <w:rPr>
          <w:rFonts w:hint="eastAsia" w:ascii="FangSong_GB2312" w:hAnsi="FangSong_GB2312" w:eastAsia="FangSong_GB2312" w:cs="FangSong_GB2312"/>
          <w:sz w:val="28"/>
          <w:szCs w:val="28"/>
          <w:lang w:val="en-US" w:eastAsia="zh-CN"/>
        </w:rPr>
        <w:t>2</w:t>
      </w:r>
      <w:r>
        <w:rPr>
          <w:rFonts w:ascii="FangSong_GB2312" w:hAnsi="FangSong_GB2312" w:eastAsia="FangSong_GB2312" w:cs="FangSong_GB2312"/>
          <w:sz w:val="28"/>
          <w:szCs w:val="28"/>
        </w:rPr>
        <w:t>）促进民族团结，提高人民生活水平</w:t>
      </w:r>
    </w:p>
    <w:p>
      <w:pPr>
        <w:spacing w:before="235" w:line="362" w:lineRule="auto"/>
        <w:ind w:left="21" w:right="45" w:firstLine="561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pacing w:val="-3"/>
          <w:sz w:val="28"/>
          <w:szCs w:val="28"/>
        </w:rPr>
        <w:t>各民族在共同的生产劳动中，相互促进，相互学习，相互提高，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增加了民族之间的感情，促进民族团结，维护社会稳定。同时，项目建成后，经济效益日益显现，将切实提高人民生活水平。最终实现社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会、经济稳定持续发展。</w:t>
      </w:r>
    </w:p>
    <w:p>
      <w:pPr>
        <w:spacing w:before="45" w:line="214" w:lineRule="auto"/>
        <w:ind w:left="573"/>
        <w:rPr>
          <w:rFonts w:ascii="FangSong_GB2312" w:hAnsi="FangSong_GB2312" w:eastAsia="FangSong_GB2312" w:cs="FangSong_GB2312"/>
          <w:sz w:val="28"/>
          <w:szCs w:val="28"/>
        </w:rPr>
      </w:pPr>
      <w:r>
        <w:rPr>
          <w:rFonts w:ascii="FangSong_GB2312" w:hAnsi="FangSong_GB2312" w:eastAsia="FangSong_GB2312" w:cs="FangSong_GB2312"/>
          <w:sz w:val="28"/>
          <w:szCs w:val="28"/>
        </w:rPr>
        <w:t>（</w:t>
      </w:r>
      <w:r>
        <w:rPr>
          <w:rFonts w:hint="eastAsia" w:ascii="FangSong_GB2312" w:hAnsi="FangSong_GB2312" w:eastAsia="FangSong_GB2312" w:cs="FangSong_GB2312"/>
          <w:sz w:val="28"/>
          <w:szCs w:val="28"/>
          <w:lang w:val="en-US" w:eastAsia="zh-CN"/>
        </w:rPr>
        <w:t>3</w:t>
      </w:r>
      <w:r>
        <w:rPr>
          <w:rFonts w:ascii="FangSong_GB2312" w:hAnsi="FangSong_GB2312" w:eastAsia="FangSong_GB2312" w:cs="FangSong_GB2312"/>
          <w:sz w:val="28"/>
          <w:szCs w:val="28"/>
        </w:rPr>
        <w:t>）改善人民生存条件，提高人民生存质量</w:t>
      </w:r>
    </w:p>
    <w:p>
      <w:pPr>
        <w:spacing w:before="235" w:line="362" w:lineRule="auto"/>
        <w:ind w:left="21" w:right="45" w:firstLine="561"/>
        <w:rPr>
          <w:rFonts w:ascii="FangSong_GB2312" w:hAnsi="FangSong_GB2312" w:eastAsia="FangSong_GB2312" w:cs="FangSong_GB2312"/>
          <w:spacing w:val="-4"/>
          <w:sz w:val="28"/>
          <w:szCs w:val="28"/>
        </w:rPr>
      </w:pP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本项目的实施，将极大的完善现有的防护林体系，改善全县的生态系统，为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特色林果业和名优特经济林的发展，奠定良好的环境基础，对农民增收和县财政的改善具有重要的意义。经济的增长、城乡居民生活水平的提高、居住环境的改善，将会使人民安居乐业；社会稳定、民族团结，最终使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eastAsia="zh-CN"/>
        </w:rPr>
        <w:t>克拉玛依区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走上可持续发展道路。</w:t>
      </w:r>
    </w:p>
    <w:p>
      <w:pPr>
        <w:spacing w:before="24" w:line="223" w:lineRule="auto"/>
        <w:outlineLvl w:val="1"/>
        <w:rPr>
          <w:rFonts w:ascii="楷体" w:hAnsi="楷体" w:eastAsia="楷体" w:cs="楷体"/>
          <w:sz w:val="30"/>
          <w:szCs w:val="30"/>
        </w:rPr>
      </w:pPr>
      <w:bookmarkStart w:id="76" w:name="bookmark75"/>
      <w:bookmarkEnd w:id="76"/>
      <w:bookmarkStart w:id="77" w:name="_Toc11518"/>
      <w:r>
        <w:rPr>
          <w:rFonts w:hint="eastAsia" w:ascii="楷体" w:hAnsi="楷体" w:eastAsia="楷体" w:cs="楷体"/>
          <w:b/>
          <w:bCs/>
          <w:spacing w:val="-7"/>
          <w:sz w:val="30"/>
          <w:szCs w:val="30"/>
          <w:lang w:val="en-US" w:eastAsia="zh-CN"/>
        </w:rPr>
        <w:t>9</w:t>
      </w:r>
      <w:r>
        <w:rPr>
          <w:rFonts w:ascii="楷体" w:hAnsi="楷体" w:eastAsia="楷体" w:cs="楷体"/>
          <w:b/>
          <w:bCs/>
          <w:spacing w:val="-7"/>
          <w:sz w:val="30"/>
          <w:szCs w:val="30"/>
        </w:rPr>
        <w:t>.3</w:t>
      </w:r>
      <w:r>
        <w:rPr>
          <w:rFonts w:hint="eastAsia" w:ascii="楷体" w:hAnsi="楷体" w:eastAsia="楷体" w:cs="楷体"/>
          <w:b/>
          <w:bCs/>
          <w:spacing w:val="-7"/>
          <w:sz w:val="30"/>
          <w:szCs w:val="30"/>
          <w:lang w:val="en-US" w:eastAsia="zh-CN"/>
        </w:rPr>
        <w:t>.3</w:t>
      </w:r>
      <w:r>
        <w:rPr>
          <w:rFonts w:ascii="楷体" w:hAnsi="楷体" w:eastAsia="楷体" w:cs="楷体"/>
          <w:b/>
          <w:bCs/>
          <w:spacing w:val="-7"/>
          <w:sz w:val="30"/>
          <w:szCs w:val="30"/>
        </w:rPr>
        <w:t>综合评价</w:t>
      </w:r>
      <w:bookmarkEnd w:id="77"/>
    </w:p>
    <w:p>
      <w:pPr>
        <w:pStyle w:val="2"/>
        <w:rPr>
          <w:rFonts w:hint="default" w:ascii="FangSong_GB2312" w:hAnsi="FangSong_GB2312" w:eastAsia="FangSong_GB2312" w:cs="FangSong_GB2312"/>
          <w:spacing w:val="-5"/>
          <w:sz w:val="28"/>
          <w:szCs w:val="28"/>
          <w:lang w:val="en-US" w:eastAsia="zh-CN"/>
        </w:rPr>
      </w:pP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根据项目建设任务和项目区实际情况，本次</w:t>
      </w:r>
      <w:r>
        <w:rPr>
          <w:rFonts w:hint="eastAsia" w:ascii="FangSong_GB2312" w:hAnsi="FangSong_GB2312" w:eastAsia="FangSong_GB2312" w:cs="FangSong_GB2312"/>
          <w:spacing w:val="-4"/>
          <w:sz w:val="28"/>
          <w:szCs w:val="28"/>
          <w:lang w:val="en-US" w:eastAsia="zh-CN"/>
        </w:rPr>
        <w:t>生态补水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任务</w:t>
      </w:r>
      <w:r>
        <w:rPr>
          <w:rFonts w:ascii="FangSong_GB2312" w:hAnsi="FangSong_GB2312" w:eastAsia="FangSong_GB2312" w:cs="FangSong_GB2312"/>
          <w:sz w:val="28"/>
          <w:szCs w:val="28"/>
        </w:rPr>
        <w:t>面积</w:t>
      </w:r>
      <w:r>
        <w:rPr>
          <w:rFonts w:hint="eastAsia" w:ascii="仿宋" w:hAnsi="仿宋" w:eastAsia="仿宋" w:cs="仿宋"/>
          <w:spacing w:val="-46"/>
          <w:sz w:val="28"/>
          <w:szCs w:val="28"/>
          <w:lang w:val="en-US" w:eastAsia="zh-CN"/>
        </w:rPr>
        <w:t>1</w:t>
      </w:r>
      <w:r>
        <w:rPr>
          <w:rFonts w:hint="eastAsia" w:ascii="仿宋" w:hAnsi="仿宋" w:eastAsia="仿宋" w:cs="仿宋"/>
          <w:spacing w:val="-28"/>
          <w:kern w:val="2"/>
          <w:sz w:val="28"/>
          <w:szCs w:val="28"/>
          <w:lang w:val="en-US" w:eastAsia="zh-CN" w:bidi="ar-SA"/>
        </w:rPr>
        <w:t>0000</w:t>
      </w:r>
      <w:r>
        <w:rPr>
          <w:rFonts w:ascii="FangSong_GB2312" w:hAnsi="FangSong_GB2312" w:eastAsia="FangSong_GB2312" w:cs="FangSong_GB2312"/>
          <w:sz w:val="28"/>
          <w:szCs w:val="28"/>
        </w:rPr>
        <w:t>亩，分区域、分类型、分年度开展</w:t>
      </w:r>
      <w:r>
        <w:rPr>
          <w:rFonts w:hint="eastAsia" w:ascii="FangSong_GB2312" w:hAnsi="FangSong_GB2312" w:eastAsia="FangSong_GB2312" w:cs="FangSong_GB2312"/>
          <w:sz w:val="28"/>
          <w:szCs w:val="28"/>
          <w:lang w:val="en-US" w:eastAsia="zh-CN"/>
        </w:rPr>
        <w:t>生态补水</w:t>
      </w:r>
      <w:r>
        <w:rPr>
          <w:rFonts w:ascii="FangSong_GB2312" w:hAnsi="FangSong_GB2312" w:eastAsia="FangSong_GB2312" w:cs="FangSong_GB2312"/>
          <w:sz w:val="28"/>
          <w:szCs w:val="28"/>
        </w:rPr>
        <w:t>改造</w:t>
      </w:r>
      <w:r>
        <w:rPr>
          <w:rFonts w:ascii="FangSong_GB2312" w:hAnsi="FangSong_GB2312" w:eastAsia="FangSong_GB2312" w:cs="FangSong_GB2312"/>
          <w:spacing w:val="-1"/>
          <w:sz w:val="28"/>
          <w:szCs w:val="28"/>
        </w:rPr>
        <w:t>，最大限</w:t>
      </w:r>
      <w:r>
        <w:rPr>
          <w:rFonts w:ascii="FangSong_GB2312" w:hAnsi="FangSong_GB2312" w:eastAsia="FangSong_GB2312" w:cs="FangSong_GB2312"/>
          <w:spacing w:val="-4"/>
          <w:sz w:val="28"/>
          <w:szCs w:val="28"/>
        </w:rPr>
        <w:t>度地维持改造区域的防护功能。</w:t>
      </w: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 w:ascii="宋体" w:hAnsi="宋体" w:eastAsia="宋体" w:cs="宋体"/>
          <w:b/>
          <w:bCs/>
          <w:spacing w:val="8"/>
          <w:sz w:val="31"/>
          <w:szCs w:val="31"/>
          <w:lang w:val="en-US" w:eastAsia="zh-CN"/>
        </w:rPr>
      </w:pPr>
    </w:p>
    <w:sectPr>
      <w:footerReference r:id="rId3" w:type="default"/>
      <w:pgSz w:w="11906" w:h="16838"/>
      <w:pgMar w:top="1440" w:right="1406" w:bottom="1440" w:left="134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HYb2gj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FangSong_GB2312">
    <w:altName w:val="仿宋_GB2312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left="4126"/>
      <w:rPr>
        <w:rFonts w:ascii="Times New Roman" w:hAnsi="Times New Roman" w:eastAsia="Times New Roman" w:cs="Times New Roman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TTZkyAgAAYw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5lNNm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810566"/>
    <w:multiLevelType w:val="singleLevel"/>
    <w:tmpl w:val="98810566"/>
    <w:lvl w:ilvl="0" w:tentative="0">
      <w:start w:val="6"/>
      <w:numFmt w:val="chineseCounting"/>
      <w:suff w:val="space"/>
      <w:lvlText w:val="第%1章"/>
      <w:lvlJc w:val="left"/>
      <w:rPr>
        <w:rFonts w:hint="eastAsia"/>
      </w:rPr>
    </w:lvl>
  </w:abstractNum>
  <w:abstractNum w:abstractNumId="1">
    <w:nsid w:val="992E834D"/>
    <w:multiLevelType w:val="singleLevel"/>
    <w:tmpl w:val="992E834D"/>
    <w:lvl w:ilvl="0" w:tentative="0">
      <w:start w:val="4"/>
      <w:numFmt w:val="chineseCounting"/>
      <w:suff w:val="space"/>
      <w:lvlText w:val="第%1章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hjYjY5NjA4YTIzMGYzNjAyOGFiNmZiZTdjYWRmMTIifQ=="/>
  </w:docVars>
  <w:rsids>
    <w:rsidRoot w:val="05EA4026"/>
    <w:rsid w:val="02920BBA"/>
    <w:rsid w:val="05EA4026"/>
    <w:rsid w:val="10B37339"/>
    <w:rsid w:val="1F017348"/>
    <w:rsid w:val="24741086"/>
    <w:rsid w:val="5CD95285"/>
    <w:rsid w:val="677E0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HYb2gj" w:hAnsi="Times New Roman" w:eastAsia="HYb2gj" w:cs="HYb2gj"/>
      <w:color w:val="000000"/>
      <w:sz w:val="24"/>
      <w:szCs w:val="24"/>
      <w:lang w:val="en-US" w:eastAsia="zh-CN" w:bidi="ar-SA"/>
    </w:rPr>
  </w:style>
  <w:style w:type="paragraph" w:styleId="3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Table Text"/>
    <w:basedOn w:val="1"/>
    <w:semiHidden/>
    <w:qFormat/>
    <w:uiPriority w:val="0"/>
    <w:rPr>
      <w:rFonts w:ascii="宋体" w:hAnsi="宋体" w:eastAsia="宋体" w:cs="宋体"/>
      <w:sz w:val="19"/>
      <w:szCs w:val="19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4574</Words>
  <Characters>5056</Characters>
  <Lines>0</Lines>
  <Paragraphs>0</Paragraphs>
  <TotalTime>21</TotalTime>
  <ScaleCrop>false</ScaleCrop>
  <LinksUpToDate>false</LinksUpToDate>
  <CharactersWithSpaces>5145</CharactersWithSpaces>
  <Application>WPS Office_11.8.2.10321_F1E327BC-269C-435d-A152-05C5408002CA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2025-05-02T02:45:00Z</dcterms:created>
  <dc:creator>l</dc:creator>
  <cp:lastModifiedBy>朱明全</cp:lastModifiedBy>
  <dcterms:modified xsi:type="dcterms:W3CDTF">2025-05-19T13:02:54Z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2052-11.8.2.10321</vt:lpwstr>
  </property>
  <property fmtid="{D5CDD505-2E9C-101B-9397-08002B2CF9AE}" pid="3" name="ICV">
    <vt:lpwstr>D16260571DD54598B133624616F3FC53_11</vt:lpwstr>
  </property>
  <property fmtid="{D5CDD505-2E9C-101B-9397-08002B2CF9AE}" pid="4" name="KSOTemplateDocerSaveRecord">
    <vt:lpwstr>eyJoZGlkIjoiZWQ0OGQzODAyNjEzODM5YTU4NDYyOGQ4Mzk3NmIxN2MiLCJ1c2VySWQiOiIyNDI1ODIyNjMifQ==</vt:lpwstr>
  </property>
</Properties>
</file>