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C6CBE">
      <w:pPr>
        <w:pStyle w:val="16"/>
        <w:ind w:left="2648" w:leftChars="169" w:hanging="2209" w:hangingChars="500"/>
        <w:jc w:val="center"/>
        <w:rPr>
          <w:rFonts w:hint="eastAsia"/>
          <w:sz w:val="44"/>
          <w:szCs w:val="44"/>
          <w:lang w:eastAsia="zh-CN"/>
        </w:rPr>
      </w:pPr>
      <w:bookmarkStart w:id="0" w:name="_Toc14435"/>
      <w:r>
        <w:rPr>
          <w:rFonts w:hint="eastAsia"/>
          <w:sz w:val="44"/>
          <w:szCs w:val="44"/>
          <w:lang w:eastAsia="zh-CN"/>
        </w:rPr>
        <w:t>克拉玛依市</w:t>
      </w:r>
      <w:r>
        <w:rPr>
          <w:rFonts w:hint="eastAsia"/>
          <w:sz w:val="44"/>
          <w:szCs w:val="44"/>
          <w:lang w:val="en-US" w:eastAsia="zh-CN"/>
        </w:rPr>
        <w:t>LED指挥大屏</w:t>
      </w:r>
      <w:r>
        <w:rPr>
          <w:rFonts w:hint="eastAsia"/>
          <w:sz w:val="44"/>
          <w:szCs w:val="44"/>
          <w:lang w:eastAsia="zh-CN"/>
        </w:rPr>
        <w:t>购置</w:t>
      </w:r>
    </w:p>
    <w:p w14:paraId="7357EBA9">
      <w:pPr>
        <w:pStyle w:val="16"/>
        <w:ind w:left="2648" w:leftChars="169" w:hanging="2209" w:hangingChars="500"/>
        <w:jc w:val="center"/>
        <w:rPr>
          <w:rFonts w:hint="eastAsia"/>
        </w:rPr>
      </w:pPr>
      <w:r>
        <w:rPr>
          <w:rFonts w:hint="eastAsia"/>
          <w:sz w:val="44"/>
          <w:szCs w:val="44"/>
          <w:lang w:eastAsia="zh-CN"/>
        </w:rPr>
        <w:t>及相关服务项目采购需求</w:t>
      </w:r>
    </w:p>
    <w:p w14:paraId="59C8718E">
      <w:pPr>
        <w:pStyle w:val="16"/>
        <w:ind w:firstLine="562"/>
        <w:rPr>
          <w:sz w:val="32"/>
          <w:szCs w:val="32"/>
        </w:rPr>
      </w:pPr>
      <w:r>
        <w:rPr>
          <w:rFonts w:hint="eastAsia"/>
          <w:sz w:val="32"/>
          <w:szCs w:val="32"/>
        </w:rPr>
        <w:t>一、项目基本情况</w:t>
      </w:r>
      <w:bookmarkEnd w:id="0"/>
    </w:p>
    <w:p w14:paraId="40F18491">
      <w:pPr>
        <w:pStyle w:val="12"/>
        <w:ind w:firstLine="48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本项目旨在对克拉玛依市公安局交警支队五五大队的指挥视频显示系统及其他关键设备进行新建和升级，以确保视频监控工作的有效执行。</w:t>
      </w:r>
    </w:p>
    <w:p w14:paraId="218312E0">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项目将采用先进的</w:t>
      </w:r>
      <w:r>
        <w:rPr>
          <w:rFonts w:hint="eastAsia" w:ascii="仿宋_GB2312" w:hAnsi="仿宋_GB2312" w:eastAsia="仿宋_GB2312" w:cs="仿宋_GB2312"/>
          <w:sz w:val="32"/>
          <w:szCs w:val="32"/>
          <w:lang w:val="en-US" w:eastAsia="zh-CN"/>
        </w:rPr>
        <w:t>COB大屏</w:t>
      </w:r>
      <w:r>
        <w:rPr>
          <w:rFonts w:hint="eastAsia" w:ascii="仿宋_GB2312" w:hAnsi="仿宋_GB2312" w:eastAsia="仿宋_GB2312" w:cs="仿宋_GB2312"/>
          <w:sz w:val="32"/>
          <w:szCs w:val="32"/>
          <w:lang w:eastAsia="zh-CN"/>
        </w:rPr>
        <w:t>技术手段，确保视频监控显示系统的稳定性和高效性。通过此次升级，将提高大队的应急响应能力，加强交通管理的实时监控和数据分析，从而提升整个管辖范围内的交通运行效率。</w:t>
      </w:r>
    </w:p>
    <w:p w14:paraId="76FA3849">
      <w:pPr>
        <w:pStyle w:val="12"/>
        <w:ind w:firstLine="480"/>
        <w:rPr>
          <w:rFonts w:hint="eastAsia"/>
        </w:rPr>
      </w:pPr>
    </w:p>
    <w:tbl>
      <w:tblPr>
        <w:tblStyle w:val="7"/>
        <w:tblW w:w="4741" w:type="pct"/>
        <w:tblInd w:w="0" w:type="dxa"/>
        <w:tblLayout w:type="fixed"/>
        <w:tblCellMar>
          <w:top w:w="0" w:type="dxa"/>
          <w:left w:w="108" w:type="dxa"/>
          <w:bottom w:w="0" w:type="dxa"/>
          <w:right w:w="108" w:type="dxa"/>
        </w:tblCellMar>
      </w:tblPr>
      <w:tblGrid>
        <w:gridCol w:w="995"/>
        <w:gridCol w:w="4422"/>
        <w:gridCol w:w="1560"/>
        <w:gridCol w:w="1104"/>
      </w:tblGrid>
      <w:tr w14:paraId="3A37FA18">
        <w:tblPrEx>
          <w:tblCellMar>
            <w:top w:w="0" w:type="dxa"/>
            <w:left w:w="108" w:type="dxa"/>
            <w:bottom w:w="0" w:type="dxa"/>
            <w:right w:w="108" w:type="dxa"/>
          </w:tblCellMar>
        </w:tblPrEx>
        <w:trPr>
          <w:trHeight w:val="575"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1A653A99">
            <w:pPr>
              <w:jc w:val="center"/>
              <w:rPr>
                <w:rFonts w:ascii="宋体" w:hAnsi="宋体" w:cs="宋体"/>
                <w:color w:val="000000"/>
                <w:sz w:val="22"/>
                <w:szCs w:val="22"/>
              </w:rPr>
            </w:pPr>
            <w:r>
              <w:rPr>
                <w:rFonts w:hint="eastAsia" w:ascii="宋体" w:hAnsi="宋体" w:cs="宋体"/>
                <w:color w:val="000000"/>
                <w:sz w:val="22"/>
                <w:szCs w:val="22"/>
              </w:rPr>
              <w:t>序号</w:t>
            </w:r>
          </w:p>
        </w:tc>
        <w:tc>
          <w:tcPr>
            <w:tcW w:w="2736" w:type="pct"/>
            <w:tcBorders>
              <w:top w:val="single" w:color="000000" w:sz="4" w:space="0"/>
              <w:left w:val="single" w:color="000000" w:sz="4" w:space="0"/>
              <w:bottom w:val="single" w:color="000000" w:sz="4" w:space="0"/>
              <w:right w:val="single" w:color="000000" w:sz="4" w:space="0"/>
            </w:tcBorders>
            <w:noWrap/>
            <w:vAlign w:val="center"/>
          </w:tcPr>
          <w:p w14:paraId="5B21C9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w:t>
            </w:r>
          </w:p>
        </w:tc>
        <w:tc>
          <w:tcPr>
            <w:tcW w:w="965" w:type="pct"/>
            <w:tcBorders>
              <w:top w:val="single" w:color="000000" w:sz="4" w:space="0"/>
              <w:left w:val="single" w:color="000000" w:sz="4" w:space="0"/>
              <w:bottom w:val="single" w:color="000000" w:sz="4" w:space="0"/>
              <w:right w:val="single" w:color="000000" w:sz="4" w:space="0"/>
            </w:tcBorders>
            <w:noWrap/>
            <w:vAlign w:val="center"/>
          </w:tcPr>
          <w:p w14:paraId="70CA92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预算（万元）</w:t>
            </w:r>
          </w:p>
        </w:tc>
        <w:tc>
          <w:tcPr>
            <w:tcW w:w="683" w:type="pct"/>
            <w:tcBorders>
              <w:top w:val="single" w:color="000000" w:sz="4" w:space="0"/>
              <w:left w:val="single" w:color="000000" w:sz="4" w:space="0"/>
              <w:bottom w:val="single" w:color="000000" w:sz="4" w:space="0"/>
              <w:right w:val="single" w:color="000000" w:sz="4" w:space="0"/>
            </w:tcBorders>
            <w:noWrap/>
            <w:vAlign w:val="center"/>
          </w:tcPr>
          <w:p w14:paraId="151D6F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质保</w:t>
            </w:r>
            <w:r>
              <w:rPr>
                <w:rFonts w:hint="eastAsia" w:ascii="宋体" w:hAnsi="宋体" w:cs="宋体"/>
                <w:color w:val="000000"/>
                <w:kern w:val="0"/>
                <w:sz w:val="22"/>
                <w:szCs w:val="22"/>
                <w:lang w:bidi="ar"/>
              </w:rPr>
              <w:t>期限</w:t>
            </w:r>
          </w:p>
        </w:tc>
      </w:tr>
      <w:tr w14:paraId="3F51BEC6">
        <w:tblPrEx>
          <w:tblCellMar>
            <w:top w:w="0" w:type="dxa"/>
            <w:left w:w="108" w:type="dxa"/>
            <w:bottom w:w="0" w:type="dxa"/>
            <w:right w:w="108" w:type="dxa"/>
          </w:tblCellMar>
        </w:tblPrEx>
        <w:trPr>
          <w:trHeight w:val="1285"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389EA9EE">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736" w:type="pct"/>
            <w:tcBorders>
              <w:top w:val="single" w:color="000000" w:sz="4" w:space="0"/>
              <w:left w:val="single" w:color="000000" w:sz="4" w:space="0"/>
              <w:bottom w:val="single" w:color="000000" w:sz="4" w:space="0"/>
              <w:right w:val="single" w:color="000000" w:sz="4" w:space="0"/>
            </w:tcBorders>
            <w:vAlign w:val="center"/>
          </w:tcPr>
          <w:p w14:paraId="47B75AC9">
            <w:pPr>
              <w:pStyle w:val="16"/>
              <w:ind w:left="0" w:leftChars="0" w:firstLine="0" w:firstLineChars="0"/>
              <w:jc w:val="left"/>
              <w:rPr>
                <w:rFonts w:hint="default" w:eastAsia="宋体"/>
                <w:lang w:val="en-US" w:eastAsia="zh-CN" w:bidi="ar"/>
              </w:rPr>
            </w:pPr>
            <w:r>
              <w:rPr>
                <w:rFonts w:hint="eastAsia" w:ascii="宋体" w:hAnsi="宋体" w:eastAsia="宋体" w:cs="宋体"/>
                <w:b w:val="0"/>
                <w:kern w:val="2"/>
                <w:sz w:val="21"/>
                <w:szCs w:val="21"/>
                <w:lang w:val="en-US" w:eastAsia="zh-CN" w:bidi="ar-SA"/>
                <w14:ligatures w14:val="none"/>
              </w:rPr>
              <w:t>克拉玛依市LED指挥大屏购置及相关服务项目</w:t>
            </w:r>
          </w:p>
        </w:tc>
        <w:tc>
          <w:tcPr>
            <w:tcW w:w="965" w:type="pct"/>
            <w:tcBorders>
              <w:top w:val="single" w:color="000000" w:sz="4" w:space="0"/>
              <w:left w:val="single" w:color="000000" w:sz="4" w:space="0"/>
              <w:bottom w:val="single" w:color="000000" w:sz="4" w:space="0"/>
              <w:right w:val="single" w:color="000000" w:sz="4" w:space="0"/>
            </w:tcBorders>
            <w:noWrap/>
            <w:vAlign w:val="center"/>
          </w:tcPr>
          <w:p w14:paraId="58EC069F">
            <w:pPr>
              <w:widowControl/>
              <w:jc w:val="center"/>
              <w:textAlignment w:val="center"/>
              <w:rPr>
                <w:rFonts w:hint="default" w:ascii="宋体" w:hAnsi="宋体" w:eastAsia="楷体_GB2312" w:cs="宋体"/>
                <w:color w:val="000000"/>
                <w:sz w:val="22"/>
                <w:szCs w:val="22"/>
                <w:lang w:val="en-US" w:eastAsia="zh-CN"/>
              </w:rPr>
            </w:pPr>
            <w:r>
              <w:rPr>
                <w:rFonts w:hint="eastAsia" w:ascii="宋体" w:hAnsi="宋体" w:cs="宋体"/>
                <w:color w:val="000000"/>
                <w:sz w:val="22"/>
                <w:szCs w:val="22"/>
                <w:lang w:val="en-US" w:eastAsia="zh-CN"/>
              </w:rPr>
              <w:t>25</w:t>
            </w:r>
          </w:p>
        </w:tc>
        <w:tc>
          <w:tcPr>
            <w:tcW w:w="683" w:type="pct"/>
            <w:tcBorders>
              <w:top w:val="single" w:color="000000" w:sz="4" w:space="0"/>
              <w:left w:val="single" w:color="000000" w:sz="4" w:space="0"/>
              <w:bottom w:val="single" w:color="000000" w:sz="4" w:space="0"/>
              <w:right w:val="single" w:color="000000" w:sz="4" w:space="0"/>
            </w:tcBorders>
            <w:noWrap/>
            <w:vAlign w:val="center"/>
          </w:tcPr>
          <w:p w14:paraId="43CE3F5E">
            <w:pPr>
              <w:jc w:val="center"/>
              <w:rPr>
                <w:rFonts w:ascii="宋体" w:hAnsi="宋体" w:cs="宋体"/>
                <w:color w:val="000000"/>
                <w:sz w:val="22"/>
                <w:szCs w:val="22"/>
              </w:rPr>
            </w:pPr>
            <w:r>
              <w:rPr>
                <w:rFonts w:hint="eastAsia" w:ascii="宋体" w:hAnsi="宋体" w:cs="宋体"/>
                <w:color w:val="000000"/>
                <w:sz w:val="22"/>
                <w:szCs w:val="22"/>
                <w:lang w:val="en-US" w:eastAsia="zh-CN"/>
              </w:rPr>
              <w:t>3</w:t>
            </w:r>
            <w:r>
              <w:rPr>
                <w:rFonts w:hint="eastAsia" w:ascii="宋体" w:hAnsi="宋体" w:cs="宋体"/>
                <w:color w:val="000000"/>
                <w:sz w:val="22"/>
                <w:szCs w:val="22"/>
              </w:rPr>
              <w:t>年</w:t>
            </w:r>
          </w:p>
        </w:tc>
      </w:tr>
    </w:tbl>
    <w:p w14:paraId="43DE902A">
      <w:pPr>
        <w:pStyle w:val="16"/>
        <w:ind w:firstLine="562"/>
        <w:rPr>
          <w:sz w:val="32"/>
          <w:szCs w:val="32"/>
        </w:rPr>
      </w:pPr>
      <w:bookmarkStart w:id="1" w:name="_Toc20908"/>
      <w:r>
        <w:rPr>
          <w:rFonts w:hint="eastAsia"/>
          <w:sz w:val="32"/>
          <w:szCs w:val="32"/>
        </w:rPr>
        <w:t>二、货物技术参数、服务标准及要求</w:t>
      </w:r>
      <w:bookmarkEnd w:id="1"/>
    </w:p>
    <w:p w14:paraId="7E7F4610">
      <w:pPr>
        <w:pStyle w:val="12"/>
        <w:ind w:firstLine="480"/>
        <w:rPr>
          <w:sz w:val="32"/>
          <w:szCs w:val="32"/>
        </w:rPr>
      </w:pPr>
      <w:r>
        <w:rPr>
          <w:rFonts w:hint="eastAsia"/>
          <w:sz w:val="32"/>
          <w:szCs w:val="32"/>
        </w:rPr>
        <w:t>（一）</w:t>
      </w:r>
      <w:r>
        <w:rPr>
          <w:rFonts w:hint="eastAsia"/>
          <w:sz w:val="32"/>
          <w:szCs w:val="32"/>
          <w:lang w:eastAsia="zh-CN"/>
        </w:rPr>
        <w:t>视频显示</w:t>
      </w:r>
      <w:r>
        <w:rPr>
          <w:rFonts w:hint="eastAsia"/>
          <w:sz w:val="32"/>
          <w:szCs w:val="32"/>
        </w:rPr>
        <w:t>设备参数及数量</w:t>
      </w:r>
    </w:p>
    <w:tbl>
      <w:tblPr>
        <w:tblStyle w:val="7"/>
        <w:tblW w:w="10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2"/>
        <w:gridCol w:w="950"/>
        <w:gridCol w:w="5633"/>
        <w:gridCol w:w="650"/>
        <w:gridCol w:w="791"/>
        <w:gridCol w:w="650"/>
        <w:gridCol w:w="662"/>
        <w:gridCol w:w="700"/>
      </w:tblGrid>
      <w:tr w14:paraId="186A1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582" w:type="dxa"/>
            <w:shd w:val="clear" w:color="auto" w:fill="auto"/>
            <w:vAlign w:val="center"/>
          </w:tcPr>
          <w:p w14:paraId="54E7B5EF">
            <w:pPr>
              <w:pStyle w:val="10"/>
              <w:adjustRightInd w:val="0"/>
              <w:snapToGrid w:val="0"/>
              <w:spacing w:line="360" w:lineRule="exact"/>
              <w:ind w:firstLine="0" w:firstLineChars="0"/>
              <w:jc w:val="center"/>
              <w:rPr>
                <w:rFonts w:ascii="仿宋" w:hAnsi="仿宋" w:eastAsia="仿宋" w:cs="仿宋"/>
                <w:b/>
                <w:bCs/>
                <w:sz w:val="24"/>
                <w:szCs w:val="24"/>
              </w:rPr>
            </w:pPr>
            <w:bookmarkStart w:id="2" w:name="_Hlk165287462"/>
            <w:r>
              <w:rPr>
                <w:rFonts w:hint="eastAsia" w:ascii="仿宋" w:hAnsi="仿宋" w:eastAsia="仿宋" w:cs="仿宋"/>
                <w:b/>
                <w:bCs/>
                <w:sz w:val="24"/>
                <w:szCs w:val="24"/>
              </w:rPr>
              <w:t>序号</w:t>
            </w:r>
          </w:p>
        </w:tc>
        <w:tc>
          <w:tcPr>
            <w:tcW w:w="950" w:type="dxa"/>
            <w:shd w:val="clear" w:color="auto" w:fill="auto"/>
            <w:vAlign w:val="center"/>
          </w:tcPr>
          <w:p w14:paraId="24F9B161">
            <w:pPr>
              <w:pStyle w:val="10"/>
              <w:adjustRightInd w:val="0"/>
              <w:snapToGrid w:val="0"/>
              <w:spacing w:line="360" w:lineRule="exact"/>
              <w:ind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产品类别</w:t>
            </w:r>
            <w:r>
              <w:rPr>
                <w:rFonts w:hint="eastAsia" w:ascii="仿宋" w:hAnsi="仿宋" w:eastAsia="仿宋" w:cs="仿宋"/>
                <w:b/>
                <w:bCs/>
                <w:sz w:val="24"/>
                <w:szCs w:val="24"/>
                <w:lang w:val="en-US" w:eastAsia="zh-CN"/>
              </w:rPr>
              <w:t>/型号</w:t>
            </w:r>
          </w:p>
        </w:tc>
        <w:tc>
          <w:tcPr>
            <w:tcW w:w="5633" w:type="dxa"/>
            <w:shd w:val="clear" w:color="auto" w:fill="auto"/>
            <w:vAlign w:val="center"/>
          </w:tcPr>
          <w:p w14:paraId="1DC7ECD0">
            <w:pPr>
              <w:pStyle w:val="10"/>
              <w:adjustRightInd w:val="0"/>
              <w:snapToGrid w:val="0"/>
              <w:spacing w:line="36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技术参数</w:t>
            </w:r>
          </w:p>
        </w:tc>
        <w:tc>
          <w:tcPr>
            <w:tcW w:w="650" w:type="dxa"/>
            <w:shd w:val="clear" w:color="auto" w:fill="auto"/>
            <w:vAlign w:val="center"/>
          </w:tcPr>
          <w:p w14:paraId="03C730E8">
            <w:pPr>
              <w:pStyle w:val="10"/>
              <w:adjustRightInd w:val="0"/>
              <w:snapToGrid w:val="0"/>
              <w:spacing w:line="36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791" w:type="dxa"/>
            <w:shd w:val="clear" w:color="auto" w:fill="auto"/>
            <w:vAlign w:val="center"/>
          </w:tcPr>
          <w:p w14:paraId="047AC887">
            <w:pPr>
              <w:pStyle w:val="10"/>
              <w:adjustRightInd w:val="0"/>
              <w:snapToGrid w:val="0"/>
              <w:spacing w:line="36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650" w:type="dxa"/>
            <w:shd w:val="clear" w:color="auto" w:fill="auto"/>
            <w:vAlign w:val="center"/>
          </w:tcPr>
          <w:p w14:paraId="415410D5">
            <w:pPr>
              <w:pStyle w:val="10"/>
              <w:adjustRightInd w:val="0"/>
              <w:snapToGrid w:val="0"/>
              <w:spacing w:line="360" w:lineRule="exact"/>
              <w:ind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w:t>
            </w:r>
          </w:p>
        </w:tc>
        <w:tc>
          <w:tcPr>
            <w:tcW w:w="662" w:type="dxa"/>
            <w:shd w:val="clear" w:color="auto" w:fill="auto"/>
            <w:vAlign w:val="center"/>
          </w:tcPr>
          <w:p w14:paraId="687A2C04">
            <w:pPr>
              <w:pStyle w:val="10"/>
              <w:adjustRightInd w:val="0"/>
              <w:snapToGrid w:val="0"/>
              <w:spacing w:line="360" w:lineRule="exact"/>
              <w:ind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总计</w:t>
            </w:r>
          </w:p>
        </w:tc>
        <w:tc>
          <w:tcPr>
            <w:tcW w:w="700" w:type="dxa"/>
            <w:shd w:val="clear" w:color="auto" w:fill="auto"/>
            <w:vAlign w:val="center"/>
          </w:tcPr>
          <w:p w14:paraId="6A9A5791">
            <w:pPr>
              <w:pStyle w:val="10"/>
              <w:adjustRightInd w:val="0"/>
              <w:snapToGrid w:val="0"/>
              <w:spacing w:line="360" w:lineRule="exact"/>
              <w:ind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w:t>
            </w:r>
          </w:p>
        </w:tc>
      </w:tr>
      <w:tr w14:paraId="52780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582" w:type="dxa"/>
            <w:shd w:val="clear" w:color="auto" w:fill="auto"/>
            <w:vAlign w:val="center"/>
          </w:tcPr>
          <w:p w14:paraId="7C4A0EB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950" w:type="dxa"/>
            <w:shd w:val="clear" w:color="auto" w:fill="auto"/>
            <w:vAlign w:val="center"/>
          </w:tcPr>
          <w:p w14:paraId="3C857AE4">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室内全彩LED显示屏艾比森/KLCOB1.2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p>
        </w:tc>
        <w:tc>
          <w:tcPr>
            <w:tcW w:w="5633" w:type="dxa"/>
            <w:shd w:val="clear" w:color="auto" w:fill="auto"/>
            <w:vAlign w:val="center"/>
          </w:tcPr>
          <w:p w14:paraId="7865F784">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★1.显示屏类型：LED类型采用倒装COB，像素构成1R1G1B，点间距≤1.25mm。</w:t>
            </w:r>
          </w:p>
          <w:p w14:paraId="4BE1B2A4">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2.显示屏尺寸为宽≥5.4m，高≥2.3625m，显示面积≥12.76㎡，显示屏长宽根据根各生产厂家自行设计，长宽尺寸和面积不小于规定尺寸。</w:t>
            </w:r>
          </w:p>
          <w:p w14:paraId="323B1481">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显示单元标准27吋，16:9显示满足FHD、4K、8K点对点播放；显示单元厚度≤46mm，显示单元重量≤5.6kg；产品设计采用封闭式压铸铝箱，箱体和电源无风扇，密封防尘、静音设计；电源、HUB、接收卡三合一集成，减少线材，故障率低，方便维护；电源线支持快速拔插，拼接后整体美观，高度一体化。</w:t>
            </w:r>
          </w:p>
          <w:p w14:paraId="39D74B0B">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4.箱体内部采用双重辅助连接片设计，可正面调节平整度，可实现快速定位安装；支持模组、电源三合一板均前维护方式；支持热插拔、支持不关屏热拔抢修维护功能；模块支持X/Y/Z方向调节，模组和箱体间采用浮动式连接件设计，可精准调节平整度。</w:t>
            </w:r>
          </w:p>
          <w:p w14:paraId="31BB309A">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5.最高对比度≥20000:1；白平衡亮度≥800nit（0-100%无级可调，支持自动/手动/程序控制）；可视角度：水平≥175°，垂直≥175°；刷新频率≥3840Hz，采用PWM高清高阶驱动芯片，倍频刷新率提升2/4/8倍，电流增益调节范围1%~199%；智能色温；标准9300K，1000-18000K 可调，调节步长100K；色温误差：色温为9300K时，100%,75%,50%,25%四档电平白场调节色温误差≤100K。</w:t>
            </w:r>
          </w:p>
          <w:p w14:paraId="23A603C5">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★6.亮度均匀性≥99%；色度均匀性：在±0.001 Cx,Cy之内；色准：ΔE≤0.5；色域覆盖率：≥120% NTSC；像素中心距偏差≤1%，像素中心距水平/垂直相对错位偏差≤1%，LED像素失控率≤1/1500000；灰度等级：16~18bit，且100%亮度时，16bit 灰度；70%亮度，16bit 灰度；50%亮度，16bit灰度；20%亮度，15bit 灰度，显示画面无单列或单行像素失控现象。</w:t>
            </w:r>
          </w:p>
          <w:p w14:paraId="071FF3BB">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7.电源带PFC高功率因数， 功率因数≥0.95，转换效率≥88%；峰值功耗：≤310W/㎡，平均功耗：≤105W/㎡，带有智能（黑屏）节电功能，开启智能节电功能比没有开启节能50%以上，能源效率值≥3cd/W，睡眠模式功率密度值≤125W/㎡。</w:t>
            </w:r>
          </w:p>
          <w:p w14:paraId="3FCB46B8">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8.箱体平整度：≤0.1mm，箱体间隙≤0.05mm；模组平整度≤0.05mm，模组间隙≤0.05mm；为防止刮蹭伤害屏幕，LED表面具备的硬度等级≥HRC8级；基色主波长误差为C级ΔλD≤5，亮度误差值在3%，灯芯的波长误差值在±1nm之内。</w:t>
            </w:r>
          </w:p>
          <w:p w14:paraId="5C12F3C2">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9.PCB采用FR-4材质，厚度≥2.0mm，灯驱电路采用4层以上设计符合CQC13-471301-2018，焊盘采用沉金工艺处理，充分保证单模块安装的稳定性和抗氧化性，有效耐CAF离子迁移。</w:t>
            </w:r>
          </w:p>
          <w:p w14:paraId="29A95F6F">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10.单元模组全部采用高分子电容做滤波设计，寿命长，耐高温，滤波效果好，模组采用磁吸固定方式，灯板与底壳采用螺丝固定，方便维护；支持单个模组设置衰减系数，维修更换后模组间无色差；电源板与箱体后盖直接接触，热量可通过PCB板直接导入后盖，后盖散热硅胶辅助散热，散热效果好。</w:t>
            </w:r>
          </w:p>
          <w:p w14:paraId="64292476">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11.屏体表面采用高分子材料超黑涂层，全哑光设计，一致性好，拼装无模块化现象，反光率≤1%，屏体表面黑度≥40%，屏体正面反射比≤6.5%。</w:t>
            </w:r>
          </w:p>
          <w:p w14:paraId="16C08FA3">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12.软件具有调节亮暗线功能：暗线修复、隐亮消除；通过调节软件设置，支持低灰偏色补偿、亮度缓慢变亮；具备坏点、失控点侦测功能；采用先进的消隐电路设计，无“毛毛虫”、“鬼影”现象；支持抑制摩尔纹功能，减轻摩尔纹视觉主观效果80%，支持高清拍摄；电源控制采用分布式供电设计，具有电源过压、过流、断电保护及温度控制系统，提供电源实时温度监控，超出设定温度自动报警，防止过温失效。</w:t>
            </w:r>
          </w:p>
          <w:p w14:paraId="5314A857">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★13.工作时间满足7×24小时连续工作无故障，平均故障间隔时间（MTBF）100,000小时，平均故障恢复时间（MTTR）≤1分钟；4 档可调节恒流拐点电压（0.16V/0.24V/0.32V/0.4V），画面延时≤2ms。</w:t>
            </w:r>
          </w:p>
          <w:p w14:paraId="25B94728">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14.产品具有防水防潮、防腐蚀、防霉菌、防晒、防尘、阻燃、防震、防磕碰、防虫、防静电、防氧化、防蓝光、抗电磁干扰，过流、短路、过压、欠压保护等功能；室温25℃环境下，显示屏全白600nit亮度时，屏体表面平均温度低于规定值，体感舒适。</w:t>
            </w:r>
          </w:p>
          <w:p w14:paraId="6BCAEA62">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15.自动Gamma校正技术，1024级γ自动校正，通过构造非线性校正曲线和色坐标变换系数矩阵实现了显示效果的不断改善，各项重要指标如色彩还原性、色温调节范围、亮度均匀性、刷新率、换帧频率等，均符合广电级标准；</w:t>
            </w:r>
          </w:p>
          <w:p w14:paraId="3DB5FC6A">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16.具有单点、模块级亮度、色度校正功能，校正后亮度损失＜8%；模组自带校正数据存储器，更换模组自动导入校正数据；支持多bin色度校正，校正数据存储在模组里，在LED控制系统对视频解码后，添加二次过滤显示算法，对显示屏每一个发光二极管进行逐点14位颜色校正。</w:t>
            </w:r>
          </w:p>
          <w:p w14:paraId="080062BF">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17.显示屏具有多点测温系统，均衡散热，防止局部温度过高造成色彩漂移，并提高显示屏寿命；可实时监控显示屏工作状态、温度，具有过温或故障报警功能，发生故障立即发消息到指定邮箱，及时处理。</w:t>
            </w:r>
          </w:p>
          <w:p w14:paraId="16B54CC7">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18.信号加密传输：屏体控制器与屏体间支持信号加密传输功能，支持5G传输技术，单路网线可传输230万像素；</w:t>
            </w:r>
          </w:p>
          <w:p w14:paraId="4B62FF2B">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★19.产品具有防信号远程窃密技术，具有良好的抗还原性能，覆盖范围广，涵盖10KHz~1.2GHz;干扰信号强度10KHz~230MHz区间，小于90dBuV；235MHz~1.2GHz区间，小于97dBuV；传导抑制＞35dB；</w:t>
            </w:r>
          </w:p>
          <w:p w14:paraId="54E075F1">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★20.产品具有防电力远程窃密技术，采用信息相关方式阻力电力通信，覆盖范围广，涵盖1KHz~1.5GHz，输入/输出电源滤波设计抑制信号强度，具有很好的电磁兼容特性。</w:t>
            </w:r>
          </w:p>
          <w:p w14:paraId="4CA7E574">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21.LED显示屏图像直观质量评价等级为优，评分为5分，评定内容须包含但不限于：静态图像清晰度、动态图像清晰度、无回扫线或闪动、无虚影现象、无抖动现象、高中低灰度图像层次等内容；人眼视觉健康舒适度VICO指数达到1级；</w:t>
            </w:r>
          </w:p>
          <w:p w14:paraId="4C60B146">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★22．工作噪声声压（距离1米）≤3dB（A）；</w:t>
            </w:r>
          </w:p>
          <w:p w14:paraId="3B5952FB">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23.产品具备待机休眠功能，带电状态下待机休眠功耗≤40W/㎡；</w:t>
            </w:r>
          </w:p>
          <w:p w14:paraId="1BC33B4C">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24.正弦振动方式下，振动频率为5Hz-55Hz-5Hz，振动幅度为0.19mm，扫频速率为1oct/min,两个方向各扫描2次，试验后主机外观和结构无明显损坏和异常现象，重新上电性能正常。</w:t>
            </w:r>
          </w:p>
          <w:p w14:paraId="12BD92B2">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★25.电磁兼容特性满足基于GB 9254-2008标准的CALSS B 级要求，电器绝缘显示屏符合CLASS1等级标准；产品通过盐雾10级要求，抗震8级要求；符合放冲击IK10要求；满足防霉等级0要求，产品正面防水的等级为IPX5，正面防尘等级为IP6X。</w:t>
            </w:r>
          </w:p>
          <w:p w14:paraId="480A7493">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26.产品PCB阻燃符合V-0要求，塑胶件阻燃符合V-0要求，内部线材阻燃符合V-0要求，产品防火及安全标准满足BS476-7表面燃烧测试1级；BS6853燃烧烟气毒性测试的毒性指数R值≤1。</w:t>
            </w:r>
          </w:p>
          <w:p w14:paraId="599C3AE4">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27.电源输入端对外壳在AC1.5KV的条件下，1分钟后，无击穿、飞弧或超漏现象；在AC 242V电压条件下测试，泄露小于3.5mA；在32A电流条件下试验，测试2分钟，接地电阻≤0.1Ω。</w:t>
            </w:r>
          </w:p>
          <w:p w14:paraId="20E5DC9D">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28.产品采用UVA-340灯管，辐照度0.89W/(m2.nm)，辐照8 小时，黑板温度60℃；冷凝4 小时，冷凝温度50℃，试验后无变形，变色；在10Lux/5600K 照度下，对屏幕表面进行光反射率试验，屏幕表面光反射率(单位面积反射亮度)＜3cd/m²；蓝光危害辐亮度≤5.7W/㎡/sr，对人眼无伤害。</w:t>
            </w:r>
          </w:p>
          <w:p w14:paraId="4D65C505">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29.所投产品通过ROHS及CCC强制认证,有《中国节能产品认证证书》；</w:t>
            </w:r>
          </w:p>
          <w:p w14:paraId="55188B28">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★30.满足基于 GB/T 20145-2006 光生物安全及蓝光危害类测试要求（豁免级），蓝光危害辐亮度≤5.7W/㎡/sr，具备防蓝光护眼模式；</w:t>
            </w:r>
          </w:p>
          <w:p w14:paraId="57A32CC7">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31.所投LED显示屏制造商具有ISO37001反贿赂管理体系认证证书；</w:t>
            </w:r>
          </w:p>
          <w:p w14:paraId="05AACE66">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32.所投LED显示屏制造商具有CCRC信息安全服务资质认证及信息系统安全集成资质认证；</w:t>
            </w:r>
          </w:p>
          <w:p w14:paraId="59C914BB">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33.所投LED显示屏制造商具有中国多媒体工程系统集成资质证书一级认证证书；</w:t>
            </w:r>
          </w:p>
          <w:p w14:paraId="13B840EB">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34.所投LED显示屏制造商具有质量信用评价认证AAA级认证证书；</w:t>
            </w:r>
          </w:p>
          <w:p w14:paraId="77107BF4">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35、所投LED显示屏产品具有保险（每次事故赔偿限额大于此项目拦标价），公众责任险、财产一切险、雇主责任险。</w:t>
            </w:r>
          </w:p>
          <w:p w14:paraId="01BF1F1E">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★36、所投LED产品需提供原厂针对本项目的售后服务承诺函</w:t>
            </w:r>
            <w:r>
              <w:rPr>
                <w:rFonts w:hint="eastAsia" w:ascii="宋体" w:hAnsi="宋体" w:cs="宋体"/>
                <w:sz w:val="21"/>
                <w:szCs w:val="21"/>
                <w:lang w:eastAsia="zh-CN"/>
              </w:rPr>
              <w:t>及授权</w:t>
            </w:r>
            <w:r>
              <w:rPr>
                <w:rFonts w:hint="eastAsia" w:ascii="宋体" w:hAnsi="宋体" w:eastAsia="宋体" w:cs="宋体"/>
                <w:sz w:val="21"/>
                <w:szCs w:val="21"/>
              </w:rPr>
              <w:t>并加盖鲜章。（原件备查）</w:t>
            </w:r>
          </w:p>
          <w:p w14:paraId="54B170EA">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37、为保证LED显示屏产品质量，LED厂商为制造业单项冠军企业、绿色供应链企业、标准化良好行为AAAAA认证；</w:t>
            </w:r>
          </w:p>
          <w:p w14:paraId="7D81C07B">
            <w:pPr>
              <w:pStyle w:val="10"/>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38、★LED显示屏制造商通过GB/T27922商品售后服务评价体系五星级认证、品牌服务五星级认证、顾客满意度测评服务五星级认证。</w:t>
            </w:r>
          </w:p>
        </w:tc>
        <w:tc>
          <w:tcPr>
            <w:tcW w:w="650" w:type="dxa"/>
            <w:shd w:val="clear" w:color="auto" w:fill="auto"/>
            <w:vAlign w:val="center"/>
          </w:tcPr>
          <w:p w14:paraId="1C2D8C8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14:ligatures w14:val="none"/>
              </w:rPr>
              <w:t>㎡</w:t>
            </w:r>
          </w:p>
        </w:tc>
        <w:tc>
          <w:tcPr>
            <w:tcW w:w="791" w:type="dxa"/>
            <w:shd w:val="clear" w:color="auto" w:fill="auto"/>
            <w:vAlign w:val="center"/>
          </w:tcPr>
          <w:p w14:paraId="22BB5006">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14:ligatures w14:val="none"/>
              </w:rPr>
              <w:t>14.58</w:t>
            </w:r>
          </w:p>
        </w:tc>
        <w:tc>
          <w:tcPr>
            <w:tcW w:w="650" w:type="dxa"/>
            <w:shd w:val="clear" w:color="auto" w:fill="auto"/>
            <w:vAlign w:val="center"/>
          </w:tcPr>
          <w:p w14:paraId="1FB735F6">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1A3AA2C7">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3317A42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5.4米宽*2.</w:t>
            </w:r>
            <w:r>
              <w:rPr>
                <w:rFonts w:hint="eastAsia" w:ascii="宋体" w:hAnsi="宋体" w:eastAsia="宋体" w:cs="宋体"/>
                <w:sz w:val="21"/>
                <w:szCs w:val="21"/>
                <w:lang w:val="en-US" w:eastAsia="zh-CN"/>
              </w:rPr>
              <w:t>7</w:t>
            </w:r>
            <w:r>
              <w:rPr>
                <w:rFonts w:hint="eastAsia" w:ascii="宋体" w:hAnsi="宋体" w:eastAsia="宋体" w:cs="宋体"/>
                <w:sz w:val="21"/>
                <w:szCs w:val="21"/>
              </w:rPr>
              <w:t>米高.倒装COB。原厂一体化箱体</w:t>
            </w:r>
          </w:p>
        </w:tc>
      </w:tr>
      <w:tr w14:paraId="156FC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2" w:type="dxa"/>
            <w:vMerge w:val="restart"/>
            <w:shd w:val="clear" w:color="auto" w:fill="auto"/>
            <w:vAlign w:val="center"/>
          </w:tcPr>
          <w:p w14:paraId="4BFA214F">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950" w:type="dxa"/>
            <w:shd w:val="clear" w:color="auto" w:fill="auto"/>
            <w:vAlign w:val="center"/>
          </w:tcPr>
          <w:p w14:paraId="543D94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none"/>
              </w:rPr>
            </w:pPr>
            <w:r>
              <w:rPr>
                <w:rFonts w:hint="eastAsia" w:ascii="宋体" w:hAnsi="宋体" w:eastAsia="宋体" w:cs="宋体"/>
                <w:i w:val="0"/>
                <w:iCs w:val="0"/>
                <w:color w:val="000000"/>
                <w:kern w:val="0"/>
                <w:sz w:val="21"/>
                <w:szCs w:val="21"/>
                <w:u w:val="none"/>
                <w:lang w:val="en-US" w:eastAsia="zh-CN" w:bidi="ar"/>
                <w14:ligatures w14:val="none"/>
              </w:rPr>
              <w:t>视频处理器</w:t>
            </w:r>
          </w:p>
        </w:tc>
        <w:tc>
          <w:tcPr>
            <w:tcW w:w="5633" w:type="dxa"/>
            <w:shd w:val="clear" w:color="auto" w:fill="auto"/>
            <w:vAlign w:val="center"/>
          </w:tcPr>
          <w:p w14:paraId="0A8B9171">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诺瓦/H21、纯硬件插卡式架构设计，19英寸标准机架式安装，金属结构机箱；</w:t>
            </w:r>
          </w:p>
          <w:p w14:paraId="4472F3AF">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▲2、前面板内嵌不小于3. 5英寸液晶显示屏，分辨率不低于320×480，可显示设备运行参数与状态，包括但不限于：接口状态、运行状态等；</w:t>
            </w:r>
          </w:p>
          <w:p w14:paraId="5D3444B4">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▲3、设备机箱规模不少于16路输入、8 路输出，接口支持单链路和双链路输入模式切换；</w:t>
            </w:r>
          </w:p>
          <w:p w14:paraId="17D5ACA0">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▲4、单张输出板卡支持不少于16个图层，支持图层在输出接口间漫游，可进行图层参数设置；</w:t>
            </w:r>
          </w:p>
          <w:p w14:paraId="3CE18C9C">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▲5、支持不少于2个二合一网口输出，输出无需其它设备可直接连接LED显示屏显示，并支持LED屏亮度调节；</w:t>
            </w:r>
          </w:p>
          <w:p w14:paraId="3B09611C">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▲6、IPC输入卡支持不低于4K 视频接入，不低于16路视频解码输出；</w:t>
            </w:r>
          </w:p>
          <w:p w14:paraId="662D7C2F">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7、为了提升设备的故障排查效率，可监测设备温度、电压、风扇在线状态，支持智能识别板卡接口组合，板卡和接口状态监测，信号丢失预警；</w:t>
            </w:r>
          </w:p>
          <w:p w14:paraId="613101E7">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8、支持屏幕背景图显示；支持对输入添加文字或图片台标，文字与图片背景、位置可调；支持对输入添加OSD文字或图片，属性可调；</w:t>
            </w:r>
          </w:p>
          <w:p w14:paraId="4DD85394">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9、支持不少于2000个用户场景，可设置为图片或视频，场景切换支持淡入淡出、直切效果；支持不少于4种屏幕画质调节模式；</w:t>
            </w:r>
          </w:p>
          <w:p w14:paraId="0668CE97">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▲10、支持对所有输入源同时预监，对所有输出进行回显（包含IP流回显）；</w:t>
            </w:r>
          </w:p>
          <w:p w14:paraId="5DA497E1">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11、支持用户权限分级管控，超级管理员可分配用户使用权限，支持多用户同时在线编辑、控制、上屏操作，可预览其他用户操作；</w:t>
            </w:r>
          </w:p>
          <w:p w14:paraId="33EA4134">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12、支持实时和预编模式，实时模式可实现画面控制实时上屏显示，预编模式支持在软件端进行显示内容预编辑后，再上屏显示；</w:t>
            </w:r>
          </w:p>
          <w:p w14:paraId="3374249B">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▲13、支持输入源画面任意截取，对截取的画面开窗调用，并可作为一个新的输入源， 不影响原输入源的使用；</w:t>
            </w:r>
          </w:p>
          <w:p w14:paraId="5617A97A">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▲14、系统需具备良好的兼容性，拼接器配置软件至少需支持windows、麒麟、IOS、Android、Linux等操作系统访问设备及交互操作；</w:t>
            </w:r>
          </w:p>
          <w:p w14:paraId="5D83CB14">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为了保证产品质量所投产品厂家至少需具有ISO9001质量管理体系认证，所投产品需提供3C认证、产品彩页等证明材料。</w:t>
            </w:r>
          </w:p>
        </w:tc>
        <w:tc>
          <w:tcPr>
            <w:tcW w:w="650" w:type="dxa"/>
            <w:shd w:val="clear" w:color="auto" w:fill="auto"/>
            <w:vAlign w:val="center"/>
          </w:tcPr>
          <w:p w14:paraId="3628472F">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91" w:type="dxa"/>
            <w:shd w:val="clear" w:color="auto" w:fill="auto"/>
            <w:vAlign w:val="center"/>
          </w:tcPr>
          <w:p w14:paraId="3A729F3E">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50" w:type="dxa"/>
            <w:shd w:val="clear" w:color="auto" w:fill="auto"/>
            <w:vAlign w:val="center"/>
          </w:tcPr>
          <w:p w14:paraId="103200A0">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061BF30D">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63FF2189">
            <w:pPr>
              <w:spacing w:line="360" w:lineRule="exact"/>
              <w:jc w:val="center"/>
              <w:rPr>
                <w:rFonts w:hint="eastAsia" w:ascii="宋体" w:hAnsi="宋体" w:eastAsia="宋体" w:cs="宋体"/>
                <w:sz w:val="21"/>
                <w:szCs w:val="21"/>
              </w:rPr>
            </w:pPr>
          </w:p>
        </w:tc>
      </w:tr>
      <w:tr w14:paraId="67BE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2" w:type="dxa"/>
            <w:vMerge w:val="continue"/>
            <w:shd w:val="clear" w:color="auto" w:fill="auto"/>
            <w:vAlign w:val="center"/>
          </w:tcPr>
          <w:p w14:paraId="2071C279">
            <w:pPr>
              <w:spacing w:line="360" w:lineRule="exact"/>
              <w:jc w:val="center"/>
              <w:rPr>
                <w:rFonts w:hint="eastAsia" w:ascii="宋体" w:hAnsi="宋体" w:eastAsia="宋体" w:cs="宋体"/>
                <w:sz w:val="21"/>
                <w:szCs w:val="21"/>
                <w:lang w:val="en-US" w:eastAsia="zh-CN"/>
              </w:rPr>
            </w:pPr>
          </w:p>
        </w:tc>
        <w:tc>
          <w:tcPr>
            <w:tcW w:w="950" w:type="dxa"/>
            <w:shd w:val="clear" w:color="auto" w:fill="auto"/>
            <w:vAlign w:val="center"/>
          </w:tcPr>
          <w:p w14:paraId="00E154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14:ligatures w14:val="none"/>
              </w:rPr>
            </w:pPr>
            <w:r>
              <w:rPr>
                <w:rFonts w:hint="eastAsia" w:ascii="微软雅黑" w:hAnsi="微软雅黑" w:eastAsia="微软雅黑" w:cs="微软雅黑"/>
                <w:i w:val="0"/>
                <w:iCs w:val="0"/>
                <w:color w:val="000000"/>
                <w:kern w:val="0"/>
                <w:sz w:val="20"/>
                <w:szCs w:val="20"/>
                <w:u w:val="none"/>
                <w:lang w:val="en-US" w:eastAsia="zh-CN" w:bidi="ar"/>
                <w14:ligatures w14:val="none"/>
              </w:rPr>
              <w:t>插卡式输入卡</w:t>
            </w:r>
          </w:p>
        </w:tc>
        <w:tc>
          <w:tcPr>
            <w:tcW w:w="5633" w:type="dxa"/>
            <w:shd w:val="clear" w:color="auto" w:fill="auto"/>
            <w:vAlign w:val="center"/>
          </w:tcPr>
          <w:p w14:paraId="68BB6881">
            <w:pPr>
              <w:pStyle w:val="10"/>
              <w:adjustRightInd w:val="0"/>
              <w:snapToGrid w:val="0"/>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诺瓦4路-HDMI输入板卡</w:t>
            </w:r>
            <w:r>
              <w:rPr>
                <w:rFonts w:hint="eastAsia" w:ascii="宋体" w:hAnsi="宋体" w:cs="宋体"/>
                <w:sz w:val="21"/>
                <w:szCs w:val="21"/>
                <w:lang w:eastAsia="zh-CN"/>
              </w:rPr>
              <w:t>、</w:t>
            </w:r>
            <w:r>
              <w:rPr>
                <w:rFonts w:hint="eastAsia" w:ascii="宋体" w:hAnsi="宋体" w:eastAsia="宋体" w:cs="宋体"/>
                <w:sz w:val="21"/>
                <w:szCs w:val="21"/>
              </w:rPr>
              <w:t>8路HDMI输入</w:t>
            </w:r>
            <w:r>
              <w:rPr>
                <w:rFonts w:hint="eastAsia" w:ascii="宋体" w:hAnsi="宋体" w:cs="宋体"/>
                <w:sz w:val="21"/>
                <w:szCs w:val="21"/>
                <w:lang w:eastAsia="zh-CN"/>
              </w:rPr>
              <w:t>。</w:t>
            </w:r>
          </w:p>
        </w:tc>
        <w:tc>
          <w:tcPr>
            <w:tcW w:w="650" w:type="dxa"/>
            <w:shd w:val="clear" w:color="auto" w:fill="auto"/>
            <w:vAlign w:val="center"/>
          </w:tcPr>
          <w:p w14:paraId="20102BA3">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张</w:t>
            </w:r>
          </w:p>
        </w:tc>
        <w:tc>
          <w:tcPr>
            <w:tcW w:w="791" w:type="dxa"/>
            <w:shd w:val="clear" w:color="auto" w:fill="auto"/>
            <w:vAlign w:val="center"/>
          </w:tcPr>
          <w:p w14:paraId="7E152F99">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50" w:type="dxa"/>
            <w:shd w:val="clear" w:color="auto" w:fill="auto"/>
            <w:vAlign w:val="center"/>
          </w:tcPr>
          <w:p w14:paraId="6D1C7361">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034F3CAE">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44C6FF58">
            <w:pPr>
              <w:spacing w:line="360" w:lineRule="exact"/>
              <w:jc w:val="center"/>
              <w:rPr>
                <w:rFonts w:hint="eastAsia" w:ascii="宋体" w:hAnsi="宋体" w:eastAsia="宋体" w:cs="宋体"/>
                <w:sz w:val="21"/>
                <w:szCs w:val="21"/>
              </w:rPr>
            </w:pPr>
          </w:p>
        </w:tc>
      </w:tr>
      <w:tr w14:paraId="48F0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2" w:type="dxa"/>
            <w:vMerge w:val="continue"/>
            <w:shd w:val="clear" w:color="auto" w:fill="auto"/>
            <w:vAlign w:val="center"/>
          </w:tcPr>
          <w:p w14:paraId="57CFCCB7">
            <w:pPr>
              <w:spacing w:line="360" w:lineRule="exact"/>
              <w:jc w:val="center"/>
              <w:rPr>
                <w:rFonts w:hint="eastAsia" w:ascii="宋体" w:hAnsi="宋体" w:eastAsia="宋体" w:cs="宋体"/>
                <w:sz w:val="21"/>
                <w:szCs w:val="21"/>
                <w:lang w:val="en-US" w:eastAsia="zh-CN"/>
              </w:rPr>
            </w:pPr>
          </w:p>
        </w:tc>
        <w:tc>
          <w:tcPr>
            <w:tcW w:w="950" w:type="dxa"/>
            <w:shd w:val="clear" w:color="auto" w:fill="auto"/>
            <w:vAlign w:val="center"/>
          </w:tcPr>
          <w:p w14:paraId="3EBD7D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14:ligatures w14:val="none"/>
              </w:rPr>
            </w:pPr>
            <w:r>
              <w:rPr>
                <w:rFonts w:hint="eastAsia" w:ascii="微软雅黑" w:hAnsi="微软雅黑" w:eastAsia="微软雅黑" w:cs="微软雅黑"/>
                <w:i w:val="0"/>
                <w:iCs w:val="0"/>
                <w:color w:val="000000"/>
                <w:kern w:val="0"/>
                <w:sz w:val="20"/>
                <w:szCs w:val="20"/>
                <w:u w:val="none"/>
                <w:lang w:val="en-US" w:eastAsia="zh-CN" w:bidi="ar"/>
                <w14:ligatures w14:val="none"/>
              </w:rPr>
              <w:t>插卡式输出卡</w:t>
            </w:r>
          </w:p>
        </w:tc>
        <w:tc>
          <w:tcPr>
            <w:tcW w:w="5633" w:type="dxa"/>
            <w:shd w:val="clear" w:color="auto" w:fill="auto"/>
            <w:vAlign w:val="center"/>
          </w:tcPr>
          <w:p w14:paraId="19E51DCE">
            <w:pPr>
              <w:pStyle w:val="10"/>
              <w:adjustRightInd w:val="0"/>
              <w:snapToGrid w:val="0"/>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诺瓦16网口二合一输出板卡</w:t>
            </w:r>
            <w:r>
              <w:rPr>
                <w:rFonts w:hint="eastAsia" w:ascii="宋体" w:hAnsi="宋体" w:cs="宋体"/>
                <w:sz w:val="21"/>
                <w:szCs w:val="21"/>
                <w:lang w:eastAsia="zh-CN"/>
              </w:rPr>
              <w:t>、16路网口输出。</w:t>
            </w:r>
          </w:p>
        </w:tc>
        <w:tc>
          <w:tcPr>
            <w:tcW w:w="650" w:type="dxa"/>
            <w:shd w:val="clear" w:color="auto" w:fill="auto"/>
            <w:vAlign w:val="center"/>
          </w:tcPr>
          <w:p w14:paraId="702453E5">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张</w:t>
            </w:r>
          </w:p>
        </w:tc>
        <w:tc>
          <w:tcPr>
            <w:tcW w:w="791" w:type="dxa"/>
            <w:shd w:val="clear" w:color="auto" w:fill="auto"/>
            <w:vAlign w:val="center"/>
          </w:tcPr>
          <w:p w14:paraId="4D8FA88D">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50" w:type="dxa"/>
            <w:shd w:val="clear" w:color="auto" w:fill="auto"/>
            <w:vAlign w:val="center"/>
          </w:tcPr>
          <w:p w14:paraId="2FEB4D42">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7776BE86">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17CB5433">
            <w:pPr>
              <w:spacing w:line="360" w:lineRule="exact"/>
              <w:jc w:val="center"/>
              <w:rPr>
                <w:rFonts w:hint="eastAsia" w:ascii="宋体" w:hAnsi="宋体" w:eastAsia="宋体" w:cs="宋体"/>
                <w:sz w:val="21"/>
                <w:szCs w:val="21"/>
              </w:rPr>
            </w:pPr>
          </w:p>
        </w:tc>
      </w:tr>
      <w:tr w14:paraId="2F826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582" w:type="dxa"/>
            <w:shd w:val="clear" w:color="auto" w:fill="auto"/>
            <w:vAlign w:val="center"/>
          </w:tcPr>
          <w:p w14:paraId="4FE904D8">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950" w:type="dxa"/>
            <w:shd w:val="clear" w:color="auto" w:fill="auto"/>
            <w:vAlign w:val="center"/>
          </w:tcPr>
          <w:p w14:paraId="2565AB04">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钢结构材料及定制</w:t>
            </w:r>
          </w:p>
        </w:tc>
        <w:tc>
          <w:tcPr>
            <w:tcW w:w="5633" w:type="dxa"/>
            <w:shd w:val="clear" w:color="auto" w:fill="auto"/>
            <w:vAlign w:val="center"/>
          </w:tcPr>
          <w:p w14:paraId="7798C27E">
            <w:pPr>
              <w:pStyle w:val="10"/>
              <w:adjustRightInd w:val="0"/>
              <w:snapToGrid w:val="0"/>
              <w:spacing w:line="360" w:lineRule="exact"/>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大屏幕安装配套，要求抗绣，抗腐蚀，稳定牢固，不允许存在安全隐患。</w:t>
            </w:r>
          </w:p>
          <w:p w14:paraId="66529AD7">
            <w:pPr>
              <w:pStyle w:val="10"/>
              <w:adjustRightInd w:val="0"/>
              <w:snapToGrid w:val="0"/>
              <w:spacing w:line="360" w:lineRule="exact"/>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★LED显示屏厂家或全资子公司具有钢结构三级以上资质。</w:t>
            </w:r>
          </w:p>
        </w:tc>
        <w:tc>
          <w:tcPr>
            <w:tcW w:w="650" w:type="dxa"/>
            <w:shd w:val="clear" w:color="auto" w:fill="auto"/>
            <w:vAlign w:val="center"/>
          </w:tcPr>
          <w:p w14:paraId="12494E9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14:ligatures w14:val="none"/>
              </w:rPr>
              <w:t>㎡</w:t>
            </w:r>
          </w:p>
        </w:tc>
        <w:tc>
          <w:tcPr>
            <w:tcW w:w="791" w:type="dxa"/>
            <w:shd w:val="clear" w:color="auto" w:fill="auto"/>
            <w:vAlign w:val="center"/>
          </w:tcPr>
          <w:p w14:paraId="7F87BAB7">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14:ligatures w14:val="none"/>
              </w:rPr>
              <w:t>14.58</w:t>
            </w:r>
          </w:p>
        </w:tc>
        <w:tc>
          <w:tcPr>
            <w:tcW w:w="650" w:type="dxa"/>
            <w:shd w:val="clear" w:color="auto" w:fill="auto"/>
            <w:vAlign w:val="center"/>
          </w:tcPr>
          <w:p w14:paraId="12355859">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4C8E6D99">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13CC7224">
            <w:pPr>
              <w:spacing w:line="360" w:lineRule="exact"/>
              <w:jc w:val="center"/>
              <w:rPr>
                <w:rFonts w:hint="eastAsia" w:ascii="宋体" w:hAnsi="宋体" w:eastAsia="宋体" w:cs="宋体"/>
                <w:sz w:val="21"/>
                <w:szCs w:val="21"/>
              </w:rPr>
            </w:pPr>
          </w:p>
        </w:tc>
      </w:tr>
      <w:tr w14:paraId="11AF6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582" w:type="dxa"/>
            <w:shd w:val="clear" w:color="auto" w:fill="auto"/>
            <w:vAlign w:val="center"/>
          </w:tcPr>
          <w:p w14:paraId="2D93562F">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950" w:type="dxa"/>
            <w:shd w:val="clear" w:color="auto" w:fill="auto"/>
            <w:vAlign w:val="center"/>
          </w:tcPr>
          <w:p w14:paraId="4E84A2F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配电箱福佑/10KW</w:t>
            </w:r>
          </w:p>
        </w:tc>
        <w:tc>
          <w:tcPr>
            <w:tcW w:w="5633" w:type="dxa"/>
            <w:shd w:val="clear" w:color="auto" w:fill="auto"/>
            <w:vAlign w:val="center"/>
          </w:tcPr>
          <w:p w14:paraId="5F1EA29B">
            <w:pPr>
              <w:pStyle w:val="10"/>
              <w:adjustRightInd w:val="0"/>
              <w:snapToGrid w:val="0"/>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1. 额定功率≥10KW，输入电压380V，含多功能控制卡，可远程开关机</w:t>
            </w:r>
            <w:r>
              <w:rPr>
                <w:rFonts w:hint="eastAsia" w:ascii="宋体" w:hAnsi="宋体" w:eastAsia="宋体" w:cs="宋体"/>
                <w:sz w:val="21"/>
                <w:szCs w:val="21"/>
                <w:lang w:eastAsia="zh-CN"/>
              </w:rPr>
              <w:t>。</w:t>
            </w:r>
          </w:p>
        </w:tc>
        <w:tc>
          <w:tcPr>
            <w:tcW w:w="650" w:type="dxa"/>
            <w:shd w:val="clear" w:color="auto" w:fill="auto"/>
            <w:vAlign w:val="center"/>
          </w:tcPr>
          <w:p w14:paraId="0BB323C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14:ligatures w14:val="none"/>
              </w:rPr>
              <w:t>台</w:t>
            </w:r>
          </w:p>
        </w:tc>
        <w:tc>
          <w:tcPr>
            <w:tcW w:w="791" w:type="dxa"/>
            <w:shd w:val="clear" w:color="auto" w:fill="auto"/>
            <w:vAlign w:val="center"/>
          </w:tcPr>
          <w:p w14:paraId="54EE6B6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14:ligatures w14:val="none"/>
              </w:rPr>
              <w:t>1</w:t>
            </w:r>
          </w:p>
        </w:tc>
        <w:tc>
          <w:tcPr>
            <w:tcW w:w="650" w:type="dxa"/>
            <w:shd w:val="clear" w:color="auto" w:fill="auto"/>
            <w:vAlign w:val="center"/>
          </w:tcPr>
          <w:p w14:paraId="2975E420">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791F14BA">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6235E0D0">
            <w:pPr>
              <w:spacing w:line="360" w:lineRule="exact"/>
              <w:jc w:val="center"/>
              <w:rPr>
                <w:rFonts w:hint="eastAsia" w:ascii="宋体" w:hAnsi="宋体" w:eastAsia="宋体" w:cs="宋体"/>
                <w:sz w:val="21"/>
                <w:szCs w:val="21"/>
              </w:rPr>
            </w:pPr>
          </w:p>
        </w:tc>
      </w:tr>
      <w:tr w14:paraId="12FDE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582" w:type="dxa"/>
            <w:shd w:val="clear" w:color="auto" w:fill="auto"/>
            <w:vAlign w:val="center"/>
          </w:tcPr>
          <w:p w14:paraId="06FA3DD5">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50" w:type="dxa"/>
            <w:shd w:val="clear" w:color="auto" w:fill="auto"/>
            <w:vAlign w:val="center"/>
          </w:tcPr>
          <w:p w14:paraId="2EDE954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音频设备盛为讯科/SwayAiSW-1204A/SW-2300F</w:t>
            </w:r>
          </w:p>
        </w:tc>
        <w:tc>
          <w:tcPr>
            <w:tcW w:w="5633" w:type="dxa"/>
            <w:shd w:val="clear" w:color="auto" w:fill="auto"/>
            <w:vAlign w:val="center"/>
          </w:tcPr>
          <w:p w14:paraId="278A8BEE">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音箱SwayAiSW-1204A：2只1.低音模组：4*4""；高音模组：1*34mm号角高音；2.额定阻抗：4Ω；3.额定功率：≥250W（1000W，PEAK）；4.特性灵敏度级（1m/1W）：≥93dB；5.指定频带内的声压级：≥115dB；6.有效频率范围：85Hz~20KHz；7.扩散角度：垂直20°，水平160°；8.箱体材质：铝合金；多媒体功率放大器SwayAiSW-2300F：1台；1.具高、中、低音调节旋钮，延时、节拍、回声调节旋钮。2.支持4路话筒输入，话筒插口采用卡侬/直插二合一万能座，每路话筒均具一个隐藏式音量调节旋钮。3.支持2组辅助线路输入，方便连接外部音源设备。4.支持1组混合音频输出，可连接至其它音频设备。5.前面板具1个话筒总音量控制旋钮，2个辅助音量控制旋钮。6.带+48V幻象供电，一个幻象开关，可打开或关闭4话筒幻象电源功能。7.具噪声门功能，无信号时自动关闭功放输出，降低噪声干扰。8.具有完善的保护措施，输出短路保护/直流保护/越温保护装置，扬声器保护装置，智能多级风扇变速控制散热。9.输出功率：8Ω 2*300W，4Ω 2*500W。10.总谐波失真：2*&lt;0.5%（1KHz，1W，16Ω）。11.后面板接口：TRS/XLR二合一头*4，XLR*4，莲花*4，输出：莲花*2，2组专用欧姆头输出接口。</w:t>
            </w:r>
          </w:p>
        </w:tc>
        <w:tc>
          <w:tcPr>
            <w:tcW w:w="650" w:type="dxa"/>
            <w:shd w:val="clear" w:color="auto" w:fill="auto"/>
            <w:vAlign w:val="center"/>
          </w:tcPr>
          <w:p w14:paraId="22118D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14:ligatures w14:val="none"/>
              </w:rPr>
            </w:pPr>
            <w:r>
              <w:rPr>
                <w:rFonts w:hint="eastAsia" w:ascii="宋体" w:hAnsi="宋体" w:eastAsia="宋体" w:cs="宋体"/>
                <w:i w:val="0"/>
                <w:iCs w:val="0"/>
                <w:color w:val="000000"/>
                <w:kern w:val="0"/>
                <w:sz w:val="21"/>
                <w:szCs w:val="21"/>
                <w:u w:val="none"/>
                <w:lang w:val="en-US" w:eastAsia="zh-CN" w:bidi="ar"/>
                <w14:ligatures w14:val="none"/>
              </w:rPr>
              <w:t>套</w:t>
            </w:r>
          </w:p>
        </w:tc>
        <w:tc>
          <w:tcPr>
            <w:tcW w:w="791" w:type="dxa"/>
            <w:shd w:val="clear" w:color="auto" w:fill="auto"/>
            <w:vAlign w:val="center"/>
          </w:tcPr>
          <w:p w14:paraId="41ED4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14:ligatures w14:val="none"/>
              </w:rPr>
            </w:pPr>
            <w:r>
              <w:rPr>
                <w:rFonts w:hint="eastAsia" w:ascii="宋体" w:hAnsi="宋体" w:eastAsia="宋体" w:cs="宋体"/>
                <w:i w:val="0"/>
                <w:iCs w:val="0"/>
                <w:color w:val="000000"/>
                <w:kern w:val="0"/>
                <w:sz w:val="21"/>
                <w:szCs w:val="21"/>
                <w:u w:val="none"/>
                <w:lang w:val="en-US" w:eastAsia="zh-CN" w:bidi="ar"/>
                <w14:ligatures w14:val="none"/>
              </w:rPr>
              <w:t>1</w:t>
            </w:r>
          </w:p>
        </w:tc>
        <w:tc>
          <w:tcPr>
            <w:tcW w:w="650" w:type="dxa"/>
            <w:shd w:val="clear" w:color="auto" w:fill="auto"/>
            <w:vAlign w:val="center"/>
          </w:tcPr>
          <w:p w14:paraId="6F5E3E79">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128AF1EC">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78CC5659">
            <w:pPr>
              <w:spacing w:line="360" w:lineRule="exact"/>
              <w:jc w:val="center"/>
              <w:rPr>
                <w:rFonts w:hint="eastAsia" w:ascii="宋体" w:hAnsi="宋体" w:eastAsia="宋体" w:cs="宋体"/>
                <w:sz w:val="21"/>
                <w:szCs w:val="21"/>
              </w:rPr>
            </w:pPr>
          </w:p>
        </w:tc>
      </w:tr>
      <w:tr w14:paraId="628F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jc w:val="center"/>
        </w:trPr>
        <w:tc>
          <w:tcPr>
            <w:tcW w:w="582" w:type="dxa"/>
            <w:shd w:val="clear" w:color="auto" w:fill="auto"/>
            <w:vAlign w:val="center"/>
          </w:tcPr>
          <w:p w14:paraId="0B6B6829">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50" w:type="dxa"/>
            <w:shd w:val="clear" w:color="auto" w:fill="auto"/>
            <w:vAlign w:val="center"/>
          </w:tcPr>
          <w:p w14:paraId="7F22309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静电地板</w:t>
            </w:r>
            <w:r>
              <w:rPr>
                <w:rFonts w:hint="eastAsia" w:ascii="宋体" w:hAnsi="宋体" w:eastAsia="宋体" w:cs="宋体"/>
                <w:sz w:val="21"/>
                <w:szCs w:val="21"/>
                <w:lang w:eastAsia="zh-CN"/>
              </w:rPr>
              <w:t>（</w:t>
            </w:r>
            <w:r>
              <w:rPr>
                <w:rFonts w:hint="eastAsia" w:ascii="宋体" w:hAnsi="宋体" w:eastAsia="宋体" w:cs="宋体"/>
                <w:sz w:val="21"/>
                <w:szCs w:val="21"/>
              </w:rPr>
              <w:t>宇科</w:t>
            </w:r>
            <w:r>
              <w:rPr>
                <w:rFonts w:hint="eastAsia" w:ascii="宋体" w:hAnsi="宋体" w:eastAsia="宋体" w:cs="宋体"/>
                <w:sz w:val="21"/>
                <w:szCs w:val="21"/>
                <w:lang w:eastAsia="zh-CN"/>
              </w:rPr>
              <w:t>）</w:t>
            </w:r>
          </w:p>
        </w:tc>
        <w:tc>
          <w:tcPr>
            <w:tcW w:w="5633" w:type="dxa"/>
            <w:shd w:val="clear" w:color="auto" w:fill="auto"/>
            <w:vAlign w:val="center"/>
          </w:tcPr>
          <w:p w14:paraId="373B7F7C">
            <w:pPr>
              <w:pStyle w:val="10"/>
              <w:adjustRightInd w:val="0"/>
              <w:snapToGrid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钢板壳机构，无缝瓷砖面，对地电阻，集中荷载(挠度)，集中荷载(残余变形)，均布荷载(挠度)，极限集中荷载符合GB/T 36340-2018标准，提供相关证明资料；</w:t>
            </w:r>
          </w:p>
        </w:tc>
        <w:tc>
          <w:tcPr>
            <w:tcW w:w="650" w:type="dxa"/>
            <w:shd w:val="clear" w:color="auto" w:fill="auto"/>
            <w:vAlign w:val="center"/>
          </w:tcPr>
          <w:p w14:paraId="59F94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14:ligatures w14:val="none"/>
              </w:rPr>
            </w:pPr>
            <w:r>
              <w:rPr>
                <w:rFonts w:hint="eastAsia" w:ascii="宋体" w:hAnsi="宋体" w:eastAsia="宋体" w:cs="宋体"/>
                <w:i w:val="0"/>
                <w:iCs w:val="0"/>
                <w:color w:val="000000"/>
                <w:kern w:val="0"/>
                <w:sz w:val="21"/>
                <w:szCs w:val="21"/>
                <w:u w:val="none"/>
                <w:lang w:val="en-US" w:eastAsia="zh-CN" w:bidi="ar"/>
                <w14:ligatures w14:val="none"/>
              </w:rPr>
              <w:t>㎡</w:t>
            </w:r>
          </w:p>
        </w:tc>
        <w:tc>
          <w:tcPr>
            <w:tcW w:w="791" w:type="dxa"/>
            <w:shd w:val="clear" w:color="auto" w:fill="auto"/>
            <w:vAlign w:val="center"/>
          </w:tcPr>
          <w:p w14:paraId="4D061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14:ligatures w14:val="none"/>
              </w:rPr>
            </w:pPr>
            <w:r>
              <w:rPr>
                <w:rFonts w:hint="eastAsia" w:ascii="宋体" w:hAnsi="宋体" w:eastAsia="宋体" w:cs="宋体"/>
                <w:i w:val="0"/>
                <w:iCs w:val="0"/>
                <w:color w:val="000000"/>
                <w:kern w:val="0"/>
                <w:sz w:val="21"/>
                <w:szCs w:val="21"/>
                <w:u w:val="none"/>
                <w:lang w:val="en-US" w:eastAsia="zh-CN" w:bidi="ar"/>
                <w14:ligatures w14:val="none"/>
              </w:rPr>
              <w:t>49.3</w:t>
            </w:r>
          </w:p>
        </w:tc>
        <w:tc>
          <w:tcPr>
            <w:tcW w:w="650" w:type="dxa"/>
            <w:shd w:val="clear" w:color="auto" w:fill="auto"/>
            <w:vAlign w:val="center"/>
          </w:tcPr>
          <w:p w14:paraId="5D11A0D1">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6715D935">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3081472A">
            <w:pPr>
              <w:spacing w:line="360" w:lineRule="exact"/>
              <w:jc w:val="center"/>
              <w:rPr>
                <w:rFonts w:hint="eastAsia" w:ascii="宋体" w:hAnsi="宋体" w:eastAsia="宋体" w:cs="宋体"/>
                <w:sz w:val="21"/>
                <w:szCs w:val="21"/>
              </w:rPr>
            </w:pPr>
          </w:p>
        </w:tc>
      </w:tr>
      <w:tr w14:paraId="26CB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582" w:type="dxa"/>
            <w:shd w:val="clear" w:color="auto" w:fill="auto"/>
            <w:vAlign w:val="center"/>
          </w:tcPr>
          <w:p w14:paraId="0F290D90">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950" w:type="dxa"/>
            <w:shd w:val="clear" w:color="auto" w:fill="auto"/>
            <w:vAlign w:val="center"/>
          </w:tcPr>
          <w:p w14:paraId="1EE13894">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辅材安装调试</w:t>
            </w:r>
          </w:p>
        </w:tc>
        <w:tc>
          <w:tcPr>
            <w:tcW w:w="5633" w:type="dxa"/>
            <w:shd w:val="clear" w:color="auto" w:fill="auto"/>
            <w:vAlign w:val="center"/>
          </w:tcPr>
          <w:p w14:paraId="41A2B3EC">
            <w:pPr>
              <w:pStyle w:val="10"/>
              <w:tabs>
                <w:tab w:val="left" w:pos="655"/>
              </w:tabs>
              <w:adjustRightInd w:val="0"/>
              <w:snapToGrid w:val="0"/>
              <w:spacing w:line="360" w:lineRule="exact"/>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备品备件艾比森/KL1.2COB同批模组5张，电源接收卡各两套；电缆线\网线\HDMI\话筒线\地插\等传输线材及屏体供电电缆，根据现场实际情况确定具体数量。为确保LED显示屏安装的平整度及施工的规范性，要求原厂技术人员进行设备的安装与调试、不锈钢包边整体效果。</w:t>
            </w:r>
            <w:r>
              <w:rPr>
                <w:rFonts w:hint="eastAsia" w:ascii="宋体" w:hAnsi="宋体" w:cs="宋体"/>
                <w:sz w:val="21"/>
                <w:szCs w:val="21"/>
                <w:lang w:eastAsia="zh-CN"/>
              </w:rPr>
              <w:t>环境改造服务（包含</w:t>
            </w:r>
            <w:r>
              <w:rPr>
                <w:rFonts w:hint="eastAsia" w:ascii="宋体" w:hAnsi="宋体" w:eastAsia="宋体" w:cs="宋体"/>
                <w:sz w:val="21"/>
                <w:szCs w:val="21"/>
                <w:lang w:eastAsia="zh-CN"/>
              </w:rPr>
              <w:t>墙体粉刷约71.15</w:t>
            </w:r>
            <w:r>
              <w:rPr>
                <w:rFonts w:hint="eastAsia" w:ascii="宋体" w:hAnsi="宋体" w:cs="宋体"/>
                <w:sz w:val="21"/>
                <w:szCs w:val="21"/>
                <w:lang w:eastAsia="zh-CN"/>
              </w:rPr>
              <w:t>㎡、</w:t>
            </w:r>
            <w:r>
              <w:rPr>
                <w:rFonts w:hint="eastAsia" w:ascii="宋体" w:hAnsi="宋体" w:eastAsia="宋体" w:cs="宋体"/>
                <w:sz w:val="21"/>
                <w:szCs w:val="21"/>
                <w:lang w:eastAsia="zh-CN"/>
              </w:rPr>
              <w:t>背景墙制作</w:t>
            </w:r>
            <w:r>
              <w:rPr>
                <w:rFonts w:hint="eastAsia" w:ascii="宋体" w:hAnsi="宋体" w:cs="宋体"/>
                <w:sz w:val="21"/>
                <w:szCs w:val="21"/>
                <w:lang w:eastAsia="zh-CN"/>
              </w:rPr>
              <w:t>、墙面</w:t>
            </w:r>
            <w:r>
              <w:rPr>
                <w:rFonts w:hint="eastAsia" w:ascii="宋体" w:hAnsi="宋体" w:eastAsia="宋体" w:cs="宋体"/>
                <w:sz w:val="21"/>
                <w:szCs w:val="21"/>
                <w:lang w:eastAsia="zh-CN"/>
              </w:rPr>
              <w:t>窗户封堵</w:t>
            </w:r>
            <w:r>
              <w:rPr>
                <w:rFonts w:hint="eastAsia" w:ascii="宋体" w:hAnsi="宋体" w:cs="宋体"/>
                <w:sz w:val="21"/>
                <w:szCs w:val="21"/>
                <w:lang w:eastAsia="zh-CN"/>
              </w:rPr>
              <w:t>、</w:t>
            </w:r>
            <w:r>
              <w:rPr>
                <w:rFonts w:hint="eastAsia" w:ascii="宋体" w:hAnsi="宋体" w:eastAsia="宋体" w:cs="宋体"/>
                <w:sz w:val="21"/>
                <w:szCs w:val="21"/>
                <w:lang w:eastAsia="zh-CN"/>
              </w:rPr>
              <w:t>增加照明设备6</w:t>
            </w:r>
            <w:r>
              <w:rPr>
                <w:rFonts w:hint="eastAsia" w:ascii="宋体" w:hAnsi="宋体" w:cs="宋体"/>
                <w:sz w:val="21"/>
                <w:szCs w:val="21"/>
                <w:lang w:eastAsia="zh-CN"/>
              </w:rPr>
              <w:t>处</w:t>
            </w:r>
            <w:r>
              <w:rPr>
                <w:rFonts w:hint="eastAsia" w:ascii="宋体" w:hAnsi="宋体" w:eastAsia="宋体" w:cs="宋体"/>
                <w:sz w:val="21"/>
                <w:szCs w:val="21"/>
                <w:lang w:eastAsia="zh-CN"/>
              </w:rPr>
              <w:t>；根据现场实际情况，满足使用方需求</w:t>
            </w:r>
            <w:r>
              <w:rPr>
                <w:rFonts w:hint="eastAsia" w:ascii="宋体" w:hAnsi="宋体" w:cs="宋体"/>
                <w:sz w:val="21"/>
                <w:szCs w:val="21"/>
                <w:lang w:eastAsia="zh-CN"/>
              </w:rPr>
              <w:t>）</w:t>
            </w:r>
          </w:p>
        </w:tc>
        <w:tc>
          <w:tcPr>
            <w:tcW w:w="650" w:type="dxa"/>
            <w:shd w:val="clear" w:color="auto" w:fill="auto"/>
            <w:vAlign w:val="center"/>
          </w:tcPr>
          <w:p w14:paraId="541072BE">
            <w:pPr>
              <w:spacing w:line="360" w:lineRule="exact"/>
              <w:jc w:val="center"/>
              <w:rPr>
                <w:rFonts w:hint="eastAsia" w:ascii="宋体" w:hAnsi="宋体" w:eastAsia="宋体" w:cs="宋体"/>
                <w:sz w:val="21"/>
                <w:szCs w:val="21"/>
                <w:lang w:eastAsia="zh-CN"/>
              </w:rPr>
            </w:pPr>
            <w:bookmarkStart w:id="3" w:name="_GoBack"/>
            <w:bookmarkEnd w:id="3"/>
          </w:p>
        </w:tc>
        <w:tc>
          <w:tcPr>
            <w:tcW w:w="791" w:type="dxa"/>
            <w:shd w:val="clear" w:color="auto" w:fill="auto"/>
            <w:vAlign w:val="center"/>
          </w:tcPr>
          <w:p w14:paraId="74A8C558">
            <w:pPr>
              <w:spacing w:line="360" w:lineRule="exact"/>
              <w:jc w:val="center"/>
              <w:rPr>
                <w:rFonts w:hint="default" w:ascii="宋体" w:hAnsi="宋体" w:eastAsia="宋体" w:cs="宋体"/>
                <w:sz w:val="21"/>
                <w:szCs w:val="21"/>
                <w:lang w:val="en-US" w:eastAsia="zh-CN"/>
              </w:rPr>
            </w:pPr>
          </w:p>
        </w:tc>
        <w:tc>
          <w:tcPr>
            <w:tcW w:w="650" w:type="dxa"/>
            <w:shd w:val="clear" w:color="auto" w:fill="auto"/>
            <w:vAlign w:val="center"/>
          </w:tcPr>
          <w:p w14:paraId="331CEEB9">
            <w:pPr>
              <w:spacing w:line="360" w:lineRule="exact"/>
              <w:jc w:val="center"/>
              <w:rPr>
                <w:rFonts w:hint="default" w:ascii="宋体" w:hAnsi="宋体" w:eastAsia="宋体" w:cs="宋体"/>
                <w:sz w:val="21"/>
                <w:szCs w:val="21"/>
                <w:lang w:val="en-US" w:eastAsia="zh-CN"/>
              </w:rPr>
            </w:pPr>
          </w:p>
        </w:tc>
        <w:tc>
          <w:tcPr>
            <w:tcW w:w="662" w:type="dxa"/>
            <w:shd w:val="clear" w:color="auto" w:fill="auto"/>
            <w:vAlign w:val="center"/>
          </w:tcPr>
          <w:p w14:paraId="205BBB3C">
            <w:pPr>
              <w:spacing w:line="360" w:lineRule="exact"/>
              <w:jc w:val="center"/>
              <w:rPr>
                <w:rFonts w:hint="default" w:ascii="宋体" w:hAnsi="宋体" w:eastAsia="宋体" w:cs="宋体"/>
                <w:sz w:val="21"/>
                <w:szCs w:val="21"/>
                <w:lang w:val="en-US" w:eastAsia="zh-CN"/>
              </w:rPr>
            </w:pPr>
          </w:p>
        </w:tc>
        <w:tc>
          <w:tcPr>
            <w:tcW w:w="700" w:type="dxa"/>
            <w:shd w:val="clear" w:color="auto" w:fill="auto"/>
            <w:vAlign w:val="center"/>
          </w:tcPr>
          <w:p w14:paraId="3356EB9D">
            <w:pPr>
              <w:spacing w:line="360" w:lineRule="exact"/>
              <w:jc w:val="center"/>
              <w:rPr>
                <w:rFonts w:hint="eastAsia" w:ascii="宋体" w:hAnsi="宋体" w:eastAsia="宋体" w:cs="宋体"/>
                <w:sz w:val="21"/>
                <w:szCs w:val="21"/>
              </w:rPr>
            </w:pPr>
          </w:p>
        </w:tc>
      </w:tr>
      <w:bookmarkEnd w:id="2"/>
    </w:tbl>
    <w:p w14:paraId="43C5EEBB">
      <w:pPr>
        <w:pStyle w:val="12"/>
        <w:ind w:firstLine="480"/>
        <w:rPr>
          <w:rFonts w:hint="eastAsia" w:ascii="仿宋_GB2312" w:hAnsi="仿宋_GB2312" w:eastAsia="仿宋_GB2312" w:cs="仿宋_GB2312"/>
          <w:color w:val="auto"/>
          <w:sz w:val="32"/>
          <w:szCs w:val="32"/>
        </w:rPr>
      </w:pPr>
    </w:p>
    <w:p w14:paraId="2D930C47">
      <w:pPr>
        <w:pStyle w:val="12"/>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采购需求</w:t>
      </w:r>
    </w:p>
    <w:p w14:paraId="2C2E365A">
      <w:pPr>
        <w:pStyle w:val="12"/>
        <w:ind w:firstLine="480"/>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bidi="ar-SA"/>
        </w:rPr>
        <w:t>1.视频显示系统要求采用COB工艺的LED大屏幕，其品牌型号及技术参数必须严格遵循提供的清单需求，确保完全满足；视频处理器方面，必须能够支持至少6路信号同时上墙显示，保证多信号源的流畅切换和展示。</w:t>
      </w:r>
    </w:p>
    <w:p w14:paraId="6D97F5BF">
      <w:pPr>
        <w:pStyle w:val="12"/>
        <w:widowControl w:val="0"/>
        <w:bidi w:val="0"/>
        <w:spacing w:line="560" w:lineRule="exact"/>
        <w:ind w:firstLine="640" w:firstLineChars="200"/>
        <w:jc w:val="both"/>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bidi="ar-SA"/>
        </w:rPr>
        <w:t>2.</w:t>
      </w:r>
      <w:r>
        <w:rPr>
          <w:rFonts w:hint="eastAsia" w:ascii="仿宋_GB2312" w:hAnsi="仿宋_GB2312" w:eastAsia="仿宋_GB2312" w:cs="仿宋_GB2312"/>
          <w:b/>
          <w:bCs/>
          <w:color w:val="auto"/>
          <w:kern w:val="2"/>
          <w:sz w:val="32"/>
          <w:szCs w:val="32"/>
          <w:lang w:bidi="ar-SA"/>
        </w:rPr>
        <w:t>关于售后服务的承诺，</w:t>
      </w:r>
      <w:r>
        <w:rPr>
          <w:rFonts w:hint="eastAsia" w:ascii="仿宋_GB2312" w:hAnsi="仿宋_GB2312" w:eastAsia="仿宋_GB2312" w:cs="仿宋_GB2312"/>
          <w:b/>
          <w:bCs/>
          <w:color w:val="auto"/>
          <w:kern w:val="2"/>
          <w:sz w:val="32"/>
          <w:szCs w:val="32"/>
          <w:lang w:eastAsia="zh-CN" w:bidi="ar-SA"/>
        </w:rPr>
        <w:t>满足</w:t>
      </w:r>
      <w:r>
        <w:rPr>
          <w:rFonts w:hint="eastAsia" w:ascii="仿宋_GB2312" w:hAnsi="仿宋_GB2312" w:eastAsia="仿宋_GB2312" w:cs="仿宋_GB2312"/>
          <w:b/>
          <w:bCs/>
          <w:color w:val="auto"/>
          <w:kern w:val="2"/>
          <w:sz w:val="32"/>
          <w:szCs w:val="32"/>
          <w:lang w:bidi="ar-SA"/>
        </w:rPr>
        <w:t>三年的质量保证期；同时，</w:t>
      </w:r>
      <w:r>
        <w:rPr>
          <w:rFonts w:hint="eastAsia" w:ascii="仿宋_GB2312" w:hAnsi="仿宋_GB2312" w:eastAsia="仿宋_GB2312" w:cs="仿宋_GB2312"/>
          <w:b/>
          <w:bCs/>
          <w:color w:val="auto"/>
          <w:kern w:val="2"/>
          <w:sz w:val="32"/>
          <w:szCs w:val="32"/>
          <w:lang w:eastAsia="zh-CN" w:bidi="ar-SA"/>
        </w:rPr>
        <w:t>需要</w:t>
      </w:r>
      <w:r>
        <w:rPr>
          <w:rFonts w:hint="eastAsia" w:ascii="仿宋_GB2312" w:hAnsi="仿宋_GB2312" w:eastAsia="仿宋_GB2312" w:cs="仿宋_GB2312"/>
          <w:b/>
          <w:bCs/>
          <w:color w:val="auto"/>
          <w:kern w:val="2"/>
          <w:sz w:val="32"/>
          <w:szCs w:val="32"/>
          <w:lang w:bidi="ar-SA"/>
        </w:rPr>
        <w:t>提供原厂出具的质量保证售后承诺函</w:t>
      </w:r>
      <w:r>
        <w:rPr>
          <w:rFonts w:hint="eastAsia" w:ascii="仿宋_GB2312" w:hAnsi="仿宋_GB2312" w:eastAsia="仿宋_GB2312" w:cs="仿宋_GB2312"/>
          <w:b/>
          <w:bCs/>
          <w:color w:val="auto"/>
          <w:kern w:val="2"/>
          <w:sz w:val="32"/>
          <w:szCs w:val="32"/>
          <w:lang w:eastAsia="zh-CN" w:bidi="ar-SA"/>
        </w:rPr>
        <w:t>及</w:t>
      </w:r>
      <w:r>
        <w:rPr>
          <w:rFonts w:hint="eastAsia" w:ascii="仿宋_GB2312" w:hAnsi="仿宋_GB2312" w:eastAsia="仿宋_GB2312" w:cs="仿宋_GB2312"/>
          <w:b/>
          <w:bCs/>
          <w:color w:val="auto"/>
          <w:kern w:val="2"/>
          <w:sz w:val="32"/>
          <w:szCs w:val="32"/>
          <w:lang w:bidi="ar-SA"/>
        </w:rPr>
        <w:t>原厂正品</w:t>
      </w:r>
      <w:r>
        <w:rPr>
          <w:rFonts w:hint="eastAsia" w:ascii="仿宋_GB2312" w:hAnsi="仿宋_GB2312" w:eastAsia="仿宋_GB2312" w:cs="仿宋_GB2312"/>
          <w:b/>
          <w:bCs/>
          <w:color w:val="auto"/>
          <w:kern w:val="2"/>
          <w:sz w:val="32"/>
          <w:szCs w:val="32"/>
          <w:lang w:eastAsia="zh-CN" w:bidi="ar-SA"/>
        </w:rPr>
        <w:t>的授权</w:t>
      </w:r>
      <w:r>
        <w:rPr>
          <w:rFonts w:hint="eastAsia" w:ascii="仿宋_GB2312" w:hAnsi="仿宋_GB2312" w:eastAsia="仿宋_GB2312" w:cs="仿宋_GB2312"/>
          <w:b/>
          <w:bCs/>
          <w:color w:val="auto"/>
          <w:kern w:val="2"/>
          <w:sz w:val="32"/>
          <w:szCs w:val="32"/>
          <w:lang w:bidi="ar-SA"/>
        </w:rPr>
        <w:t>说明书，以确保</w:t>
      </w:r>
      <w:r>
        <w:rPr>
          <w:rFonts w:hint="eastAsia" w:ascii="仿宋_GB2312" w:hAnsi="仿宋_GB2312" w:eastAsia="仿宋_GB2312" w:cs="仿宋_GB2312"/>
          <w:b/>
          <w:bCs/>
          <w:color w:val="auto"/>
          <w:kern w:val="2"/>
          <w:sz w:val="32"/>
          <w:szCs w:val="32"/>
          <w:lang w:eastAsia="zh-CN" w:bidi="ar-SA"/>
        </w:rPr>
        <w:t>用户</w:t>
      </w:r>
      <w:r>
        <w:rPr>
          <w:rFonts w:hint="eastAsia" w:ascii="仿宋_GB2312" w:hAnsi="仿宋_GB2312" w:eastAsia="仿宋_GB2312" w:cs="仿宋_GB2312"/>
          <w:b/>
          <w:bCs/>
          <w:color w:val="auto"/>
          <w:kern w:val="2"/>
          <w:sz w:val="32"/>
          <w:szCs w:val="32"/>
          <w:lang w:bidi="ar-SA"/>
        </w:rPr>
        <w:t>权益；</w:t>
      </w:r>
      <w:r>
        <w:rPr>
          <w:rFonts w:hint="eastAsia" w:ascii="仿宋_GB2312" w:hAnsi="仿宋_GB2312" w:eastAsia="仿宋_GB2312" w:cs="仿宋_GB2312"/>
          <w:b/>
          <w:bCs/>
          <w:color w:val="auto"/>
          <w:kern w:val="2"/>
          <w:sz w:val="32"/>
          <w:szCs w:val="32"/>
          <w:lang w:val="en-US" w:eastAsia="zh-CN" w:bidi="ar-SA"/>
        </w:rPr>
        <w:t>不提供视为无效响应；</w:t>
      </w:r>
    </w:p>
    <w:p w14:paraId="5BB5F0AD">
      <w:pPr>
        <w:pStyle w:val="12"/>
        <w:widowControl w:val="0"/>
        <w:bidi w:val="0"/>
        <w:spacing w:line="560" w:lineRule="exact"/>
        <w:ind w:firstLine="640" w:firstLineChars="200"/>
        <w:jc w:val="both"/>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bidi="ar-SA"/>
        </w:rPr>
        <w:t>3.对于售后服务人员的资质，</w:t>
      </w:r>
      <w:r>
        <w:rPr>
          <w:rFonts w:hint="eastAsia" w:ascii="仿宋_GB2312" w:hAnsi="仿宋_GB2312" w:eastAsia="仿宋_GB2312" w:cs="仿宋_GB2312"/>
          <w:color w:val="auto"/>
          <w:kern w:val="2"/>
          <w:sz w:val="32"/>
          <w:szCs w:val="32"/>
          <w:lang w:eastAsia="zh-CN" w:bidi="ar-SA"/>
        </w:rPr>
        <w:t>提供</w:t>
      </w:r>
      <w:r>
        <w:rPr>
          <w:rFonts w:hint="eastAsia" w:ascii="仿宋_GB2312" w:hAnsi="仿宋_GB2312" w:eastAsia="仿宋_GB2312" w:cs="仿宋_GB2312"/>
          <w:color w:val="auto"/>
          <w:kern w:val="2"/>
          <w:sz w:val="32"/>
          <w:szCs w:val="32"/>
          <w:lang w:bidi="ar-SA"/>
        </w:rPr>
        <w:t>技术人员本地缴纳社保证明资料，以证明其专业性和服务的可靠性，确保高质量的技术支持和服务。</w:t>
      </w:r>
    </w:p>
    <w:p w14:paraId="4383942E">
      <w:pPr>
        <w:pStyle w:val="12"/>
        <w:widowControl w:val="0"/>
        <w:bidi w:val="0"/>
        <w:spacing w:line="560" w:lineRule="exact"/>
        <w:ind w:firstLine="640" w:firstLineChars="200"/>
        <w:jc w:val="both"/>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bidi="ar-SA"/>
        </w:rPr>
        <w:t>4.</w:t>
      </w:r>
      <w:r>
        <w:rPr>
          <w:rFonts w:hint="eastAsia" w:ascii="仿宋_GB2312" w:hAnsi="仿宋_GB2312" w:eastAsia="仿宋_GB2312" w:cs="仿宋_GB2312"/>
          <w:color w:val="auto"/>
          <w:kern w:val="2"/>
          <w:sz w:val="32"/>
          <w:szCs w:val="32"/>
          <w:lang w:eastAsia="zh-CN" w:bidi="ar-SA"/>
        </w:rPr>
        <w:t>建设</w:t>
      </w:r>
      <w:r>
        <w:rPr>
          <w:rFonts w:hint="eastAsia" w:ascii="仿宋_GB2312" w:hAnsi="仿宋_GB2312" w:eastAsia="仿宋_GB2312" w:cs="仿宋_GB2312"/>
          <w:color w:val="auto"/>
          <w:kern w:val="2"/>
          <w:sz w:val="32"/>
          <w:szCs w:val="32"/>
          <w:lang w:bidi="ar-SA"/>
        </w:rPr>
        <w:t>系统将完全满足用户当前实际的视频显示需求以及音频出声需求，无论是清晰度、亮度还是音质，都将达到行业领先水平，确保用户</w:t>
      </w:r>
      <w:r>
        <w:rPr>
          <w:rFonts w:hint="eastAsia" w:ascii="仿宋_GB2312" w:hAnsi="仿宋_GB2312" w:eastAsia="仿宋_GB2312" w:cs="仿宋_GB2312"/>
          <w:color w:val="auto"/>
          <w:kern w:val="2"/>
          <w:sz w:val="32"/>
          <w:szCs w:val="32"/>
          <w:lang w:eastAsia="zh-CN" w:bidi="ar-SA"/>
        </w:rPr>
        <w:t>达到</w:t>
      </w:r>
      <w:r>
        <w:rPr>
          <w:rFonts w:hint="eastAsia" w:ascii="仿宋_GB2312" w:hAnsi="仿宋_GB2312" w:eastAsia="仿宋_GB2312" w:cs="仿宋_GB2312"/>
          <w:color w:val="auto"/>
          <w:kern w:val="2"/>
          <w:sz w:val="32"/>
          <w:szCs w:val="32"/>
          <w:lang w:bidi="ar-SA"/>
        </w:rPr>
        <w:t>最佳的视听体验。</w:t>
      </w:r>
    </w:p>
    <w:p w14:paraId="2FC70D62">
      <w:pPr>
        <w:pStyle w:val="12"/>
        <w:widowControl w:val="0"/>
        <w:bidi w:val="0"/>
        <w:spacing w:line="560" w:lineRule="exact"/>
        <w:ind w:firstLine="640" w:firstLineChars="200"/>
        <w:jc w:val="both"/>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bidi="ar-SA"/>
        </w:rPr>
        <w:t>（三）服务标准及要求</w:t>
      </w:r>
    </w:p>
    <w:p w14:paraId="77EE448E">
      <w:pPr>
        <w:pStyle w:val="12"/>
        <w:widowControl w:val="0"/>
        <w:bidi w:val="0"/>
        <w:spacing w:line="560" w:lineRule="exact"/>
        <w:ind w:firstLine="640" w:firstLineChars="200"/>
        <w:jc w:val="both"/>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bidi="ar-SA"/>
        </w:rPr>
        <w:t>1.中标方的报价必须包含所有相关费用，不得以费用已经使用完毕为借口，来延迟维修工作的时间或者拒绝进行维修工作，从而导致设备长时间无法投入使用。</w:t>
      </w:r>
    </w:p>
    <w:p w14:paraId="4334B75E">
      <w:pPr>
        <w:pStyle w:val="12"/>
        <w:widowControl w:val="0"/>
        <w:bidi w:val="0"/>
        <w:spacing w:line="560" w:lineRule="exact"/>
        <w:ind w:firstLine="640" w:firstLineChars="200"/>
        <w:jc w:val="both"/>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bidi="ar-SA"/>
        </w:rPr>
        <w:t>2.中标方在提供服务的过程中，必须遵守所有相关的行业标准和质量要求，确保服务的专业性和高效性。此外，</w:t>
      </w:r>
      <w:r>
        <w:rPr>
          <w:rFonts w:hint="eastAsia" w:ascii="仿宋_GB2312" w:hAnsi="仿宋_GB2312" w:eastAsia="仿宋_GB2312" w:cs="仿宋_GB2312"/>
          <w:b/>
          <w:bCs/>
          <w:color w:val="auto"/>
          <w:kern w:val="2"/>
          <w:sz w:val="32"/>
          <w:szCs w:val="32"/>
          <w:lang w:bidi="ar-SA"/>
        </w:rPr>
        <w:t>中标方还应当提供</w:t>
      </w:r>
      <w:r>
        <w:rPr>
          <w:rFonts w:hint="eastAsia" w:ascii="仿宋_GB2312" w:hAnsi="仿宋_GB2312" w:eastAsia="仿宋_GB2312" w:cs="仿宋_GB2312"/>
          <w:b/>
          <w:bCs/>
          <w:color w:val="auto"/>
          <w:kern w:val="2"/>
          <w:sz w:val="32"/>
          <w:szCs w:val="32"/>
          <w:lang w:val="en-US" w:eastAsia="zh-CN" w:bidi="ar-SA"/>
        </w:rPr>
        <w:t>7*24小时响应服务及</w:t>
      </w:r>
      <w:r>
        <w:rPr>
          <w:rFonts w:hint="eastAsia" w:ascii="仿宋_GB2312" w:hAnsi="仿宋_GB2312" w:eastAsia="仿宋_GB2312" w:cs="仿宋_GB2312"/>
          <w:b/>
          <w:bCs/>
          <w:color w:val="auto"/>
          <w:kern w:val="2"/>
          <w:sz w:val="32"/>
          <w:szCs w:val="32"/>
          <w:lang w:bidi="ar-SA"/>
        </w:rPr>
        <w:t>必要的技术支持和售后服务</w:t>
      </w:r>
      <w:r>
        <w:rPr>
          <w:rFonts w:hint="eastAsia" w:ascii="仿宋_GB2312" w:hAnsi="仿宋_GB2312" w:eastAsia="仿宋_GB2312" w:cs="仿宋_GB2312"/>
          <w:b/>
          <w:bCs/>
          <w:color w:val="auto"/>
          <w:kern w:val="2"/>
          <w:sz w:val="32"/>
          <w:szCs w:val="32"/>
          <w:lang w:eastAsia="zh-CN" w:bidi="ar-SA"/>
        </w:rPr>
        <w:t>承诺</w:t>
      </w:r>
      <w:r>
        <w:rPr>
          <w:rFonts w:hint="eastAsia" w:ascii="仿宋_GB2312" w:hAnsi="仿宋_GB2312" w:eastAsia="仿宋_GB2312" w:cs="仿宋_GB2312"/>
          <w:b/>
          <w:bCs/>
          <w:color w:val="auto"/>
          <w:kern w:val="2"/>
          <w:sz w:val="32"/>
          <w:szCs w:val="32"/>
          <w:lang w:bidi="ar-SA"/>
        </w:rPr>
        <w:t>，以满足用户的需求。</w:t>
      </w:r>
    </w:p>
    <w:p w14:paraId="3D14AF9B">
      <w:pPr>
        <w:pStyle w:val="12"/>
        <w:widowControl w:val="0"/>
        <w:bidi w:val="0"/>
        <w:spacing w:line="560" w:lineRule="exact"/>
        <w:ind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bidi="ar-SA"/>
        </w:rPr>
        <w:t>3.</w:t>
      </w:r>
      <w:r>
        <w:rPr>
          <w:rFonts w:hint="eastAsia" w:ascii="仿宋_GB2312" w:hAnsi="仿宋_GB2312" w:eastAsia="仿宋_GB2312" w:cs="仿宋_GB2312"/>
          <w:b/>
          <w:bCs/>
          <w:color w:val="auto"/>
          <w:kern w:val="2"/>
          <w:sz w:val="32"/>
          <w:szCs w:val="32"/>
          <w:lang w:val="en-US" w:eastAsia="zh-CN" w:bidi="ar-SA"/>
        </w:rPr>
        <w:t>投标方需要提供现场勘察用户盖章证明资料，提供视频显示系统连接拓扑图；不提供视为无效响应。</w:t>
      </w:r>
    </w:p>
    <w:p w14:paraId="0A3571D1">
      <w:pPr>
        <w:pStyle w:val="16"/>
        <w:ind w:firstLine="56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三、交货期、地点、验收方式</w:t>
      </w:r>
    </w:p>
    <w:p w14:paraId="0C61D57C">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（一）交货期</w:t>
      </w:r>
    </w:p>
    <w:p w14:paraId="09DF269C">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设备采购供货，</w:t>
      </w:r>
      <w:r>
        <w:rPr>
          <w:rFonts w:hint="eastAsia" w:ascii="仿宋_GB2312" w:hAnsi="仿宋_GB2312" w:eastAsia="仿宋_GB2312" w:cs="仿宋_GB2312"/>
          <w:color w:val="auto"/>
          <w:kern w:val="0"/>
          <w:sz w:val="32"/>
          <w:szCs w:val="32"/>
        </w:rPr>
        <w:t>中标方应在采购合同签订后</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rPr>
        <w:t>日内交货并完成安装调试</w:t>
      </w:r>
      <w:r>
        <w:rPr>
          <w:rFonts w:hint="eastAsia" w:ascii="仿宋_GB2312" w:hAnsi="仿宋_GB2312" w:eastAsia="仿宋_GB2312" w:cs="仿宋_GB2312"/>
          <w:color w:val="auto"/>
          <w:kern w:val="0"/>
          <w:sz w:val="32"/>
          <w:szCs w:val="32"/>
          <w:lang w:eastAsia="zh-CN"/>
        </w:rPr>
        <w:t>（具体时间按照采购方需求确定）</w:t>
      </w:r>
      <w:r>
        <w:rPr>
          <w:rFonts w:hint="eastAsia" w:ascii="仿宋_GB2312" w:hAnsi="仿宋_GB2312" w:eastAsia="仿宋_GB2312" w:cs="仿宋_GB2312"/>
          <w:color w:val="auto"/>
          <w:kern w:val="0"/>
          <w:sz w:val="32"/>
          <w:szCs w:val="32"/>
        </w:rPr>
        <w:t>。</w:t>
      </w:r>
    </w:p>
    <w:p w14:paraId="343DAB64">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（二）交货地点</w:t>
      </w:r>
    </w:p>
    <w:p w14:paraId="61394992">
      <w:pPr>
        <w:pStyle w:val="12"/>
        <w:ind w:firstLine="48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五五新镇交警大队</w:t>
      </w:r>
    </w:p>
    <w:p w14:paraId="05245FA5">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(三)验收方式</w:t>
      </w:r>
    </w:p>
    <w:p w14:paraId="2CBA77DD">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1、货物到达现场后，中标方应在使用单位人员在场情况下当面开箱，共同清点、检查外观，作出开箱记录，双方签字确认。</w:t>
      </w:r>
    </w:p>
    <w:p w14:paraId="70D72631">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2、中标方应保证货物到达采购人所在地完好无损，如有缺漏、损坏，由供应商负责调换、补齐或赔偿。</w:t>
      </w:r>
    </w:p>
    <w:p w14:paraId="6E74BE3E">
      <w:pPr>
        <w:pStyle w:val="12"/>
        <w:ind w:firstLine="48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3、中标方应提供完备的技术资料、装箱单和合格证等，并派遣专业技术人员进行现场安装调试。验收合格条件如下</w:t>
      </w:r>
      <w:r>
        <w:rPr>
          <w:rFonts w:hint="eastAsia" w:ascii="仿宋_GB2312" w:hAnsi="仿宋_GB2312" w:eastAsia="仿宋_GB2312" w:cs="仿宋_GB2312"/>
          <w:color w:val="auto"/>
          <w:kern w:val="0"/>
          <w:sz w:val="32"/>
          <w:szCs w:val="32"/>
          <w:lang w:eastAsia="zh-CN"/>
        </w:rPr>
        <w:t>：</w:t>
      </w:r>
    </w:p>
    <w:p w14:paraId="7FC1B745">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3.1设备技术参数与采购合同一致，性能指标达到规定的标准。</w:t>
      </w:r>
    </w:p>
    <w:p w14:paraId="6E8CA4AE">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3.2货物技术资料、装箱单、合格证等资料齐全。</w:t>
      </w:r>
    </w:p>
    <w:p w14:paraId="4BC92D47">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3.3在系统试运行期间所出现的问题得到解决，并运行正常。</w:t>
      </w:r>
    </w:p>
    <w:p w14:paraId="652BE630">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3.4在规定时间内交货和验收，并经采购人确认。</w:t>
      </w:r>
    </w:p>
    <w:p w14:paraId="0BE7BA2A">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4、产品在安装调试并试运行符合要求后，才作为最终验收。</w:t>
      </w:r>
    </w:p>
    <w:p w14:paraId="7A2F3277">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5、供应商提供的货物未达到采购文件规定要求，且对采购人造成损失的，由供应商承担一切责任，并赔偿所造成的损失。</w:t>
      </w:r>
    </w:p>
    <w:p w14:paraId="1C586924">
      <w:pPr>
        <w:pStyle w:val="12"/>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、产品包装材料归采购人所有。</w:t>
      </w:r>
    </w:p>
    <w:p w14:paraId="77A6B65D">
      <w:pPr>
        <w:pStyle w:val="16"/>
        <w:ind w:firstLine="56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、其他</w:t>
      </w:r>
    </w:p>
    <w:p w14:paraId="2389D480">
      <w:pPr>
        <w:pStyle w:val="12"/>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中标方必须在响应文件中对以上条款和服务承诺明确列出，承诺内容必须达到采购方要求。</w:t>
      </w:r>
    </w:p>
    <w:p w14:paraId="23029048">
      <w:pPr>
        <w:pStyle w:val="12"/>
        <w:ind w:firstLine="48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2投标方需上传设备价格表及采购需求中标黑部分佐证材料或承诺函，采购方对其材料审核。</w:t>
      </w:r>
    </w:p>
    <w:p w14:paraId="42BC1D25">
      <w:pPr>
        <w:pStyle w:val="12"/>
        <w:ind w:firstLine="480"/>
        <w:rPr>
          <w:rFonts w:hint="eastAsia"/>
          <w:kern w:val="0"/>
          <w:lang w:val="en-US" w:eastAsia="zh-CN"/>
        </w:rPr>
      </w:pPr>
    </w:p>
    <w:p w14:paraId="7F78AEFF">
      <w:pPr>
        <w:pStyle w:val="12"/>
        <w:ind w:firstLine="480"/>
        <w:rPr>
          <w:rFonts w:hint="eastAsia"/>
          <w:kern w:val="0"/>
          <w:lang w:val="en-US" w:eastAsia="zh-CN"/>
        </w:rPr>
      </w:pPr>
    </w:p>
    <w:p w14:paraId="67641312">
      <w:pPr>
        <w:pStyle w:val="12"/>
        <w:ind w:firstLine="480"/>
        <w:rPr>
          <w:rFonts w:hint="default"/>
          <w:b/>
          <w:bCs/>
          <w:kern w:val="0"/>
          <w:sz w:val="36"/>
          <w:szCs w:val="36"/>
          <w:lang w:val="en-US" w:eastAsia="zh-CN"/>
        </w:rPr>
      </w:pPr>
      <w:r>
        <w:rPr>
          <w:rFonts w:hint="eastAsia"/>
          <w:b/>
          <w:bCs/>
          <w:kern w:val="0"/>
          <w:sz w:val="36"/>
          <w:szCs w:val="36"/>
          <w:lang w:val="en-US" w:eastAsia="zh-CN"/>
        </w:rPr>
        <w:t>采购方咨询联系人：交警支队李警官17797908232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NDFhYmJiNjkyMGI3MDIwNThiZWRjZjk0MWJlNmIifQ=="/>
  </w:docVars>
  <w:rsids>
    <w:rsidRoot w:val="00260724"/>
    <w:rsid w:val="000329E1"/>
    <w:rsid w:val="00065685"/>
    <w:rsid w:val="00144D8D"/>
    <w:rsid w:val="00192BE5"/>
    <w:rsid w:val="001F58CA"/>
    <w:rsid w:val="00260724"/>
    <w:rsid w:val="002B0F17"/>
    <w:rsid w:val="002C2CF7"/>
    <w:rsid w:val="00343362"/>
    <w:rsid w:val="003909CA"/>
    <w:rsid w:val="0040154E"/>
    <w:rsid w:val="0053040B"/>
    <w:rsid w:val="005C0CBF"/>
    <w:rsid w:val="005E2F17"/>
    <w:rsid w:val="005E2F32"/>
    <w:rsid w:val="00641E64"/>
    <w:rsid w:val="00720328"/>
    <w:rsid w:val="0072174C"/>
    <w:rsid w:val="00746CD1"/>
    <w:rsid w:val="00802886"/>
    <w:rsid w:val="00852314"/>
    <w:rsid w:val="00866F5D"/>
    <w:rsid w:val="0093323A"/>
    <w:rsid w:val="00990A7D"/>
    <w:rsid w:val="009B4338"/>
    <w:rsid w:val="009D3773"/>
    <w:rsid w:val="00A41677"/>
    <w:rsid w:val="00A5579C"/>
    <w:rsid w:val="00BF60F5"/>
    <w:rsid w:val="00C021D5"/>
    <w:rsid w:val="00C202E7"/>
    <w:rsid w:val="00C5076F"/>
    <w:rsid w:val="00D22F00"/>
    <w:rsid w:val="00D375F9"/>
    <w:rsid w:val="00D550CF"/>
    <w:rsid w:val="00FB2C91"/>
    <w:rsid w:val="00FF1234"/>
    <w:rsid w:val="04455AD9"/>
    <w:rsid w:val="0A2119C1"/>
    <w:rsid w:val="0AFA1610"/>
    <w:rsid w:val="0DBF68FD"/>
    <w:rsid w:val="0F317386"/>
    <w:rsid w:val="11AE06CC"/>
    <w:rsid w:val="14BE790E"/>
    <w:rsid w:val="16A3782B"/>
    <w:rsid w:val="22EC5968"/>
    <w:rsid w:val="296465DA"/>
    <w:rsid w:val="2B836D64"/>
    <w:rsid w:val="34AA5361"/>
    <w:rsid w:val="3C2C21FB"/>
    <w:rsid w:val="40520F90"/>
    <w:rsid w:val="43A55029"/>
    <w:rsid w:val="4E243A9A"/>
    <w:rsid w:val="57793F4E"/>
    <w:rsid w:val="59EE16C8"/>
    <w:rsid w:val="5A19426B"/>
    <w:rsid w:val="608F38F8"/>
    <w:rsid w:val="60E94759"/>
    <w:rsid w:val="67BA6344"/>
    <w:rsid w:val="6B054AC4"/>
    <w:rsid w:val="6E203527"/>
    <w:rsid w:val="6E2275B0"/>
    <w:rsid w:val="6F716A32"/>
    <w:rsid w:val="79A3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楷体_GB2312" w:cs="Times New Roman"/>
      <w:kern w:val="2"/>
      <w:sz w:val="26"/>
      <w:szCs w:val="20"/>
      <w:lang w:val="en-US" w:eastAsia="zh-CN" w:bidi="ar-SA"/>
      <w14:ligatures w14:val="none"/>
    </w:rPr>
  </w:style>
  <w:style w:type="paragraph" w:styleId="2">
    <w:name w:val="heading 4"/>
    <w:basedOn w:val="1"/>
    <w:next w:val="1"/>
    <w:link w:val="20"/>
    <w:autoRedefine/>
    <w:qFormat/>
    <w:uiPriority w:val="0"/>
    <w:pPr>
      <w:keepNext/>
      <w:widowControl/>
      <w:jc w:val="left"/>
      <w:outlineLvl w:val="3"/>
    </w:pPr>
    <w:rPr>
      <w:rFonts w:ascii="宋体" w:hAnsi="宋体" w:eastAsia="宋体"/>
      <w:b/>
      <w:bCs/>
      <w:w w:val="80"/>
      <w:sz w:val="24"/>
    </w:rPr>
  </w:style>
  <w:style w:type="paragraph" w:styleId="3">
    <w:name w:val="heading 8"/>
    <w:basedOn w:val="1"/>
    <w:next w:val="1"/>
    <w:link w:val="2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2"/>
    <w:autoRedefine/>
    <w:qFormat/>
    <w:uiPriority w:val="99"/>
    <w:pPr>
      <w:jc w:val="left"/>
    </w:pPr>
    <w:rPr>
      <w:rFonts w:ascii="宋体" w:eastAsia="宋体"/>
      <w:sz w:val="24"/>
    </w:r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tabs>
        <w:tab w:val="center" w:pos="4153"/>
        <w:tab w:val="right" w:pos="8306"/>
      </w:tabs>
      <w:snapToGrid w:val="0"/>
      <w:jc w:val="center"/>
    </w:pPr>
    <w:rPr>
      <w:sz w:val="18"/>
      <w:szCs w:val="18"/>
    </w:rPr>
  </w:style>
  <w:style w:type="table" w:styleId="8">
    <w:name w:val="Table Grid"/>
    <w:basedOn w:val="7"/>
    <w:autoRedefine/>
    <w:qFormat/>
    <w:uiPriority w:val="5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1"/>
    <w:autoRedefine/>
    <w:qFormat/>
    <w:uiPriority w:val="0"/>
    <w:pPr>
      <w:ind w:firstLine="420" w:firstLineChars="200"/>
    </w:pPr>
    <w:rPr>
      <w:rFonts w:ascii="Calibri" w:hAnsi="Calibri" w:eastAsia="宋体"/>
      <w:sz w:val="21"/>
      <w:szCs w:val="22"/>
    </w:rPr>
  </w:style>
  <w:style w:type="character" w:customStyle="1" w:styleId="11">
    <w:name w:val="列表段落 字符"/>
    <w:link w:val="10"/>
    <w:autoRedefine/>
    <w:qFormat/>
    <w:uiPriority w:val="0"/>
    <w:rPr>
      <w:rFonts w:ascii="Calibri" w:hAnsi="Calibri" w:eastAsia="宋体" w:cs="Times New Roman"/>
      <w14:ligatures w14:val="none"/>
    </w:rPr>
  </w:style>
  <w:style w:type="paragraph" w:customStyle="1" w:styleId="12">
    <w:name w:val="采购正文"/>
    <w:link w:val="13"/>
    <w:autoRedefine/>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14:ligatures w14:val="none"/>
    </w:rPr>
  </w:style>
  <w:style w:type="character" w:customStyle="1" w:styleId="13">
    <w:name w:val="采购正文 Char"/>
    <w:link w:val="12"/>
    <w:autoRedefine/>
    <w:qFormat/>
    <w:uiPriority w:val="0"/>
    <w:rPr>
      <w:rFonts w:ascii="仿宋" w:hAnsi="仿宋" w:eastAsia="仿宋" w:cs="Times New Roman"/>
      <w:sz w:val="24"/>
      <w:szCs w:val="24"/>
      <w14:ligatures w14:val="none"/>
    </w:rPr>
  </w:style>
  <w:style w:type="paragraph" w:customStyle="1" w:styleId="14">
    <w:name w:val="采购一级"/>
    <w:link w:val="15"/>
    <w:autoRedefine/>
    <w:qFormat/>
    <w:uiPriority w:val="0"/>
    <w:pPr>
      <w:widowControl w:val="0"/>
      <w:autoSpaceDE w:val="0"/>
      <w:autoSpaceDN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14:ligatures w14:val="none"/>
    </w:rPr>
  </w:style>
  <w:style w:type="character" w:customStyle="1" w:styleId="15">
    <w:name w:val="采购一级 Char"/>
    <w:link w:val="14"/>
    <w:autoRedefine/>
    <w:qFormat/>
    <w:uiPriority w:val="0"/>
    <w:rPr>
      <w:rFonts w:ascii="方正小标宋简体" w:hAnsi="仿宋" w:eastAsia="方正小标宋简体" w:cs="Times New Roman"/>
      <w:b/>
      <w:kern w:val="44"/>
      <w:sz w:val="36"/>
      <w:szCs w:val="36"/>
      <w14:ligatures w14:val="none"/>
    </w:rPr>
  </w:style>
  <w:style w:type="paragraph" w:customStyle="1" w:styleId="16">
    <w:name w:val="采购二级"/>
    <w:link w:val="17"/>
    <w:autoRedefine/>
    <w:qFormat/>
    <w:uiPriority w:val="0"/>
    <w:pPr>
      <w:widowControl w:val="0"/>
      <w:spacing w:line="560" w:lineRule="exact"/>
      <w:ind w:firstLine="200" w:firstLineChars="200"/>
      <w:jc w:val="both"/>
      <w:outlineLvl w:val="1"/>
    </w:pPr>
    <w:rPr>
      <w:rFonts w:ascii="仿宋" w:hAnsi="仿宋" w:eastAsia="仿宋" w:cs="Times New Roman"/>
      <w:b/>
      <w:kern w:val="2"/>
      <w:sz w:val="28"/>
      <w:szCs w:val="32"/>
      <w:lang w:val="en-US" w:eastAsia="zh-CN" w:bidi="ar-SA"/>
      <w14:ligatures w14:val="none"/>
    </w:rPr>
  </w:style>
  <w:style w:type="character" w:customStyle="1" w:styleId="17">
    <w:name w:val="采购二级 Char"/>
    <w:link w:val="16"/>
    <w:autoRedefine/>
    <w:qFormat/>
    <w:uiPriority w:val="0"/>
    <w:rPr>
      <w:rFonts w:ascii="仿宋" w:hAnsi="仿宋" w:eastAsia="仿宋" w:cs="Times New Roman"/>
      <w:b/>
      <w:sz w:val="28"/>
      <w:szCs w:val="32"/>
      <w14:ligatures w14:val="none"/>
    </w:rPr>
  </w:style>
  <w:style w:type="character" w:customStyle="1" w:styleId="18">
    <w:name w:val="页眉 字符"/>
    <w:basedOn w:val="9"/>
    <w:link w:val="6"/>
    <w:autoRedefine/>
    <w:qFormat/>
    <w:uiPriority w:val="99"/>
    <w:rPr>
      <w:rFonts w:ascii="Times New Roman" w:hAnsi="Times New Roman" w:eastAsia="楷体_GB2312" w:cs="Times New Roman"/>
      <w:sz w:val="18"/>
      <w:szCs w:val="18"/>
      <w14:ligatures w14:val="none"/>
    </w:rPr>
  </w:style>
  <w:style w:type="character" w:customStyle="1" w:styleId="19">
    <w:name w:val="页脚 字符"/>
    <w:basedOn w:val="9"/>
    <w:link w:val="5"/>
    <w:autoRedefine/>
    <w:qFormat/>
    <w:uiPriority w:val="99"/>
    <w:rPr>
      <w:rFonts w:ascii="Times New Roman" w:hAnsi="Times New Roman" w:eastAsia="楷体_GB2312" w:cs="Times New Roman"/>
      <w:sz w:val="18"/>
      <w:szCs w:val="18"/>
      <w14:ligatures w14:val="none"/>
    </w:rPr>
  </w:style>
  <w:style w:type="character" w:customStyle="1" w:styleId="20">
    <w:name w:val="标题 4 字符"/>
    <w:basedOn w:val="9"/>
    <w:link w:val="2"/>
    <w:autoRedefine/>
    <w:qFormat/>
    <w:uiPriority w:val="0"/>
    <w:rPr>
      <w:rFonts w:ascii="宋体" w:hAnsi="宋体" w:eastAsia="宋体" w:cs="Times New Roman"/>
      <w:b/>
      <w:bCs/>
      <w:w w:val="80"/>
      <w:sz w:val="24"/>
      <w:szCs w:val="20"/>
      <w14:ligatures w14:val="none"/>
    </w:rPr>
  </w:style>
  <w:style w:type="character" w:customStyle="1" w:styleId="21">
    <w:name w:val="标题 8 字符"/>
    <w:basedOn w:val="9"/>
    <w:link w:val="3"/>
    <w:autoRedefine/>
    <w:qFormat/>
    <w:uiPriority w:val="0"/>
    <w:rPr>
      <w:rFonts w:asciiTheme="majorHAnsi" w:hAnsiTheme="majorHAnsi" w:eastAsiaTheme="majorEastAsia" w:cstheme="majorBidi"/>
      <w:sz w:val="24"/>
      <w:szCs w:val="24"/>
      <w14:ligatures w14:val="none"/>
    </w:rPr>
  </w:style>
  <w:style w:type="character" w:customStyle="1" w:styleId="22">
    <w:name w:val="正文文本 字符"/>
    <w:basedOn w:val="9"/>
    <w:link w:val="4"/>
    <w:autoRedefine/>
    <w:qFormat/>
    <w:uiPriority w:val="99"/>
    <w:rPr>
      <w:rFonts w:ascii="宋体" w:hAnsi="Times New Roman" w:eastAsia="宋体" w:cs="Times New Roman"/>
      <w:sz w:val="24"/>
      <w:szCs w:val="20"/>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C8C4-851C-499B-9493-C2CE734E53C1}">
  <ds:schemaRefs/>
</ds:datastoreItem>
</file>

<file path=docProps/app.xml><?xml version="1.0" encoding="utf-8"?>
<Properties xmlns="http://schemas.openxmlformats.org/officeDocument/2006/extended-properties" xmlns:vt="http://schemas.openxmlformats.org/officeDocument/2006/docPropsVTypes">
  <Template>Normal</Template>
  <Pages>10</Pages>
  <Words>5859</Words>
  <Characters>6858</Characters>
  <Lines>80</Lines>
  <Paragraphs>22</Paragraphs>
  <TotalTime>28</TotalTime>
  <ScaleCrop>false</ScaleCrop>
  <LinksUpToDate>false</LinksUpToDate>
  <CharactersWithSpaces>6885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2024-04-07T02:14:00Z</dcterms:created>
  <dc:creator>qiang yuan</dc:creator>
  <cp:lastModifiedBy>江南</cp:lastModifiedBy>
  <dcterms:modified xsi:type="dcterms:W3CDTF">2025-03-18T11:25:56Z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2DAE90DE03324A179485C0EE97C0BF35_13</vt:lpwstr>
  </property>
  <property fmtid="{D5CDD505-2E9C-101B-9397-08002B2CF9AE}" pid="4" name="KSOTemplateDocerSaveRecord">
    <vt:lpwstr>eyJoZGlkIjoiY2E0NmNmMzQ4MmRmZjM3NDJiYzE4ZGRhYjUxYmZjOTkiLCJ1c2VySWQiOiIyNjk1OTEwNDUifQ==</vt:lpwstr>
  </property>
</Properties>
</file>