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36"/>
          <w:szCs w:val="36"/>
        </w:rPr>
      </w:pPr>
      <w:r>
        <w:rPr>
          <w:rFonts w:hint="eastAsia" w:ascii="方正小标宋_GBK" w:hAnsi="仿宋" w:eastAsia="方正小标宋_GBK" w:cs="Times New Roman"/>
          <w:color w:val="000000"/>
          <w:sz w:val="36"/>
          <w:szCs w:val="36"/>
          <w:highlight w:val="yellow"/>
          <w:lang w:val="en-US" w:eastAsia="zh-CN"/>
        </w:rPr>
        <w:t>临床检验中心ABL800血气配件购置需求</w:t>
      </w:r>
    </w:p>
    <w:p>
      <w:pPr>
        <w:spacing w:line="460" w:lineRule="exact"/>
        <w:ind w:firstLine="640" w:firstLineChars="200"/>
        <w:rPr>
          <w:rFonts w:ascii="仿宋_GB2312" w:hAnsi="仿宋" w:eastAsia="仿宋_GB2312"/>
          <w:sz w:val="32"/>
          <w:szCs w:val="32"/>
        </w:rPr>
      </w:pP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投标人资格条件</w:t>
      </w:r>
    </w:p>
    <w:p>
      <w:pPr>
        <w:spacing w:line="460" w:lineRule="exact"/>
        <w:ind w:firstLine="560" w:firstLineChars="200"/>
        <w:rPr>
          <w:rFonts w:ascii="华文中宋" w:hAnsi="华文中宋" w:eastAsia="华文中宋" w:cs="Times New Roman"/>
          <w:color w:val="FF0000"/>
          <w:sz w:val="28"/>
          <w:szCs w:val="28"/>
        </w:rPr>
      </w:pP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（一）</w:t>
      </w:r>
      <w:r>
        <w:rPr>
          <w:rFonts w:hint="eastAsia" w:ascii="仿宋_GB2312" w:hAnsi="仿宋" w:eastAsia="仿宋_GB2312"/>
          <w:sz w:val="32"/>
          <w:szCs w:val="32"/>
        </w:rPr>
        <w:t>一般资格条件</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具有独立承担民事责任的能力；</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具有良好的商业信誉和健全的财务会计制度；</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具有履行合同所必需的设备和专业技术能力；</w:t>
      </w:r>
    </w:p>
    <w:p>
      <w:pPr>
        <w:tabs>
          <w:tab w:val="left" w:pos="1134"/>
        </w:tabs>
        <w:snapToGrid w:val="0"/>
        <w:spacing w:line="460" w:lineRule="exact"/>
        <w:ind w:left="709"/>
        <w:rPr>
          <w:rFonts w:ascii="仿宋_GB2312" w:hAnsi="仿宋" w:eastAsia="仿宋_GB2312" w:cs="Times New Roman"/>
          <w:sz w:val="32"/>
          <w:szCs w:val="32"/>
        </w:rPr>
      </w:pPr>
      <w:bookmarkStart w:id="0" w:name="OLE_LINK5"/>
      <w:r>
        <w:rPr>
          <w:rFonts w:hint="eastAsia" w:ascii="仿宋_GB2312" w:hAnsi="仿宋" w:eastAsia="仿宋_GB2312" w:cs="Times New Roman"/>
          <w:sz w:val="32"/>
          <w:szCs w:val="32"/>
          <w:highlight w:val="yellow"/>
        </w:rPr>
        <w:t>无</w:t>
      </w:r>
    </w:p>
    <w:bookmarkEnd w:id="0"/>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有依法缴纳税收和社会保障资金的良好记录；</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参加政府采购活动前三年内，未因违法经营受到刑事处罚或者责令停产停业、吊销许可证或者执照、较大数额罚款等行政处罚。</w:t>
      </w:r>
      <w:r>
        <w:rPr>
          <w:rFonts w:ascii="仿宋_GB2312" w:hAnsi="仿宋" w:eastAsia="仿宋_GB2312" w:cs="Times New Roman"/>
          <w:sz w:val="32"/>
          <w:szCs w:val="32"/>
        </w:rPr>
        <w:tab/>
      </w:r>
    </w:p>
    <w:p>
      <w:pPr>
        <w:tabs>
          <w:tab w:val="left" w:pos="1134"/>
        </w:tabs>
        <w:snapToGrid w:val="0"/>
        <w:spacing w:line="460" w:lineRule="exact"/>
        <w:ind w:left="480"/>
        <w:rPr>
          <w:rFonts w:ascii="仿宋_GB2312" w:hAnsi="仿宋" w:eastAsia="仿宋_GB2312"/>
          <w:sz w:val="32"/>
          <w:szCs w:val="32"/>
        </w:rPr>
      </w:pPr>
      <w:r>
        <w:rPr>
          <w:rFonts w:hint="eastAsia" w:ascii="仿宋_GB2312" w:hAnsi="仿宋" w:eastAsia="仿宋_GB2312"/>
          <w:sz w:val="32"/>
          <w:szCs w:val="32"/>
        </w:rPr>
        <w:t>（二）特定资格条件</w:t>
      </w:r>
    </w:p>
    <w:p>
      <w:pPr>
        <w:tabs>
          <w:tab w:val="left" w:pos="1134"/>
        </w:tabs>
        <w:snapToGrid w:val="0"/>
        <w:spacing w:line="460" w:lineRule="exact"/>
        <w:ind w:left="709"/>
        <w:rPr>
          <w:rFonts w:ascii="仿宋_GB2312" w:hAnsi="仿宋" w:eastAsia="仿宋_GB2312"/>
          <w:sz w:val="32"/>
          <w:szCs w:val="32"/>
        </w:rPr>
      </w:pPr>
      <w:r>
        <w:rPr>
          <w:rFonts w:hint="eastAsia" w:ascii="仿宋_GB2312" w:hAnsi="仿宋" w:eastAsia="仿宋_GB2312" w:cs="Times New Roman"/>
          <w:sz w:val="32"/>
          <w:szCs w:val="32"/>
          <w:highlight w:val="yellow"/>
        </w:rPr>
        <w:t>无</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（三）联合体投标</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本项目不接受联合体投标</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项目技术规格、数量及质量要求</w:t>
      </w:r>
    </w:p>
    <w:p>
      <w:pPr>
        <w:spacing w:line="460" w:lineRule="exact"/>
        <w:ind w:left="640"/>
        <w:rPr>
          <w:rFonts w:ascii="仿宋_GB2312" w:hAnsi="仿宋" w:eastAsia="仿宋_GB2312" w:cs="Times New Roman"/>
          <w:color w:val="000000"/>
          <w:sz w:val="32"/>
          <w:szCs w:val="32"/>
        </w:rPr>
      </w:pPr>
      <w:bookmarkStart w:id="1" w:name="_Toc438456195"/>
      <w:r>
        <w:rPr>
          <w:rFonts w:hint="eastAsia" w:ascii="仿宋_GB2312" w:hAnsi="仿宋" w:eastAsia="仿宋_GB2312" w:cs="Times New Roman"/>
          <w:color w:val="000000"/>
          <w:sz w:val="32"/>
          <w:szCs w:val="32"/>
        </w:rPr>
        <w:t>（一）采购项目一览表</w:t>
      </w:r>
      <w:bookmarkEnd w:id="1"/>
    </w:p>
    <w:tbl>
      <w:tblPr>
        <w:tblStyle w:val="5"/>
        <w:tblW w:w="9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2935"/>
        <w:gridCol w:w="851"/>
        <w:gridCol w:w="1134"/>
        <w:gridCol w:w="1773"/>
        <w:gridCol w:w="1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ascii="仿宋" w:hAnsi="仿宋" w:eastAsia="仿宋"/>
                <w:b/>
              </w:rPr>
            </w:pPr>
            <w:r>
              <w:rPr>
                <w:rFonts w:hint="eastAsia" w:ascii="仿宋" w:hAnsi="仿宋" w:eastAsia="仿宋"/>
                <w:b/>
              </w:rPr>
              <w:t>序号</w:t>
            </w:r>
          </w:p>
        </w:tc>
        <w:tc>
          <w:tcPr>
            <w:tcW w:w="2935" w:type="dxa"/>
            <w:vAlign w:val="center"/>
          </w:tcPr>
          <w:p>
            <w:pPr>
              <w:overflowPunct w:val="0"/>
              <w:spacing w:line="500" w:lineRule="exact"/>
              <w:jc w:val="center"/>
              <w:rPr>
                <w:rFonts w:ascii="仿宋" w:hAnsi="仿宋" w:eastAsia="仿宋"/>
                <w:b/>
              </w:rPr>
            </w:pPr>
            <w:r>
              <w:rPr>
                <w:rFonts w:hint="eastAsia" w:ascii="仿宋" w:hAnsi="仿宋" w:eastAsia="仿宋"/>
                <w:b/>
              </w:rPr>
              <w:t>设备名称</w:t>
            </w:r>
          </w:p>
        </w:tc>
        <w:tc>
          <w:tcPr>
            <w:tcW w:w="851" w:type="dxa"/>
            <w:vAlign w:val="center"/>
          </w:tcPr>
          <w:p>
            <w:pPr>
              <w:overflowPunct w:val="0"/>
              <w:spacing w:line="500" w:lineRule="exact"/>
              <w:jc w:val="center"/>
              <w:rPr>
                <w:rFonts w:ascii="仿宋" w:hAnsi="仿宋" w:eastAsia="仿宋"/>
                <w:b/>
              </w:rPr>
            </w:pPr>
            <w:r>
              <w:rPr>
                <w:rFonts w:hint="eastAsia" w:ascii="仿宋" w:hAnsi="仿宋" w:eastAsia="仿宋"/>
                <w:b/>
              </w:rPr>
              <w:t>单位</w:t>
            </w:r>
          </w:p>
        </w:tc>
        <w:tc>
          <w:tcPr>
            <w:tcW w:w="1134" w:type="dxa"/>
            <w:vAlign w:val="center"/>
          </w:tcPr>
          <w:p>
            <w:pPr>
              <w:overflowPunct w:val="0"/>
              <w:spacing w:line="500" w:lineRule="exact"/>
              <w:jc w:val="center"/>
              <w:rPr>
                <w:rFonts w:ascii="仿宋" w:hAnsi="仿宋" w:eastAsia="仿宋"/>
                <w:b/>
              </w:rPr>
            </w:pPr>
            <w:r>
              <w:rPr>
                <w:rFonts w:hint="eastAsia" w:ascii="仿宋" w:hAnsi="仿宋" w:eastAsia="仿宋"/>
                <w:b/>
              </w:rPr>
              <w:t>数量</w:t>
            </w:r>
          </w:p>
        </w:tc>
        <w:tc>
          <w:tcPr>
            <w:tcW w:w="1773" w:type="dxa"/>
            <w:vAlign w:val="center"/>
          </w:tcPr>
          <w:p>
            <w:pPr>
              <w:overflowPunct w:val="0"/>
              <w:spacing w:line="500" w:lineRule="exact"/>
              <w:jc w:val="center"/>
              <w:rPr>
                <w:rFonts w:ascii="仿宋" w:hAnsi="仿宋" w:eastAsia="仿宋"/>
                <w:b/>
              </w:rPr>
            </w:pPr>
            <w:r>
              <w:rPr>
                <w:rFonts w:hint="eastAsia" w:ascii="仿宋" w:hAnsi="仿宋" w:eastAsia="仿宋"/>
                <w:b/>
              </w:rPr>
              <w:t>备注</w:t>
            </w:r>
          </w:p>
        </w:tc>
        <w:tc>
          <w:tcPr>
            <w:tcW w:w="1773" w:type="dxa"/>
            <w:vAlign w:val="center"/>
          </w:tcPr>
          <w:p>
            <w:pPr>
              <w:overflowPunct w:val="0"/>
              <w:spacing w:line="500" w:lineRule="exact"/>
              <w:jc w:val="center"/>
              <w:rPr>
                <w:rFonts w:hint="default" w:ascii="仿宋" w:hAnsi="仿宋" w:eastAsia="仿宋"/>
                <w:b/>
                <w:lang w:val="en-US" w:eastAsia="zh-CN"/>
              </w:rPr>
            </w:pPr>
            <w:r>
              <w:rPr>
                <w:rFonts w:hint="eastAsia" w:ascii="仿宋" w:hAnsi="仿宋" w:eastAsia="仿宋"/>
                <w:b/>
                <w:lang w:val="en-US" w:eastAsia="zh-CN"/>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1</w:t>
            </w:r>
          </w:p>
        </w:tc>
        <w:tc>
          <w:tcPr>
            <w:tcW w:w="2935" w:type="dxa"/>
            <w:vAlign w:val="center"/>
          </w:tcPr>
          <w:p>
            <w:pPr>
              <w:spacing w:line="460" w:lineRule="exact"/>
              <w:rPr>
                <w:rFonts w:hint="default" w:ascii="仿宋_GB2312" w:hAnsi="仿宋" w:eastAsia="仿宋_GB2312" w:cs="Times New Roman"/>
                <w:color w:val="000000"/>
                <w:sz w:val="32"/>
                <w:szCs w:val="32"/>
                <w:lang w:val="en-US" w:eastAsia="zh-CN"/>
              </w:rPr>
            </w:pPr>
            <w:r>
              <w:rPr>
                <w:rFonts w:hint="eastAsia" w:ascii="仿宋_GB2312" w:hAnsi="仿宋" w:eastAsia="仿宋_GB2312" w:cs="Times New Roman"/>
                <w:sz w:val="32"/>
                <w:szCs w:val="32"/>
                <w:lang w:val="en-US" w:eastAsia="zh-CN"/>
              </w:rPr>
              <w:t>ABL800血气配件</w:t>
            </w:r>
          </w:p>
        </w:tc>
        <w:tc>
          <w:tcPr>
            <w:tcW w:w="851"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批</w:t>
            </w:r>
          </w:p>
        </w:tc>
        <w:tc>
          <w:tcPr>
            <w:tcW w:w="1134" w:type="dxa"/>
            <w:vAlign w:val="center"/>
          </w:tcPr>
          <w:p>
            <w:pPr>
              <w:overflowPunct w:val="0"/>
              <w:spacing w:line="500" w:lineRule="exact"/>
              <w:ind w:firstLine="520" w:firstLineChars="0"/>
              <w:jc w:val="both"/>
              <w:rPr>
                <w:rFonts w:hint="default" w:ascii="仿宋" w:hAnsi="仿宋" w:eastAsia="仿宋" w:cstheme="minorBidi"/>
                <w:kern w:val="2"/>
                <w:sz w:val="21"/>
                <w:szCs w:val="22"/>
                <w:lang w:val="en-US" w:eastAsia="zh-CN" w:bidi="ar-SA"/>
              </w:rPr>
            </w:pPr>
            <w:r>
              <w:rPr>
                <w:rFonts w:hint="eastAsia" w:ascii="仿宋" w:hAnsi="仿宋" w:eastAsia="仿宋" w:cstheme="minorBidi"/>
                <w:kern w:val="2"/>
                <w:sz w:val="21"/>
                <w:szCs w:val="22"/>
                <w:lang w:val="en-US" w:eastAsia="zh-CN" w:bidi="ar-SA"/>
              </w:rPr>
              <w:t>1</w:t>
            </w:r>
          </w:p>
        </w:tc>
        <w:tc>
          <w:tcPr>
            <w:tcW w:w="177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w:t>
            </w:r>
          </w:p>
        </w:tc>
        <w:tc>
          <w:tcPr>
            <w:tcW w:w="177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25000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729" w:type="dxa"/>
            <w:gridSpan w:val="3"/>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合计预算</w:t>
            </w:r>
          </w:p>
        </w:tc>
        <w:tc>
          <w:tcPr>
            <w:tcW w:w="4680" w:type="dxa"/>
            <w:gridSpan w:val="3"/>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25000</w:t>
            </w:r>
          </w:p>
        </w:tc>
      </w:tr>
    </w:tbl>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（二）是否接受进口产品投标</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1.本项目不接受进口产品投标（进口产品是指通过中国海关报关，验放进入中国境内，且产自关境外的产品）。</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2.本项目接受进口产品投标，也允许符合需求的国产产品参与投标。</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（三）项目基本情况和采购标的需实现的功能或目标</w:t>
      </w:r>
    </w:p>
    <w:p>
      <w:pPr>
        <w:spacing w:line="460" w:lineRule="exact"/>
        <w:ind w:firstLine="640" w:firstLineChars="200"/>
        <w:rPr>
          <w:rFonts w:hint="eastAsia" w:ascii="仿宋_GB2312" w:hAnsi="仿宋" w:eastAsia="仿宋_GB2312" w:cs="宋体"/>
          <w:kern w:val="0"/>
          <w:sz w:val="32"/>
          <w:szCs w:val="32"/>
          <w:highlight w:val="yellow"/>
          <w:lang w:val="en-US" w:eastAsia="zh-CN"/>
        </w:rPr>
      </w:pPr>
      <w:r>
        <w:rPr>
          <w:rFonts w:hint="eastAsia" w:ascii="仿宋_GB2312" w:hAnsi="仿宋" w:eastAsia="仿宋_GB2312" w:cs="宋体"/>
          <w:kern w:val="0"/>
          <w:sz w:val="32"/>
          <w:szCs w:val="32"/>
          <w:highlight w:val="yellow"/>
          <w:lang w:val="en-US" w:eastAsia="zh-CN"/>
        </w:rPr>
        <w:t>无</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color w:val="000000"/>
          <w:sz w:val="32"/>
          <w:szCs w:val="32"/>
        </w:rPr>
        <w:t>（四）</w:t>
      </w:r>
      <w:r>
        <w:rPr>
          <w:rFonts w:hint="eastAsia" w:ascii="仿宋_GB2312" w:hAnsi="仿宋" w:eastAsia="仿宋_GB2312" w:cs="Times New Roman"/>
          <w:sz w:val="32"/>
          <w:szCs w:val="32"/>
        </w:rPr>
        <w:t>货物技术及服务标准</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1、必须满足的技术及服务标准</w:t>
      </w:r>
    </w:p>
    <w:tbl>
      <w:tblPr>
        <w:tblStyle w:val="5"/>
        <w:tblW w:w="97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905"/>
        <w:gridCol w:w="2145"/>
        <w:gridCol w:w="2175"/>
        <w:gridCol w:w="1710"/>
        <w:gridCol w:w="17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905" w:type="dxa"/>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2145" w:type="dxa"/>
            <w:tcBorders>
              <w:top w:val="single" w:color="000000" w:sz="4" w:space="0"/>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参比电极膜</w:t>
            </w:r>
          </w:p>
        </w:tc>
        <w:tc>
          <w:tcPr>
            <w:tcW w:w="2175" w:type="dxa"/>
            <w:tcBorders>
              <w:top w:val="single" w:color="000000" w:sz="4" w:space="0"/>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钾电极膜</w:t>
            </w:r>
          </w:p>
        </w:tc>
        <w:tc>
          <w:tcPr>
            <w:tcW w:w="1710" w:type="dxa"/>
            <w:tcBorders>
              <w:top w:val="single" w:color="000000" w:sz="4" w:space="0"/>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乳酸电极膜</w:t>
            </w:r>
          </w:p>
        </w:tc>
        <w:tc>
          <w:tcPr>
            <w:tcW w:w="1785" w:type="dxa"/>
            <w:tcBorders>
              <w:top w:val="single" w:color="000000" w:sz="4" w:space="0"/>
              <w:left w:val="nil"/>
              <w:bottom w:val="nil"/>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进样口垫片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90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品牌：</w:t>
            </w:r>
          </w:p>
        </w:tc>
        <w:tc>
          <w:tcPr>
            <w:tcW w:w="214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雷度</w:t>
            </w:r>
          </w:p>
        </w:tc>
        <w:tc>
          <w:tcPr>
            <w:tcW w:w="217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雷度</w:t>
            </w:r>
          </w:p>
        </w:tc>
        <w:tc>
          <w:tcPr>
            <w:tcW w:w="1710"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雷度</w:t>
            </w:r>
          </w:p>
        </w:tc>
        <w:tc>
          <w:tcPr>
            <w:tcW w:w="1785" w:type="dxa"/>
            <w:tcBorders>
              <w:top w:val="nil"/>
              <w:left w:val="nil"/>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90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型号：</w:t>
            </w:r>
          </w:p>
        </w:tc>
        <w:tc>
          <w:tcPr>
            <w:tcW w:w="214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Style w:val="12"/>
                <w:lang w:val="en-US" w:eastAsia="zh-CN" w:bidi="ar"/>
              </w:rPr>
              <w:t>4支/盒</w:t>
            </w:r>
          </w:p>
        </w:tc>
        <w:tc>
          <w:tcPr>
            <w:tcW w:w="217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Style w:val="12"/>
                <w:lang w:val="en-US" w:eastAsia="zh-CN" w:bidi="ar"/>
              </w:rPr>
              <w:t>4支/盒</w:t>
            </w:r>
          </w:p>
        </w:tc>
        <w:tc>
          <w:tcPr>
            <w:tcW w:w="1710"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Style w:val="12"/>
                <w:lang w:val="en-US" w:eastAsia="zh-CN" w:bidi="ar"/>
              </w:rPr>
              <w:t>4支/盒</w:t>
            </w:r>
          </w:p>
        </w:tc>
        <w:tc>
          <w:tcPr>
            <w:tcW w:w="1785" w:type="dxa"/>
            <w:tcBorders>
              <w:top w:val="nil"/>
              <w:left w:val="nil"/>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90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214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17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710"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785" w:type="dxa"/>
            <w:tcBorders>
              <w:top w:val="nil"/>
              <w:left w:val="nil"/>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90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技术要求：</w:t>
            </w:r>
          </w:p>
        </w:tc>
        <w:tc>
          <w:tcPr>
            <w:tcW w:w="0" w:type="auto"/>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ABL800适配</w:t>
            </w:r>
          </w:p>
        </w:tc>
        <w:tc>
          <w:tcPr>
            <w:tcW w:w="0" w:type="auto"/>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ABL800适配</w:t>
            </w:r>
          </w:p>
        </w:tc>
        <w:tc>
          <w:tcPr>
            <w:tcW w:w="0" w:type="auto"/>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ABL800适配</w:t>
            </w:r>
          </w:p>
        </w:tc>
        <w:tc>
          <w:tcPr>
            <w:tcW w:w="0" w:type="auto"/>
            <w:tcBorders>
              <w:top w:val="nil"/>
              <w:left w:val="nil"/>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ABL800适配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905" w:type="dxa"/>
            <w:tcBorders>
              <w:top w:val="nil"/>
              <w:left w:val="single" w:color="000000" w:sz="4" w:space="0"/>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单个预算：</w:t>
            </w:r>
          </w:p>
        </w:tc>
        <w:tc>
          <w:tcPr>
            <w:tcW w:w="214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1400</w:t>
            </w:r>
          </w:p>
        </w:tc>
        <w:tc>
          <w:tcPr>
            <w:tcW w:w="217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11000</w:t>
            </w:r>
          </w:p>
        </w:tc>
        <w:tc>
          <w:tcPr>
            <w:tcW w:w="1710"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3500</w:t>
            </w:r>
          </w:p>
        </w:tc>
        <w:tc>
          <w:tcPr>
            <w:tcW w:w="1785" w:type="dxa"/>
            <w:tcBorders>
              <w:top w:val="nil"/>
              <w:left w:val="nil"/>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905" w:type="dxa"/>
            <w:tcBorders>
              <w:top w:val="nil"/>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预算合计：</w:t>
            </w:r>
          </w:p>
        </w:tc>
        <w:tc>
          <w:tcPr>
            <w:tcW w:w="2145" w:type="dxa"/>
            <w:tcBorders>
              <w:top w:val="nil"/>
              <w:left w:val="nil"/>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25000</w:t>
            </w:r>
          </w:p>
        </w:tc>
        <w:tc>
          <w:tcPr>
            <w:tcW w:w="2175" w:type="dxa"/>
            <w:tcBorders>
              <w:top w:val="nil"/>
              <w:left w:val="nil"/>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（元）</w:t>
            </w:r>
          </w:p>
        </w:tc>
        <w:tc>
          <w:tcPr>
            <w:tcW w:w="1710" w:type="dxa"/>
            <w:tcBorders>
              <w:top w:val="nil"/>
              <w:left w:val="nil"/>
              <w:bottom w:val="single" w:color="000000" w:sz="4" w:space="0"/>
              <w:right w:val="nil"/>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785" w:type="dxa"/>
            <w:tcBorders>
              <w:top w:val="nil"/>
              <w:left w:val="nil"/>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bl>
    <w:p>
      <w:pPr>
        <w:snapToGrid w:val="0"/>
        <w:spacing w:line="460" w:lineRule="exact"/>
        <w:ind w:firstLine="800" w:firstLineChars="250"/>
        <w:rPr>
          <w:rFonts w:hint="default" w:ascii="仿宋_GB2312" w:hAnsi="仿宋" w:eastAsia="仿宋_GB2312" w:cs="宋体"/>
          <w:kern w:val="0"/>
          <w:sz w:val="32"/>
          <w:szCs w:val="32"/>
          <w:highlight w:val="yellow"/>
          <w:lang w:val="en-US" w:eastAsia="zh-CN"/>
        </w:rPr>
      </w:pPr>
      <w:r>
        <w:rPr>
          <w:rFonts w:hint="eastAsia" w:ascii="仿宋_GB2312" w:hAnsi="仿宋" w:eastAsia="仿宋_GB2312" w:cs="宋体"/>
          <w:kern w:val="0"/>
          <w:sz w:val="32"/>
          <w:szCs w:val="32"/>
          <w:highlight w:val="yellow"/>
          <w:lang w:val="en-US" w:eastAsia="zh-CN"/>
        </w:rPr>
        <w:t>所投产品必须适配临床检验中心</w:t>
      </w:r>
      <w:bookmarkStart w:id="2" w:name="OLE_LINK2"/>
      <w:bookmarkStart w:id="3" w:name="OLE_LINK1"/>
      <w:r>
        <w:rPr>
          <w:rFonts w:hint="eastAsia" w:ascii="仿宋_GB2312" w:hAnsi="仿宋" w:eastAsia="仿宋_GB2312" w:cs="宋体"/>
          <w:kern w:val="0"/>
          <w:sz w:val="32"/>
          <w:szCs w:val="32"/>
          <w:highlight w:val="yellow"/>
          <w:lang w:val="en-US" w:eastAsia="zh-CN"/>
        </w:rPr>
        <w:t>雷度</w:t>
      </w:r>
      <w:bookmarkEnd w:id="2"/>
      <w:r>
        <w:rPr>
          <w:rFonts w:hint="eastAsia" w:ascii="仿宋_GB2312" w:hAnsi="仿宋" w:eastAsia="仿宋_GB2312" w:cs="宋体"/>
          <w:kern w:val="0"/>
          <w:sz w:val="32"/>
          <w:szCs w:val="32"/>
          <w:highlight w:val="yellow"/>
          <w:lang w:val="en-US" w:eastAsia="zh-CN"/>
        </w:rPr>
        <w:t>血气分析仪（ABL-800）</w:t>
      </w:r>
    </w:p>
    <w:bookmarkEnd w:id="3"/>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2、一般性</w:t>
      </w:r>
      <w:r>
        <w:rPr>
          <w:rFonts w:hint="eastAsia" w:ascii="仿宋_GB2312" w:hAnsi="仿宋" w:eastAsia="仿宋_GB2312" w:cs="Times New Roman"/>
          <w:color w:val="000000"/>
          <w:sz w:val="32"/>
          <w:szCs w:val="32"/>
        </w:rPr>
        <w:t>技术及服务标准</w:t>
      </w:r>
    </w:p>
    <w:p>
      <w:pPr>
        <w:pStyle w:val="10"/>
        <w:numPr>
          <w:ilvl w:val="0"/>
          <w:numId w:val="0"/>
        </w:numPr>
        <w:spacing w:line="460" w:lineRule="exact"/>
        <w:ind w:firstLine="960" w:firstLineChars="300"/>
        <w:rPr>
          <w:rFonts w:ascii="仿宋_GB2312" w:hAnsi="仿宋" w:eastAsia="仿宋_GB2312" w:cs="Times New Roman"/>
          <w:b/>
          <w:sz w:val="32"/>
          <w:szCs w:val="32"/>
        </w:rPr>
      </w:pPr>
      <w:r>
        <w:rPr>
          <w:rFonts w:hint="eastAsia" w:ascii="仿宋_GB2312" w:hAnsi="仿宋" w:eastAsia="仿宋_GB2312" w:cs="宋体"/>
          <w:kern w:val="0"/>
          <w:sz w:val="32"/>
          <w:szCs w:val="32"/>
          <w:highlight w:val="yellow"/>
          <w:lang w:val="en-US" w:eastAsia="zh-CN"/>
        </w:rPr>
        <w:t>无</w:t>
      </w:r>
      <w:bookmarkStart w:id="4" w:name="_GoBack"/>
      <w:bookmarkEnd w:id="4"/>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交货期</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中标人应在采购合同签订后</w:t>
      </w:r>
      <w:r>
        <w:rPr>
          <w:rFonts w:hint="eastAsia" w:ascii="仿宋_GB2312" w:hAnsi="仿宋" w:eastAsia="仿宋_GB2312" w:cs="Times New Roman"/>
          <w:color w:val="000000"/>
          <w:sz w:val="32"/>
          <w:szCs w:val="32"/>
          <w:highlight w:val="yellow"/>
          <w:lang w:val="en-US" w:eastAsia="zh-CN"/>
        </w:rPr>
        <w:t>15</w:t>
      </w:r>
      <w:r>
        <w:rPr>
          <w:rFonts w:hint="eastAsia" w:ascii="仿宋_GB2312" w:hAnsi="仿宋" w:eastAsia="仿宋_GB2312" w:cs="Times New Roman"/>
          <w:color w:val="000000"/>
          <w:sz w:val="32"/>
          <w:szCs w:val="32"/>
        </w:rPr>
        <w:t>日内交货并完成安装调试。</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交货地点</w:t>
      </w:r>
    </w:p>
    <w:p>
      <w:pPr>
        <w:spacing w:line="460" w:lineRule="exact"/>
        <w:ind w:firstLine="566" w:firstLineChars="177"/>
        <w:rPr>
          <w:rFonts w:hint="default" w:ascii="仿宋_GB2312" w:hAnsi="仿宋" w:eastAsia="仿宋_GB2312"/>
          <w:sz w:val="32"/>
          <w:szCs w:val="32"/>
          <w:lang w:val="en-US"/>
        </w:rPr>
      </w:pPr>
      <w:r>
        <w:rPr>
          <w:rFonts w:hint="eastAsia" w:ascii="仿宋_GB2312" w:hAnsi="仿宋" w:eastAsia="仿宋_GB2312" w:cs="Times New Roman"/>
          <w:color w:val="000000"/>
          <w:sz w:val="32"/>
          <w:szCs w:val="32"/>
          <w:highlight w:val="yellow"/>
          <w:lang w:val="en-US" w:eastAsia="zh-CN"/>
        </w:rPr>
        <w:t>克拉玛依市中心医院医学装备科</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验收方式</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1、货物到达现场后，中标人应在使用单位人员在场情况下当面开箱，共同清点、检查外观，作出开箱记录，双方签字确认。</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2、中标人应保证货物到达采购人所在地完好无损，如有缺漏、损坏，由供应商负责调换、补齐或赔偿。</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3、中标人应提供完备的技术资料、装箱单和合格证等，并派遣专业技术人员进行现场安装调试。验收合格条件如下：</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3.1设备技术参数与采购合同一致，性能指标达到规定的标准。</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3.2货物技术资料、装箱单、合格证等资料齐全。</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3.3在系统试运行期间所出现的问题得到解决，并运行正常。</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3.4在规定时间内交货和验收，并经采购人确认。</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4、产品在安装调试并试运行符合要求后，才作为最终验收。</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5、供应商提供的货物未达到招标文件规定要求，且对采购人造成损失的，由供应商承担一切责任，并赔偿所造成的损失。</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6、大型或者复杂的政府采购项目，采购人应当邀请国家认可的质量检测机构参加验收工作。</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7、采购人需要制造商对中标人交付的产品（包括质量、技术参数等）进行确认的，制造商应予以配合，并出具书面意见。</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8、产品包装材料归采购人所有。</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产品质量保证期</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1、投标产品质量保证期</w:t>
      </w:r>
      <w:r>
        <w:rPr>
          <w:rFonts w:hint="eastAsia" w:ascii="仿宋_GB2312" w:hAnsi="仿宋" w:eastAsia="仿宋_GB2312" w:cs="Times New Roman"/>
          <w:color w:val="000000"/>
          <w:sz w:val="32"/>
          <w:szCs w:val="32"/>
          <w:highlight w:val="yellow"/>
          <w:lang w:val="en-US" w:eastAsia="zh-CN"/>
        </w:rPr>
        <w:t>1</w:t>
      </w:r>
      <w:r>
        <w:rPr>
          <w:rFonts w:hint="eastAsia" w:ascii="仿宋_GB2312" w:hAnsi="仿宋" w:eastAsia="仿宋_GB2312" w:cs="Times New Roman"/>
          <w:color w:val="000000"/>
          <w:sz w:val="32"/>
          <w:szCs w:val="32"/>
        </w:rPr>
        <w:t>年。</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2、投标产品属于国家规定“三包”范围的，其产品质量保证期不得低于“三包”规定。</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3、投标人的质量保证期承诺优于国家“三包”规定的，按投标人实际承诺执行。</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4、投标产品由制造商（指产品生产制造商，或其负责销售、售后服务机构，以下同）负责标准售后服务的，应当在投标文件中予以明确说明，并附制造商售后服务承诺。</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售后服务内容</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1、投标人和制造商在质量保证期内应当为采购人提供以下技术支持和服务：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1.1电话咨询</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中标人和制造商应当为采购人提供技术援助电话，解答采购人在使用中遇到的问题，及时为采购人提出解决问题的建议。</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1.2现场响应</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采购人遇到使用及技术问题，电话咨询不能解决的，中标人和制造商应在24小时内到达现场进行处理，确保产品正常工作。</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1.3技术升级</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在质保期内，如果中标人和制造商的产品技术升级，供应商应及时通知采购人，如采购人有相应要求，中标人和制造商应对采购人购买的产品进行升级服务。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2、质保期外服务要求</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2.1质量保证期过后，供应商和制造商应同样提供免费电话咨询服务，并应承诺提供产品上门维护服务。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2.2质量保证期过后，采购人需要继续由原供应商和制造商提供售后服务的，该供应商和制造商应以优惠价格提供售后服务。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3、备品备件及易损件</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中标人和制造商售后服务中，维修使用的备品备件及易损件应为原厂配件，未经采购人同意不得使用非原厂配件，常用的、容易损坏的备品备件及易损件的价格清单须在投标文件中列出。</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付款方式</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（一）合同签订后，采购人向中标人支付合同总价</w:t>
      </w:r>
      <w:r>
        <w:rPr>
          <w:rFonts w:hint="eastAsia" w:ascii="仿宋_GB2312" w:hAnsi="仿宋" w:eastAsia="仿宋_GB2312" w:cs="Times New Roman"/>
          <w:color w:val="000000"/>
          <w:sz w:val="32"/>
          <w:szCs w:val="32"/>
          <w:highlight w:val="yellow"/>
          <w:lang w:val="en-US" w:eastAsia="zh-CN"/>
        </w:rPr>
        <w:t>0</w:t>
      </w:r>
      <w:r>
        <w:rPr>
          <w:rFonts w:hint="eastAsia" w:ascii="仿宋_GB2312" w:hAnsi="仿宋" w:eastAsia="仿宋_GB2312" w:cs="Times New Roman"/>
          <w:color w:val="000000"/>
          <w:sz w:val="32"/>
          <w:szCs w:val="32"/>
          <w:highlight w:val="yellow"/>
        </w:rPr>
        <w:t>%</w:t>
      </w:r>
      <w:r>
        <w:rPr>
          <w:rFonts w:hint="eastAsia" w:ascii="仿宋_GB2312" w:hAnsi="仿宋" w:eastAsia="仿宋_GB2312" w:cs="Times New Roman"/>
          <w:color w:val="000000"/>
          <w:sz w:val="32"/>
          <w:szCs w:val="32"/>
        </w:rPr>
        <w:t>的预付款。</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（二）中标人按采购合同交货，完成安装调试，经验收合格后，采购人向中标人支付合同总价</w:t>
      </w:r>
      <w:r>
        <w:rPr>
          <w:rFonts w:hint="eastAsia" w:ascii="仿宋_GB2312" w:hAnsi="仿宋" w:eastAsia="仿宋_GB2312" w:cs="Times New Roman"/>
          <w:color w:val="000000"/>
          <w:sz w:val="32"/>
          <w:szCs w:val="32"/>
          <w:lang w:val="en-US" w:eastAsia="zh-CN"/>
        </w:rPr>
        <w:t>100</w:t>
      </w:r>
      <w:r>
        <w:rPr>
          <w:rFonts w:hint="eastAsia" w:ascii="仿宋_GB2312" w:hAnsi="仿宋" w:eastAsia="仿宋_GB2312" w:cs="Times New Roman"/>
          <w:color w:val="000000"/>
          <w:sz w:val="32"/>
          <w:szCs w:val="32"/>
        </w:rPr>
        <w:t>%的货款。</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（三）其余</w:t>
      </w:r>
      <w:r>
        <w:rPr>
          <w:rFonts w:hint="eastAsia" w:ascii="仿宋_GB2312" w:hAnsi="仿宋" w:eastAsia="仿宋_GB2312" w:cs="Times New Roman"/>
          <w:color w:val="000000"/>
          <w:sz w:val="32"/>
          <w:szCs w:val="32"/>
          <w:highlight w:val="yellow"/>
          <w:lang w:val="en-US" w:eastAsia="zh-CN"/>
        </w:rPr>
        <w:t>0</w:t>
      </w:r>
      <w:r>
        <w:rPr>
          <w:rFonts w:hint="eastAsia" w:ascii="仿宋_GB2312" w:hAnsi="仿宋" w:eastAsia="仿宋_GB2312" w:cs="Times New Roman"/>
          <w:color w:val="000000"/>
          <w:sz w:val="32"/>
          <w:szCs w:val="32"/>
        </w:rPr>
        <w:t>%款额在产品使用中无质量问题，且履行售后服务承诺，在质保期满后的X天内将余款无息汇入中标人指定的账户。</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（四）中标人提交采购合同、发票等材料，向采购人申请付款。</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（五）采购人对中标人提交的付款资料审核通过后，以转账方式向中标人付款。</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履约保证金</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本合同签订前向采购人提交合同金额的</w:t>
      </w:r>
      <w:r>
        <w:rPr>
          <w:rFonts w:hint="eastAsia" w:ascii="仿宋_GB2312" w:hAnsi="仿宋" w:eastAsia="仿宋_GB2312" w:cs="宋体"/>
          <w:kern w:val="0"/>
          <w:sz w:val="32"/>
          <w:szCs w:val="32"/>
          <w:highlight w:val="yellow"/>
          <w:lang w:val="en-US" w:eastAsia="zh-CN"/>
        </w:rPr>
        <w:t>0</w:t>
      </w:r>
      <w:r>
        <w:rPr>
          <w:rFonts w:hint="eastAsia" w:ascii="仿宋_GB2312" w:hAnsi="仿宋" w:eastAsia="仿宋_GB2312" w:cs="宋体"/>
          <w:kern w:val="0"/>
          <w:sz w:val="32"/>
          <w:szCs w:val="32"/>
          <w:highlight w:val="yellow"/>
        </w:rPr>
        <w:t>%</w:t>
      </w:r>
      <w:r>
        <w:rPr>
          <w:rFonts w:hint="eastAsia" w:ascii="仿宋_GB2312" w:hAnsi="仿宋" w:eastAsia="仿宋_GB2312" w:cs="宋体"/>
          <w:kern w:val="0"/>
          <w:sz w:val="32"/>
          <w:szCs w:val="32"/>
        </w:rPr>
        <w:t>作为履约保证金</w:t>
      </w:r>
      <w:r>
        <w:rPr>
          <w:rFonts w:hint="eastAsia" w:ascii="仿宋_GB2312" w:hAnsi="仿宋" w:eastAsia="仿宋_GB2312" w:cs="宋体"/>
          <w:kern w:val="0"/>
          <w:sz w:val="32"/>
          <w:szCs w:val="32"/>
          <w:highlight w:val="yellow"/>
        </w:rPr>
        <w:t>（履约保证金的数额不得超过政府采购合同金额的10%）</w:t>
      </w:r>
      <w:r>
        <w:rPr>
          <w:rFonts w:hint="eastAsia" w:ascii="仿宋_GB2312" w:hAnsi="仿宋" w:eastAsia="仿宋_GB2312" w:cs="宋体"/>
          <w:kern w:val="0"/>
          <w:sz w:val="32"/>
          <w:szCs w:val="32"/>
        </w:rPr>
        <w:t>。经采购人考核，中标人严格遵守合同约定，未发生违约情况的，则在合同期满后十五个工作日内无息退款。</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培训</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（一）培训内容</w:t>
      </w:r>
    </w:p>
    <w:p>
      <w:pPr>
        <w:snapToGrid w:val="0"/>
        <w:spacing w:line="460" w:lineRule="exact"/>
        <w:ind w:firstLine="800" w:firstLineChars="250"/>
        <w:rPr>
          <w:rFonts w:hint="eastAsia" w:ascii="仿宋_GB2312" w:hAnsi="仿宋" w:eastAsia="仿宋_GB2312" w:cs="宋体"/>
          <w:kern w:val="0"/>
          <w:sz w:val="32"/>
          <w:szCs w:val="32"/>
          <w:lang w:val="en-US" w:eastAsia="zh-CN"/>
        </w:rPr>
      </w:pPr>
      <w:r>
        <w:rPr>
          <w:rFonts w:hint="eastAsia" w:ascii="仿宋_GB2312" w:hAnsi="仿宋" w:eastAsia="仿宋_GB2312" w:cs="宋体"/>
          <w:kern w:val="0"/>
          <w:sz w:val="32"/>
          <w:szCs w:val="32"/>
          <w:lang w:val="en-US" w:eastAsia="zh-CN"/>
        </w:rPr>
        <w:t>无</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（二）培训要求</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lang w:val="en-US" w:eastAsia="zh-CN"/>
        </w:rPr>
        <w:t>无</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（三）培训方式</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lang w:val="en-US" w:eastAsia="zh-CN"/>
        </w:rPr>
        <w:t>无</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采购单位咨询电话</w:t>
      </w:r>
    </w:p>
    <w:p>
      <w:pPr>
        <w:snapToGrid w:val="0"/>
        <w:spacing w:line="460" w:lineRule="exact"/>
        <w:ind w:firstLine="800" w:firstLineChars="250"/>
        <w:rPr>
          <w:rFonts w:hint="eastAsia" w:ascii="仿宋_GB2312" w:hAnsi="仿宋" w:eastAsia="仿宋_GB2312" w:cs="宋体"/>
          <w:kern w:val="0"/>
          <w:sz w:val="32"/>
          <w:szCs w:val="32"/>
          <w:lang w:eastAsia="zh-CN"/>
        </w:rPr>
      </w:pPr>
      <w:r>
        <w:rPr>
          <w:rFonts w:hint="eastAsia" w:ascii="仿宋_GB2312" w:hAnsi="仿宋" w:eastAsia="仿宋_GB2312" w:cs="宋体"/>
          <w:kern w:val="0"/>
          <w:sz w:val="32"/>
          <w:szCs w:val="32"/>
        </w:rPr>
        <w:t>联系人：</w:t>
      </w:r>
      <w:r>
        <w:rPr>
          <w:rFonts w:hint="eastAsia" w:ascii="仿宋_GB2312" w:hAnsi="仿宋" w:eastAsia="仿宋_GB2312" w:cs="宋体"/>
          <w:kern w:val="0"/>
          <w:sz w:val="32"/>
          <w:szCs w:val="32"/>
          <w:lang w:val="en-US" w:eastAsia="zh-CN"/>
        </w:rPr>
        <w:t>徐乐</w:t>
      </w:r>
    </w:p>
    <w:p>
      <w:pPr>
        <w:snapToGrid w:val="0"/>
        <w:spacing w:line="460" w:lineRule="exact"/>
        <w:ind w:firstLine="800" w:firstLineChars="250"/>
        <w:rPr>
          <w:rFonts w:hint="default" w:ascii="仿宋_GB2312" w:hAnsi="仿宋" w:eastAsia="仿宋_GB2312" w:cs="宋体"/>
          <w:kern w:val="0"/>
          <w:sz w:val="32"/>
          <w:szCs w:val="32"/>
          <w:lang w:val="en-US" w:eastAsia="zh-CN"/>
        </w:rPr>
      </w:pPr>
      <w:r>
        <w:rPr>
          <w:rFonts w:hint="eastAsia" w:ascii="仿宋_GB2312" w:hAnsi="仿宋" w:eastAsia="仿宋_GB2312" w:cs="宋体"/>
          <w:kern w:val="0"/>
          <w:sz w:val="32"/>
          <w:szCs w:val="32"/>
        </w:rPr>
        <w:t>手机号：</w:t>
      </w:r>
      <w:r>
        <w:rPr>
          <w:rFonts w:hint="eastAsia" w:ascii="仿宋_GB2312" w:hAnsi="仿宋" w:eastAsia="仿宋_GB2312" w:cs="宋体"/>
          <w:kern w:val="0"/>
          <w:sz w:val="32"/>
          <w:szCs w:val="32"/>
          <w:lang w:val="en-US" w:eastAsia="zh-CN"/>
        </w:rPr>
        <w:t>18799210884</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地址：克拉玛依市安定路120号</w:t>
      </w:r>
    </w:p>
    <w:p>
      <w:pPr>
        <w:pStyle w:val="10"/>
        <w:numPr>
          <w:ilvl w:val="0"/>
          <w:numId w:val="1"/>
        </w:numPr>
        <w:spacing w:line="460" w:lineRule="exact"/>
        <w:ind w:left="-220" w:leftChars="0" w:firstLine="640" w:firstLineChars="0"/>
        <w:rPr>
          <w:rFonts w:ascii="仿宋_GB2312" w:hAnsi="仿宋" w:eastAsia="仿宋_GB2312" w:cs="Times New Roman"/>
          <w:b/>
          <w:sz w:val="32"/>
          <w:szCs w:val="32"/>
          <w:highlight w:val="none"/>
        </w:rPr>
      </w:pPr>
      <w:r>
        <w:rPr>
          <w:rFonts w:hint="eastAsia" w:ascii="仿宋_GB2312" w:hAnsi="仿宋" w:eastAsia="仿宋_GB2312" w:cs="Times New Roman"/>
          <w:b/>
          <w:sz w:val="32"/>
          <w:szCs w:val="32"/>
          <w:highlight w:val="none"/>
        </w:rPr>
        <w:t>提供不少于3个能满足本采购需求的产品</w:t>
      </w:r>
      <w:r>
        <w:rPr>
          <w:rFonts w:hint="eastAsia" w:ascii="仿宋_GB2312" w:hAnsi="仿宋" w:eastAsia="仿宋_GB2312" w:cs="Times New Roman"/>
          <w:b/>
          <w:sz w:val="32"/>
          <w:szCs w:val="32"/>
          <w:highlight w:val="yellow"/>
        </w:rPr>
        <w:t>品牌</w:t>
      </w:r>
      <w:r>
        <w:rPr>
          <w:rFonts w:hint="eastAsia" w:ascii="仿宋_GB2312" w:hAnsi="仿宋" w:eastAsia="仿宋_GB2312" w:cs="Times New Roman"/>
          <w:b/>
          <w:sz w:val="32"/>
          <w:szCs w:val="32"/>
          <w:highlight w:val="none"/>
        </w:rPr>
        <w:t>名称</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highlight w:val="yellow"/>
          <w:lang w:val="en-US" w:eastAsia="zh-CN"/>
        </w:rPr>
        <w:t>雷度</w:t>
      </w:r>
    </w:p>
    <w:p>
      <w:pPr>
        <w:snapToGrid w:val="0"/>
        <w:spacing w:line="460" w:lineRule="exact"/>
        <w:ind w:firstLine="5120" w:firstLineChars="1600"/>
        <w:rPr>
          <w:rFonts w:hint="eastAsia" w:ascii="仿宋_GB2312" w:hAnsi="仿宋" w:eastAsia="仿宋_GB2312" w:cs="Times New Roman"/>
          <w:color w:val="000000"/>
          <w:sz w:val="32"/>
          <w:szCs w:val="32"/>
        </w:rPr>
      </w:pPr>
    </w:p>
    <w:p>
      <w:pPr>
        <w:snapToGrid w:val="0"/>
        <w:spacing w:line="460" w:lineRule="exact"/>
        <w:ind w:firstLine="5120" w:firstLineChars="1600"/>
        <w:rPr>
          <w:rFonts w:hint="eastAsia" w:ascii="仿宋_GB2312" w:hAnsi="仿宋" w:eastAsia="仿宋_GB2312" w:cs="宋体"/>
          <w:kern w:val="0"/>
          <w:sz w:val="32"/>
          <w:szCs w:val="32"/>
          <w:lang w:val="en-US" w:eastAsia="zh-CN"/>
        </w:rPr>
      </w:pPr>
      <w:r>
        <w:rPr>
          <w:rFonts w:hint="eastAsia" w:ascii="仿宋_GB2312" w:hAnsi="仿宋" w:eastAsia="仿宋_GB2312" w:cs="Times New Roman"/>
          <w:color w:val="000000"/>
          <w:sz w:val="32"/>
          <w:szCs w:val="32"/>
        </w:rPr>
        <w:t>采购人名称：</w:t>
      </w:r>
      <w:r>
        <w:rPr>
          <w:rFonts w:hint="eastAsia" w:ascii="仿宋_GB2312" w:hAnsi="仿宋" w:eastAsia="仿宋_GB2312" w:cs="Times New Roman"/>
          <w:color w:val="000000"/>
          <w:sz w:val="32"/>
          <w:szCs w:val="32"/>
          <w:lang w:val="en-US" w:eastAsia="zh-CN"/>
        </w:rPr>
        <w:t>徐乐</w:t>
      </w:r>
    </w:p>
    <w:p>
      <w:pPr>
        <w:snapToGrid w:val="0"/>
        <w:spacing w:before="240" w:line="460" w:lineRule="exact"/>
        <w:ind w:firstLine="5280" w:firstLineChars="1650"/>
        <w:rPr>
          <w:rFonts w:ascii="仿宋_GB2312" w:hAnsi="仿宋" w:eastAsia="仿宋_GB2312" w:cs="宋体"/>
          <w:kern w:val="0"/>
          <w:sz w:val="32"/>
          <w:szCs w:val="32"/>
        </w:rPr>
      </w:pPr>
      <w:r>
        <w:rPr>
          <w:rFonts w:hint="eastAsia" w:ascii="仿宋_GB2312" w:hAnsi="仿宋" w:eastAsia="仿宋_GB2312" w:cs="Times New Roman"/>
          <w:color w:val="000000"/>
          <w:sz w:val="32"/>
          <w:szCs w:val="32"/>
          <w:lang w:val="en-US" w:eastAsia="zh-CN"/>
        </w:rPr>
        <w:t>2025</w:t>
      </w:r>
      <w:r>
        <w:rPr>
          <w:rFonts w:hint="eastAsia" w:ascii="仿宋_GB2312" w:hAnsi="仿宋" w:eastAsia="仿宋_GB2312" w:cs="宋体"/>
          <w:kern w:val="0"/>
          <w:sz w:val="32"/>
          <w:szCs w:val="32"/>
        </w:rPr>
        <w:t>年</w:t>
      </w:r>
      <w:r>
        <w:rPr>
          <w:rFonts w:hint="eastAsia" w:ascii="仿宋_GB2312" w:hAnsi="仿宋" w:eastAsia="仿宋_GB2312" w:cs="Times New Roman"/>
          <w:color w:val="000000"/>
          <w:sz w:val="32"/>
          <w:szCs w:val="32"/>
          <w:lang w:val="en-US" w:eastAsia="zh-CN"/>
        </w:rPr>
        <w:t>3</w:t>
      </w:r>
      <w:r>
        <w:rPr>
          <w:rFonts w:hint="eastAsia" w:ascii="仿宋_GB2312" w:hAnsi="仿宋" w:eastAsia="仿宋_GB2312" w:cs="宋体"/>
          <w:kern w:val="0"/>
          <w:sz w:val="32"/>
          <w:szCs w:val="32"/>
        </w:rPr>
        <w:t>月</w:t>
      </w:r>
      <w:r>
        <w:rPr>
          <w:rFonts w:hint="eastAsia" w:ascii="仿宋_GB2312" w:hAnsi="仿宋" w:eastAsia="仿宋_GB2312" w:cs="Times New Roman"/>
          <w:color w:val="000000"/>
          <w:sz w:val="32"/>
          <w:szCs w:val="32"/>
          <w:lang w:val="en-US" w:eastAsia="zh-CN"/>
        </w:rPr>
        <w:t>24</w:t>
      </w:r>
      <w:r>
        <w:rPr>
          <w:rFonts w:hint="eastAsia" w:ascii="仿宋_GB2312" w:hAnsi="仿宋" w:eastAsia="仿宋_GB2312" w:cs="宋体"/>
          <w:kern w:val="0"/>
          <w:sz w:val="32"/>
          <w:szCs w:val="32"/>
        </w:rPr>
        <w:t>日</w:t>
      </w:r>
    </w:p>
    <w:p>
      <w:pPr>
        <w:snapToGrid w:val="0"/>
        <w:spacing w:line="460" w:lineRule="exact"/>
        <w:ind w:firstLine="800" w:firstLineChars="250"/>
        <w:rPr>
          <w:rFonts w:ascii="仿宋_GB2312" w:hAnsi="仿宋" w:eastAsia="仿宋_GB2312" w:cs="宋体"/>
          <w:kern w:val="0"/>
          <w:sz w:val="32"/>
          <w:szCs w:val="32"/>
        </w:rPr>
      </w:pPr>
    </w:p>
    <w:p>
      <w:pPr>
        <w:snapToGrid w:val="0"/>
        <w:spacing w:line="460" w:lineRule="exact"/>
        <w:rPr>
          <w:rFonts w:ascii="仿宋_GB2312" w:hAnsi="仿宋" w:eastAsia="仿宋_GB2312" w:cs="宋体"/>
          <w:kern w:val="0"/>
          <w:sz w:val="32"/>
          <w:szCs w:val="32"/>
        </w:rPr>
      </w:pPr>
    </w:p>
    <w:p>
      <w:pPr>
        <w:snapToGrid w:val="0"/>
        <w:spacing w:line="460" w:lineRule="exact"/>
        <w:ind w:firstLine="800" w:firstLineChars="250"/>
        <w:rPr>
          <w:rFonts w:ascii="仿宋_GB2312" w:hAnsi="仿宋" w:eastAsia="仿宋_GB2312" w:cs="宋体"/>
          <w:kern w:val="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F30056"/>
    <w:multiLevelType w:val="multilevel"/>
    <w:tmpl w:val="08F30056"/>
    <w:lvl w:ilvl="0" w:tentative="0">
      <w:start w:val="1"/>
      <w:numFmt w:val="japaneseCounting"/>
      <w:lvlText w:val="%1、"/>
      <w:lvlJc w:val="left"/>
      <w:pPr>
        <w:ind w:left="1140" w:hanging="720"/>
      </w:pPr>
      <w:rPr>
        <w:rFonts w:hint="default" w:cstheme="minorBidi"/>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385F50F6"/>
    <w:multiLevelType w:val="multilevel"/>
    <w:tmpl w:val="385F50F6"/>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YwMTBlY2RkZGUxYjY0ZTBjZjgyOTkzNWQ0OGNkYTAifQ=="/>
  </w:docVars>
  <w:rsids>
    <w:rsidRoot w:val="0067571C"/>
    <w:rsid w:val="002946FE"/>
    <w:rsid w:val="0030407D"/>
    <w:rsid w:val="00326628"/>
    <w:rsid w:val="00654BB2"/>
    <w:rsid w:val="0067571C"/>
    <w:rsid w:val="006C4A26"/>
    <w:rsid w:val="00A203BF"/>
    <w:rsid w:val="00A374EC"/>
    <w:rsid w:val="00A41A5D"/>
    <w:rsid w:val="00B33114"/>
    <w:rsid w:val="00DD3E75"/>
    <w:rsid w:val="0A913EA8"/>
    <w:rsid w:val="0F461F56"/>
    <w:rsid w:val="106A0C81"/>
    <w:rsid w:val="1106065B"/>
    <w:rsid w:val="1475597B"/>
    <w:rsid w:val="15053199"/>
    <w:rsid w:val="16152463"/>
    <w:rsid w:val="1A913C6F"/>
    <w:rsid w:val="2F1C3E6E"/>
    <w:rsid w:val="3B443050"/>
    <w:rsid w:val="3F596A6D"/>
    <w:rsid w:val="3FC41BD0"/>
    <w:rsid w:val="50D84B4B"/>
    <w:rsid w:val="52870AA2"/>
    <w:rsid w:val="56B118FC"/>
    <w:rsid w:val="5C9A7191"/>
    <w:rsid w:val="68CE2CA3"/>
    <w:rsid w:val="70257A33"/>
    <w:rsid w:val="71834D76"/>
    <w:rsid w:val="724642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8">
    <w:name w:val="页眉 Char"/>
    <w:basedOn w:val="7"/>
    <w:link w:val="4"/>
    <w:semiHidden/>
    <w:qFormat/>
    <w:uiPriority w:val="99"/>
    <w:rPr>
      <w:sz w:val="18"/>
      <w:szCs w:val="18"/>
    </w:rPr>
  </w:style>
  <w:style w:type="character" w:customStyle="1" w:styleId="9">
    <w:name w:val="页脚 Char"/>
    <w:basedOn w:val="7"/>
    <w:link w:val="3"/>
    <w:semiHidden/>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Char"/>
    <w:basedOn w:val="7"/>
    <w:link w:val="2"/>
    <w:semiHidden/>
    <w:qFormat/>
    <w:uiPriority w:val="99"/>
    <w:rPr>
      <w:sz w:val="18"/>
      <w:szCs w:val="18"/>
    </w:rPr>
  </w:style>
  <w:style w:type="character" w:customStyle="1" w:styleId="12">
    <w:name w:val="font31"/>
    <w:basedOn w:val="7"/>
    <w:qFormat/>
    <w:uiPriority w:val="0"/>
    <w:rPr>
      <w:rFonts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2000</Words>
  <Characters>2107</Characters>
  <Lines>28</Lines>
  <Paragraphs>7</Paragraphs>
  <TotalTime>38</TotalTime>
  <ScaleCrop>false</ScaleCrop>
  <LinksUpToDate>false</LinksUpToDate>
  <CharactersWithSpaces>2108</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2018-05-28T04:33:00Z</dcterms:created>
  <dc:creator>Admin</dc:creator>
  <cp:lastModifiedBy>Administrator</cp:lastModifiedBy>
  <dcterms:modified xsi:type="dcterms:W3CDTF">2025-04-07T10:45:28Z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F644F41B4F7E4AA69406C247EA5AFADA</vt:lpwstr>
  </property>
  <property fmtid="{D5CDD505-2E9C-101B-9397-08002B2CF9AE}" pid="4" name="KSOTemplateDocerSaveRecord">
    <vt:lpwstr>eyJoZGlkIjoiMmM4MjFmNjRkYjg3NDhlZjRlNGI1MDAwZDkzNzViYWMifQ==</vt:lpwstr>
  </property>
</Properties>
</file>