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_GBK" w:hAnsi="仿宋" w:eastAsia="方正小标宋_GBK" w:cs="Times New Roman"/>
          <w:color w:val="000000"/>
          <w:sz w:val="36"/>
          <w:szCs w:val="36"/>
          <w:highlight w:val="yellow"/>
          <w:lang w:val="en-US" w:eastAsia="zh-CN"/>
        </w:rPr>
      </w:pPr>
      <w:bookmarkStart w:id="3" w:name="_GoBack"/>
      <w:r>
        <w:rPr>
          <w:rFonts w:hint="eastAsia" w:ascii="方正小标宋_GBK" w:hAnsi="仿宋" w:eastAsia="方正小标宋_GBK" w:cs="Times New Roman"/>
          <w:color w:val="000000"/>
          <w:sz w:val="36"/>
          <w:szCs w:val="36"/>
          <w:highlight w:val="yellow"/>
          <w:lang w:val="en-US" w:eastAsia="zh-CN"/>
        </w:rPr>
        <w:t>内镜室新华消毒</w:t>
      </w:r>
      <w:bookmarkStart w:id="0" w:name="OLE_LINK1"/>
      <w:r>
        <w:rPr>
          <w:rFonts w:hint="eastAsia" w:ascii="方正小标宋_GBK" w:hAnsi="仿宋" w:eastAsia="方正小标宋_GBK" w:cs="Times New Roman"/>
          <w:color w:val="000000"/>
          <w:sz w:val="36"/>
          <w:szCs w:val="36"/>
          <w:highlight w:val="yellow"/>
          <w:lang w:val="en-US" w:eastAsia="zh-CN"/>
        </w:rPr>
        <w:t>清洗机及洗消池</w:t>
      </w:r>
      <w:bookmarkEnd w:id="0"/>
      <w:r>
        <w:rPr>
          <w:rFonts w:hint="eastAsia" w:ascii="方正小标宋_GBK" w:hAnsi="仿宋" w:eastAsia="方正小标宋_GBK" w:cs="Times New Roman"/>
          <w:color w:val="000000"/>
          <w:sz w:val="36"/>
          <w:szCs w:val="36"/>
          <w:highlight w:val="yellow"/>
          <w:lang w:val="en-US" w:eastAsia="zh-CN"/>
        </w:rPr>
        <w:t>耗材（一年量）</w:t>
      </w:r>
      <w:bookmarkEnd w:id="3"/>
    </w:p>
    <w:p>
      <w:pPr>
        <w:jc w:val="center"/>
        <w:rPr>
          <w:rFonts w:ascii="方正小标宋_GBK" w:eastAsia="方正小标宋_GBK"/>
          <w:sz w:val="36"/>
          <w:szCs w:val="36"/>
        </w:rPr>
      </w:pPr>
      <w:r>
        <w:rPr>
          <w:rFonts w:hint="eastAsia" w:ascii="方正小标宋_GBK" w:eastAsia="方正小标宋_GBK"/>
          <w:sz w:val="36"/>
          <w:szCs w:val="36"/>
        </w:rPr>
        <w:t>采购需求</w:t>
      </w:r>
    </w:p>
    <w:p>
      <w:pPr>
        <w:spacing w:line="460" w:lineRule="exact"/>
        <w:ind w:firstLine="640" w:firstLineChars="200"/>
        <w:rPr>
          <w:rFonts w:ascii="仿宋_GB2312" w:hAnsi="仿宋" w:eastAsia="仿宋_GB2312"/>
          <w:sz w:val="32"/>
          <w:szCs w:val="32"/>
        </w:rPr>
      </w:pP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投标人资格条件</w:t>
      </w:r>
    </w:p>
    <w:p>
      <w:pPr>
        <w:spacing w:line="460" w:lineRule="exact"/>
        <w:ind w:firstLine="560" w:firstLineChars="200"/>
        <w:rPr>
          <w:rFonts w:ascii="华文中宋" w:hAnsi="华文中宋" w:eastAsia="华文中宋" w:cs="Times New Roman"/>
          <w:color w:val="FF0000"/>
          <w:sz w:val="28"/>
          <w:szCs w:val="28"/>
        </w:rPr>
      </w:pP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（一）</w:t>
      </w:r>
      <w:r>
        <w:rPr>
          <w:rFonts w:hint="eastAsia" w:ascii="仿宋_GB2312" w:hAnsi="仿宋" w:eastAsia="仿宋_GB2312"/>
          <w:sz w:val="32"/>
          <w:szCs w:val="32"/>
        </w:rPr>
        <w:t>一般资格条件</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具有独立承担民事责任的能力；</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具有良好的商业信誉和健全的财务会计制度；</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具有履行合同所必需的设备和专业技术能力；</w:t>
      </w:r>
    </w:p>
    <w:p>
      <w:pPr>
        <w:tabs>
          <w:tab w:val="left" w:pos="1134"/>
        </w:tabs>
        <w:snapToGrid w:val="0"/>
        <w:spacing w:line="460" w:lineRule="exact"/>
        <w:ind w:left="709"/>
        <w:rPr>
          <w:rFonts w:ascii="仿宋_GB2312" w:hAnsi="仿宋" w:eastAsia="仿宋_GB2312" w:cs="Times New Roman"/>
          <w:sz w:val="32"/>
          <w:szCs w:val="32"/>
        </w:rPr>
      </w:pPr>
      <w:bookmarkStart w:id="1" w:name="OLE_LINK5"/>
      <w:r>
        <w:rPr>
          <w:rFonts w:hint="eastAsia" w:ascii="仿宋_GB2312" w:hAnsi="仿宋" w:eastAsia="仿宋_GB2312" w:cs="Times New Roman"/>
          <w:sz w:val="32"/>
          <w:szCs w:val="32"/>
          <w:highlight w:val="yellow"/>
        </w:rPr>
        <w:t>无</w:t>
      </w:r>
    </w:p>
    <w:bookmarkEnd w:id="1"/>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有依法缴纳税收和社会保障资金的良好记录；</w:t>
      </w:r>
    </w:p>
    <w:p>
      <w:pPr>
        <w:numPr>
          <w:ilvl w:val="0"/>
          <w:numId w:val="2"/>
        </w:numPr>
        <w:tabs>
          <w:tab w:val="left" w:pos="1134"/>
        </w:tabs>
        <w:snapToGrid w:val="0"/>
        <w:spacing w:line="460" w:lineRule="exact"/>
        <w:ind w:left="0" w:firstLine="709"/>
        <w:rPr>
          <w:rFonts w:ascii="仿宋_GB2312" w:hAnsi="仿宋" w:eastAsia="仿宋_GB2312" w:cs="Times New Roman"/>
          <w:sz w:val="32"/>
          <w:szCs w:val="32"/>
        </w:rPr>
      </w:pPr>
      <w:r>
        <w:rPr>
          <w:rFonts w:hint="eastAsia" w:ascii="仿宋_GB2312" w:hAnsi="仿宋" w:eastAsia="仿宋_GB2312" w:cs="Times New Roman"/>
          <w:sz w:val="32"/>
          <w:szCs w:val="32"/>
        </w:rPr>
        <w:t>参加政府采购活动前三年内，未因违法经营受到刑事处罚或者责令停产停业、吊销许可证或者执照、较大数额罚款等行政处罚。</w:t>
      </w:r>
      <w:r>
        <w:rPr>
          <w:rFonts w:ascii="仿宋_GB2312" w:hAnsi="仿宋" w:eastAsia="仿宋_GB2312" w:cs="Times New Roman"/>
          <w:sz w:val="32"/>
          <w:szCs w:val="32"/>
        </w:rPr>
        <w:tab/>
      </w:r>
    </w:p>
    <w:p>
      <w:pPr>
        <w:tabs>
          <w:tab w:val="left" w:pos="1134"/>
        </w:tabs>
        <w:snapToGrid w:val="0"/>
        <w:spacing w:line="460" w:lineRule="exact"/>
        <w:ind w:left="480"/>
        <w:rPr>
          <w:rFonts w:ascii="仿宋_GB2312" w:hAnsi="仿宋" w:eastAsia="仿宋_GB2312"/>
          <w:sz w:val="32"/>
          <w:szCs w:val="32"/>
        </w:rPr>
      </w:pPr>
      <w:r>
        <w:rPr>
          <w:rFonts w:hint="eastAsia" w:ascii="仿宋_GB2312" w:hAnsi="仿宋" w:eastAsia="仿宋_GB2312"/>
          <w:sz w:val="32"/>
          <w:szCs w:val="32"/>
        </w:rPr>
        <w:t>（二）特定资格条件</w:t>
      </w:r>
    </w:p>
    <w:p>
      <w:pPr>
        <w:tabs>
          <w:tab w:val="left" w:pos="1134"/>
        </w:tabs>
        <w:snapToGrid w:val="0"/>
        <w:spacing w:line="460" w:lineRule="exact"/>
        <w:ind w:left="709"/>
        <w:rPr>
          <w:rFonts w:ascii="仿宋_GB2312" w:hAnsi="仿宋" w:eastAsia="仿宋_GB2312"/>
          <w:sz w:val="32"/>
          <w:szCs w:val="32"/>
        </w:rPr>
      </w:pPr>
      <w:r>
        <w:rPr>
          <w:rFonts w:hint="eastAsia" w:ascii="仿宋_GB2312" w:hAnsi="仿宋" w:eastAsia="仿宋_GB2312" w:cs="Times New Roman"/>
          <w:sz w:val="32"/>
          <w:szCs w:val="32"/>
          <w:highlight w:val="yellow"/>
        </w:rPr>
        <w:t>无</w:t>
      </w: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（三）联合体投标</w:t>
      </w: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sz w:val="32"/>
          <w:szCs w:val="32"/>
        </w:rPr>
        <w:t>本项目不接受联合体投标</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项目技术规格、数量及质量要求</w:t>
      </w:r>
    </w:p>
    <w:p>
      <w:pPr>
        <w:spacing w:line="460" w:lineRule="exact"/>
        <w:ind w:left="640"/>
        <w:rPr>
          <w:rFonts w:ascii="仿宋_GB2312" w:hAnsi="仿宋" w:eastAsia="仿宋_GB2312" w:cs="Times New Roman"/>
          <w:color w:val="000000"/>
          <w:sz w:val="32"/>
          <w:szCs w:val="32"/>
        </w:rPr>
      </w:pPr>
      <w:bookmarkStart w:id="2" w:name="_Toc438456195"/>
      <w:r>
        <w:rPr>
          <w:rFonts w:hint="eastAsia" w:ascii="仿宋_GB2312" w:hAnsi="仿宋" w:eastAsia="仿宋_GB2312" w:cs="Times New Roman"/>
          <w:color w:val="000000"/>
          <w:sz w:val="32"/>
          <w:szCs w:val="32"/>
        </w:rPr>
        <w:t>（一）采购项目一览表</w:t>
      </w:r>
      <w:bookmarkEnd w:id="2"/>
    </w:p>
    <w:tbl>
      <w:tblPr>
        <w:tblStyle w:val="5"/>
        <w:tblW w:w="94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3"/>
        <w:gridCol w:w="2935"/>
        <w:gridCol w:w="851"/>
        <w:gridCol w:w="1134"/>
        <w:gridCol w:w="1773"/>
        <w:gridCol w:w="17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43" w:type="dxa"/>
            <w:vAlign w:val="center"/>
          </w:tcPr>
          <w:p>
            <w:pPr>
              <w:overflowPunct w:val="0"/>
              <w:spacing w:line="500" w:lineRule="exact"/>
              <w:jc w:val="center"/>
              <w:rPr>
                <w:rFonts w:ascii="仿宋" w:hAnsi="仿宋" w:eastAsia="仿宋"/>
                <w:b/>
              </w:rPr>
            </w:pPr>
            <w:r>
              <w:rPr>
                <w:rFonts w:hint="eastAsia" w:ascii="仿宋" w:hAnsi="仿宋" w:eastAsia="仿宋"/>
                <w:b/>
              </w:rPr>
              <w:t>序号</w:t>
            </w:r>
          </w:p>
        </w:tc>
        <w:tc>
          <w:tcPr>
            <w:tcW w:w="2935" w:type="dxa"/>
            <w:vAlign w:val="center"/>
          </w:tcPr>
          <w:p>
            <w:pPr>
              <w:overflowPunct w:val="0"/>
              <w:spacing w:line="500" w:lineRule="exact"/>
              <w:jc w:val="center"/>
              <w:rPr>
                <w:rFonts w:ascii="仿宋" w:hAnsi="仿宋" w:eastAsia="仿宋"/>
                <w:b/>
              </w:rPr>
            </w:pPr>
            <w:r>
              <w:rPr>
                <w:rFonts w:hint="eastAsia" w:ascii="仿宋" w:hAnsi="仿宋" w:eastAsia="仿宋"/>
                <w:b/>
              </w:rPr>
              <w:t>设备名称</w:t>
            </w:r>
          </w:p>
        </w:tc>
        <w:tc>
          <w:tcPr>
            <w:tcW w:w="851" w:type="dxa"/>
            <w:vAlign w:val="center"/>
          </w:tcPr>
          <w:p>
            <w:pPr>
              <w:overflowPunct w:val="0"/>
              <w:spacing w:line="500" w:lineRule="exact"/>
              <w:jc w:val="center"/>
              <w:rPr>
                <w:rFonts w:ascii="仿宋" w:hAnsi="仿宋" w:eastAsia="仿宋"/>
                <w:b/>
              </w:rPr>
            </w:pPr>
            <w:r>
              <w:rPr>
                <w:rFonts w:hint="eastAsia" w:ascii="仿宋" w:hAnsi="仿宋" w:eastAsia="仿宋"/>
                <w:b/>
              </w:rPr>
              <w:t>单位</w:t>
            </w:r>
          </w:p>
        </w:tc>
        <w:tc>
          <w:tcPr>
            <w:tcW w:w="1134" w:type="dxa"/>
            <w:vAlign w:val="center"/>
          </w:tcPr>
          <w:p>
            <w:pPr>
              <w:overflowPunct w:val="0"/>
              <w:spacing w:line="500" w:lineRule="exact"/>
              <w:jc w:val="center"/>
              <w:rPr>
                <w:rFonts w:ascii="仿宋" w:hAnsi="仿宋" w:eastAsia="仿宋"/>
                <w:b/>
              </w:rPr>
            </w:pPr>
            <w:r>
              <w:rPr>
                <w:rFonts w:hint="eastAsia" w:ascii="仿宋" w:hAnsi="仿宋" w:eastAsia="仿宋"/>
                <w:b/>
              </w:rPr>
              <w:t>数量</w:t>
            </w:r>
          </w:p>
        </w:tc>
        <w:tc>
          <w:tcPr>
            <w:tcW w:w="1773" w:type="dxa"/>
            <w:vAlign w:val="center"/>
          </w:tcPr>
          <w:p>
            <w:pPr>
              <w:overflowPunct w:val="0"/>
              <w:spacing w:line="500" w:lineRule="exact"/>
              <w:jc w:val="center"/>
              <w:rPr>
                <w:rFonts w:ascii="仿宋" w:hAnsi="仿宋" w:eastAsia="仿宋"/>
                <w:b/>
              </w:rPr>
            </w:pPr>
            <w:r>
              <w:rPr>
                <w:rFonts w:hint="eastAsia" w:ascii="仿宋" w:hAnsi="仿宋" w:eastAsia="仿宋"/>
                <w:b/>
              </w:rPr>
              <w:t>备注</w:t>
            </w:r>
          </w:p>
        </w:tc>
        <w:tc>
          <w:tcPr>
            <w:tcW w:w="1773" w:type="dxa"/>
            <w:vAlign w:val="center"/>
          </w:tcPr>
          <w:p>
            <w:pPr>
              <w:overflowPunct w:val="0"/>
              <w:spacing w:line="500" w:lineRule="exact"/>
              <w:jc w:val="center"/>
              <w:rPr>
                <w:rFonts w:hint="default" w:ascii="仿宋" w:hAnsi="仿宋" w:eastAsia="仿宋"/>
                <w:b/>
                <w:lang w:val="en-US" w:eastAsia="zh-CN"/>
              </w:rPr>
            </w:pPr>
            <w:r>
              <w:rPr>
                <w:rFonts w:hint="eastAsia" w:ascii="仿宋" w:hAnsi="仿宋" w:eastAsia="仿宋"/>
                <w:b/>
                <w:lang w:val="en-US" w:eastAsia="zh-CN"/>
              </w:rPr>
              <w:t>预算金额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4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1</w:t>
            </w:r>
          </w:p>
        </w:tc>
        <w:tc>
          <w:tcPr>
            <w:tcW w:w="2935" w:type="dxa"/>
            <w:vAlign w:val="center"/>
          </w:tcPr>
          <w:p>
            <w:pPr>
              <w:spacing w:line="460" w:lineRule="exact"/>
              <w:rPr>
                <w:rFonts w:hint="default" w:ascii="仿宋_GB2312" w:hAnsi="仿宋" w:eastAsia="仿宋_GB2312"/>
                <w:sz w:val="32"/>
                <w:szCs w:val="32"/>
                <w:lang w:val="en-US" w:eastAsia="zh-CN"/>
              </w:rPr>
            </w:pPr>
            <w:r>
              <w:rPr>
                <w:rFonts w:hint="eastAsia" w:ascii="仿宋_GB2312" w:hAnsi="仿宋" w:eastAsia="仿宋_GB2312"/>
                <w:sz w:val="32"/>
                <w:szCs w:val="32"/>
                <w:lang w:val="en-US" w:eastAsia="zh-CN"/>
              </w:rPr>
              <w:t>过滤器</w:t>
            </w:r>
          </w:p>
        </w:tc>
        <w:tc>
          <w:tcPr>
            <w:tcW w:w="851"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个</w:t>
            </w:r>
          </w:p>
        </w:tc>
        <w:tc>
          <w:tcPr>
            <w:tcW w:w="1134" w:type="dxa"/>
            <w:vAlign w:val="center"/>
          </w:tcPr>
          <w:p>
            <w:pPr>
              <w:overflowPunct w:val="0"/>
              <w:spacing w:line="500" w:lineRule="exact"/>
              <w:ind w:firstLine="520"/>
              <w:jc w:val="both"/>
              <w:rPr>
                <w:rFonts w:hint="default" w:ascii="仿宋" w:hAnsi="仿宋" w:eastAsia="仿宋"/>
                <w:lang w:val="en-US" w:eastAsia="zh-CN"/>
              </w:rPr>
            </w:pPr>
            <w:r>
              <w:rPr>
                <w:rFonts w:hint="eastAsia" w:ascii="仿宋" w:hAnsi="仿宋" w:eastAsia="仿宋"/>
                <w:lang w:val="en-US" w:eastAsia="zh-CN"/>
              </w:rPr>
              <w:t>2</w:t>
            </w:r>
          </w:p>
        </w:tc>
        <w:tc>
          <w:tcPr>
            <w:tcW w:w="1773" w:type="dxa"/>
            <w:vAlign w:val="center"/>
          </w:tcPr>
          <w:p>
            <w:pPr>
              <w:overflowPunct w:val="0"/>
              <w:spacing w:line="500" w:lineRule="exact"/>
              <w:jc w:val="center"/>
              <w:rPr>
                <w:rFonts w:hint="default" w:ascii="仿宋" w:hAnsi="仿宋" w:eastAsia="仿宋"/>
                <w:lang w:val="en-US" w:eastAsia="zh-CN"/>
              </w:rPr>
            </w:pPr>
            <w:r>
              <w:rPr>
                <w:rFonts w:hint="default" w:ascii="仿宋" w:hAnsi="仿宋" w:eastAsia="仿宋"/>
                <w:lang w:val="en-US" w:eastAsia="zh-CN"/>
              </w:rPr>
              <w:t>1μm</w:t>
            </w:r>
          </w:p>
        </w:tc>
        <w:tc>
          <w:tcPr>
            <w:tcW w:w="177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4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2</w:t>
            </w:r>
          </w:p>
        </w:tc>
        <w:tc>
          <w:tcPr>
            <w:tcW w:w="2935" w:type="dxa"/>
            <w:vAlign w:val="center"/>
          </w:tcPr>
          <w:p>
            <w:pPr>
              <w:spacing w:line="460" w:lineRule="exact"/>
              <w:rPr>
                <w:rFonts w:hint="default" w:ascii="仿宋_GB2312" w:hAnsi="仿宋" w:eastAsia="仿宋_GB2312" w:cs="Times New Roman"/>
                <w:color w:val="000000"/>
                <w:sz w:val="32"/>
                <w:szCs w:val="32"/>
                <w:lang w:val="en-US" w:eastAsia="zh-CN"/>
              </w:rPr>
            </w:pPr>
            <w:r>
              <w:rPr>
                <w:rFonts w:hint="eastAsia" w:ascii="仿宋_GB2312" w:hAnsi="仿宋" w:eastAsia="仿宋_GB2312" w:cs="Times New Roman"/>
                <w:color w:val="000000"/>
                <w:sz w:val="32"/>
                <w:szCs w:val="32"/>
                <w:lang w:val="en-US" w:eastAsia="zh-CN"/>
              </w:rPr>
              <w:t>过滤器</w:t>
            </w:r>
          </w:p>
        </w:tc>
        <w:tc>
          <w:tcPr>
            <w:tcW w:w="851" w:type="dxa"/>
            <w:vAlign w:val="center"/>
          </w:tcPr>
          <w:p>
            <w:pPr>
              <w:overflowPunct w:val="0"/>
              <w:spacing w:line="500" w:lineRule="exact"/>
              <w:jc w:val="center"/>
              <w:rPr>
                <w:rFonts w:hint="eastAsia" w:ascii="仿宋" w:hAnsi="仿宋" w:eastAsia="仿宋" w:cstheme="minorBidi"/>
                <w:kern w:val="2"/>
                <w:sz w:val="21"/>
                <w:szCs w:val="22"/>
                <w:lang w:val="en-US" w:eastAsia="zh-CN" w:bidi="ar-SA"/>
              </w:rPr>
            </w:pPr>
            <w:r>
              <w:rPr>
                <w:rFonts w:hint="eastAsia" w:ascii="仿宋" w:hAnsi="仿宋" w:eastAsia="仿宋"/>
                <w:lang w:val="en-US" w:eastAsia="zh-CN"/>
              </w:rPr>
              <w:t>个</w:t>
            </w:r>
          </w:p>
        </w:tc>
        <w:tc>
          <w:tcPr>
            <w:tcW w:w="1134" w:type="dxa"/>
            <w:vAlign w:val="center"/>
          </w:tcPr>
          <w:p>
            <w:pPr>
              <w:overflowPunct w:val="0"/>
              <w:spacing w:line="500" w:lineRule="exact"/>
              <w:ind w:firstLine="520" w:firstLineChars="0"/>
              <w:jc w:val="both"/>
              <w:rPr>
                <w:rFonts w:hint="default" w:ascii="仿宋" w:hAnsi="仿宋" w:eastAsia="仿宋" w:cstheme="minorBidi"/>
                <w:kern w:val="2"/>
                <w:sz w:val="21"/>
                <w:szCs w:val="22"/>
                <w:lang w:val="en-US" w:eastAsia="zh-CN" w:bidi="ar-SA"/>
              </w:rPr>
            </w:pPr>
            <w:r>
              <w:rPr>
                <w:rFonts w:hint="eastAsia" w:ascii="仿宋" w:hAnsi="仿宋" w:eastAsia="仿宋" w:cstheme="minorBidi"/>
                <w:kern w:val="2"/>
                <w:sz w:val="21"/>
                <w:szCs w:val="22"/>
                <w:lang w:val="en-US" w:eastAsia="zh-CN" w:bidi="ar-SA"/>
              </w:rPr>
              <w:t>2</w:t>
            </w:r>
          </w:p>
        </w:tc>
        <w:tc>
          <w:tcPr>
            <w:tcW w:w="1773" w:type="dxa"/>
            <w:vAlign w:val="center"/>
          </w:tcPr>
          <w:p>
            <w:pPr>
              <w:overflowPunct w:val="0"/>
              <w:spacing w:line="500" w:lineRule="exact"/>
              <w:jc w:val="center"/>
              <w:rPr>
                <w:rFonts w:hint="eastAsia" w:ascii="仿宋" w:hAnsi="仿宋" w:eastAsia="仿宋" w:cstheme="minorBidi"/>
                <w:kern w:val="2"/>
                <w:sz w:val="21"/>
                <w:szCs w:val="22"/>
                <w:lang w:val="en-US" w:eastAsia="zh-CN" w:bidi="ar-SA"/>
              </w:rPr>
            </w:pPr>
            <w:r>
              <w:rPr>
                <w:rFonts w:hint="eastAsia" w:ascii="仿宋" w:hAnsi="仿宋" w:eastAsia="仿宋"/>
                <w:lang w:val="en-US" w:eastAsia="zh-CN"/>
              </w:rPr>
              <w:t>0.45μm</w:t>
            </w:r>
          </w:p>
        </w:tc>
        <w:tc>
          <w:tcPr>
            <w:tcW w:w="177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1000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94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3</w:t>
            </w:r>
          </w:p>
        </w:tc>
        <w:tc>
          <w:tcPr>
            <w:tcW w:w="2935" w:type="dxa"/>
            <w:vAlign w:val="center"/>
          </w:tcPr>
          <w:p>
            <w:pPr>
              <w:spacing w:line="460" w:lineRule="exact"/>
              <w:rPr>
                <w:rFonts w:hint="default" w:ascii="仿宋_GB2312" w:hAnsi="仿宋" w:eastAsia="仿宋_GB2312" w:cs="Times New Roman"/>
                <w:color w:val="000000"/>
                <w:sz w:val="32"/>
                <w:szCs w:val="32"/>
                <w:lang w:val="en-US" w:eastAsia="zh-CN"/>
              </w:rPr>
            </w:pPr>
            <w:r>
              <w:rPr>
                <w:rFonts w:hint="eastAsia" w:ascii="仿宋_GB2312" w:hAnsi="仿宋" w:eastAsia="仿宋_GB2312" w:cs="Times New Roman"/>
                <w:color w:val="000000"/>
                <w:sz w:val="32"/>
                <w:szCs w:val="32"/>
                <w:lang w:val="en-US" w:eastAsia="zh-CN"/>
              </w:rPr>
              <w:t>无菌过滤器</w:t>
            </w:r>
          </w:p>
        </w:tc>
        <w:tc>
          <w:tcPr>
            <w:tcW w:w="851"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个</w:t>
            </w:r>
          </w:p>
        </w:tc>
        <w:tc>
          <w:tcPr>
            <w:tcW w:w="1134" w:type="dxa"/>
            <w:vAlign w:val="center"/>
          </w:tcPr>
          <w:p>
            <w:pPr>
              <w:overflowPunct w:val="0"/>
              <w:spacing w:line="500" w:lineRule="exact"/>
              <w:ind w:firstLine="520" w:firstLineChars="0"/>
              <w:jc w:val="both"/>
              <w:rPr>
                <w:rFonts w:hint="default" w:ascii="仿宋" w:hAnsi="仿宋" w:eastAsia="仿宋" w:cstheme="minorBidi"/>
                <w:kern w:val="2"/>
                <w:sz w:val="21"/>
                <w:szCs w:val="22"/>
                <w:lang w:val="en-US" w:eastAsia="zh-CN" w:bidi="ar-SA"/>
              </w:rPr>
            </w:pPr>
            <w:r>
              <w:rPr>
                <w:rFonts w:hint="eastAsia" w:ascii="仿宋" w:hAnsi="仿宋" w:eastAsia="仿宋" w:cstheme="minorBidi"/>
                <w:kern w:val="2"/>
                <w:sz w:val="21"/>
                <w:szCs w:val="22"/>
                <w:lang w:val="en-US" w:eastAsia="zh-CN" w:bidi="ar-SA"/>
              </w:rPr>
              <w:t>10</w:t>
            </w:r>
          </w:p>
        </w:tc>
        <w:tc>
          <w:tcPr>
            <w:tcW w:w="177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w:t>
            </w:r>
          </w:p>
        </w:tc>
        <w:tc>
          <w:tcPr>
            <w:tcW w:w="1773" w:type="dxa"/>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20000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4729" w:type="dxa"/>
            <w:gridSpan w:val="3"/>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合计预算</w:t>
            </w:r>
          </w:p>
        </w:tc>
        <w:tc>
          <w:tcPr>
            <w:tcW w:w="4680" w:type="dxa"/>
            <w:gridSpan w:val="3"/>
            <w:vAlign w:val="center"/>
          </w:tcPr>
          <w:p>
            <w:pPr>
              <w:overflowPunct w:val="0"/>
              <w:spacing w:line="500" w:lineRule="exact"/>
              <w:jc w:val="center"/>
              <w:rPr>
                <w:rFonts w:hint="default" w:ascii="仿宋" w:hAnsi="仿宋" w:eastAsia="仿宋"/>
                <w:lang w:val="en-US" w:eastAsia="zh-CN"/>
              </w:rPr>
            </w:pPr>
            <w:r>
              <w:rPr>
                <w:rFonts w:hint="eastAsia" w:ascii="仿宋" w:hAnsi="仿宋" w:eastAsia="仿宋"/>
                <w:lang w:val="en-US" w:eastAsia="zh-CN"/>
              </w:rPr>
              <w:t>22000</w:t>
            </w:r>
          </w:p>
        </w:tc>
      </w:tr>
    </w:tbl>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（二）是否接受进口产品投标</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1.本项目不接受进口产品投标（进口产品是指通过中国海关报关，验放进入中国境内，且产自关境外的产品）。</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2.本项目接受进口产品投标，也允许符合需求的国产产品参与投标。</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（三）项目基本情况和采购标的需实现的功能或目标</w:t>
      </w:r>
    </w:p>
    <w:p>
      <w:pPr>
        <w:spacing w:line="460" w:lineRule="exact"/>
        <w:ind w:firstLine="640" w:firstLineChars="200"/>
        <w:rPr>
          <w:rFonts w:hint="eastAsia" w:ascii="仿宋_GB2312" w:hAnsi="仿宋" w:eastAsia="仿宋_GB2312" w:cs="宋体"/>
          <w:kern w:val="0"/>
          <w:sz w:val="32"/>
          <w:szCs w:val="32"/>
          <w:highlight w:val="yellow"/>
          <w:lang w:val="en-US" w:eastAsia="zh-CN"/>
        </w:rPr>
      </w:pPr>
      <w:r>
        <w:rPr>
          <w:rFonts w:hint="eastAsia" w:ascii="仿宋_GB2312" w:hAnsi="仿宋" w:eastAsia="仿宋_GB2312" w:cs="宋体"/>
          <w:kern w:val="0"/>
          <w:sz w:val="32"/>
          <w:szCs w:val="32"/>
          <w:highlight w:val="yellow"/>
          <w:lang w:val="en-US" w:eastAsia="zh-CN"/>
        </w:rPr>
        <w:t>无</w:t>
      </w:r>
    </w:p>
    <w:p>
      <w:pPr>
        <w:spacing w:line="460" w:lineRule="exact"/>
        <w:ind w:firstLine="640" w:firstLineChars="200"/>
        <w:rPr>
          <w:rFonts w:ascii="仿宋_GB2312" w:hAnsi="仿宋" w:eastAsia="仿宋_GB2312" w:cs="Times New Roman"/>
          <w:sz w:val="32"/>
          <w:szCs w:val="32"/>
        </w:rPr>
      </w:pPr>
      <w:r>
        <w:rPr>
          <w:rFonts w:hint="eastAsia" w:ascii="仿宋_GB2312" w:hAnsi="仿宋" w:eastAsia="仿宋_GB2312" w:cs="Times New Roman"/>
          <w:color w:val="000000"/>
          <w:sz w:val="32"/>
          <w:szCs w:val="32"/>
        </w:rPr>
        <w:t>（四）</w:t>
      </w:r>
      <w:r>
        <w:rPr>
          <w:rFonts w:hint="eastAsia" w:ascii="仿宋_GB2312" w:hAnsi="仿宋" w:eastAsia="仿宋_GB2312" w:cs="Times New Roman"/>
          <w:sz w:val="32"/>
          <w:szCs w:val="32"/>
        </w:rPr>
        <w:t>货物技术及服务标准</w:t>
      </w:r>
    </w:p>
    <w:p>
      <w:pPr>
        <w:spacing w:line="460" w:lineRule="exact"/>
        <w:ind w:firstLine="640" w:firstLineChars="200"/>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1、必须满足的技术及服务标准</w:t>
      </w:r>
    </w:p>
    <w:p>
      <w:pPr>
        <w:snapToGrid w:val="0"/>
        <w:spacing w:line="460" w:lineRule="exact"/>
        <w:ind w:firstLine="800" w:firstLineChars="250"/>
        <w:rPr>
          <w:rFonts w:hint="default" w:ascii="仿宋_GB2312" w:hAnsi="仿宋" w:eastAsia="仿宋_GB2312" w:cs="宋体"/>
          <w:kern w:val="0"/>
          <w:sz w:val="32"/>
          <w:szCs w:val="32"/>
          <w:lang w:val="en-US" w:eastAsia="zh-CN"/>
        </w:rPr>
      </w:pPr>
      <w:r>
        <w:rPr>
          <w:rFonts w:hint="eastAsia" w:ascii="仿宋_GB2312" w:hAnsi="仿宋" w:eastAsia="仿宋_GB2312" w:cs="宋体"/>
          <w:kern w:val="0"/>
          <w:sz w:val="32"/>
          <w:szCs w:val="32"/>
          <w:highlight w:val="yellow"/>
          <w:lang w:val="en-US" w:eastAsia="zh-CN"/>
        </w:rPr>
        <w:t>所有耗材适配兼容新华Rider 60B内镜消毒器、Center-R5洗消池，并由成交方免费更换</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2、一般性</w:t>
      </w:r>
      <w:r>
        <w:rPr>
          <w:rFonts w:hint="eastAsia" w:ascii="仿宋_GB2312" w:hAnsi="仿宋" w:eastAsia="仿宋_GB2312" w:cs="Times New Roman"/>
          <w:color w:val="000000"/>
          <w:sz w:val="32"/>
          <w:szCs w:val="32"/>
        </w:rPr>
        <w:t>技术及服务标准</w:t>
      </w:r>
    </w:p>
    <w:p>
      <w:pPr>
        <w:pStyle w:val="10"/>
        <w:numPr>
          <w:ilvl w:val="0"/>
          <w:numId w:val="0"/>
        </w:numPr>
        <w:spacing w:line="460" w:lineRule="exact"/>
        <w:ind w:firstLine="960" w:firstLineChars="300"/>
        <w:rPr>
          <w:rFonts w:ascii="仿宋_GB2312" w:hAnsi="仿宋" w:eastAsia="仿宋_GB2312" w:cs="Times New Roman"/>
          <w:b/>
          <w:sz w:val="32"/>
          <w:szCs w:val="32"/>
        </w:rPr>
      </w:pPr>
      <w:r>
        <w:rPr>
          <w:rFonts w:hint="eastAsia" w:ascii="仿宋_GB2312" w:hAnsi="仿宋" w:eastAsia="仿宋_GB2312" w:cs="宋体"/>
          <w:kern w:val="0"/>
          <w:sz w:val="32"/>
          <w:szCs w:val="32"/>
          <w:highlight w:val="yellow"/>
          <w:lang w:val="en-US" w:eastAsia="zh-CN"/>
        </w:rPr>
        <w:t>无</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交货期</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中标人应在采购合同签订后</w:t>
      </w:r>
      <w:r>
        <w:rPr>
          <w:rFonts w:hint="eastAsia" w:ascii="仿宋_GB2312" w:hAnsi="仿宋" w:eastAsia="仿宋_GB2312" w:cs="Times New Roman"/>
          <w:color w:val="000000"/>
          <w:sz w:val="32"/>
          <w:szCs w:val="32"/>
          <w:highlight w:val="yellow"/>
          <w:lang w:val="en-US" w:eastAsia="zh-CN"/>
        </w:rPr>
        <w:t>15</w:t>
      </w:r>
      <w:r>
        <w:rPr>
          <w:rFonts w:hint="eastAsia" w:ascii="仿宋_GB2312" w:hAnsi="仿宋" w:eastAsia="仿宋_GB2312" w:cs="Times New Roman"/>
          <w:color w:val="000000"/>
          <w:sz w:val="32"/>
          <w:szCs w:val="32"/>
        </w:rPr>
        <w:t>日内交货并完成安装调试。</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交货地点</w:t>
      </w:r>
    </w:p>
    <w:p>
      <w:pPr>
        <w:spacing w:line="460" w:lineRule="exact"/>
        <w:ind w:firstLine="566" w:firstLineChars="177"/>
        <w:rPr>
          <w:rFonts w:hint="default" w:ascii="仿宋_GB2312" w:hAnsi="仿宋" w:eastAsia="仿宋_GB2312"/>
          <w:sz w:val="32"/>
          <w:szCs w:val="32"/>
          <w:lang w:val="en-US"/>
        </w:rPr>
      </w:pPr>
      <w:r>
        <w:rPr>
          <w:rFonts w:hint="eastAsia" w:ascii="仿宋_GB2312" w:hAnsi="仿宋" w:eastAsia="仿宋_GB2312" w:cs="Times New Roman"/>
          <w:color w:val="000000"/>
          <w:sz w:val="32"/>
          <w:szCs w:val="32"/>
          <w:highlight w:val="yellow"/>
          <w:lang w:val="en-US" w:eastAsia="zh-CN"/>
        </w:rPr>
        <w:t>克拉玛依市中心医院医学装备科</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验收方式</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1、货物到达现场后，中标人应在使用单位人员在场情况下当面开箱，共同清点、检查外观，作出开箱记录，双方签字确认。</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2、中标人应保证货物到达采购人所在地完好无损，如有缺漏、损坏，由供应商负责调换、补齐或赔偿。</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3、中标人应提供完备的技术资料、装箱单和合格证等，并派遣专业技术人员进行现场安装调试。验收合格条件如下：</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3.1设备技术参数与采购合同一致，性能指标达到规定的标准。</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3.2货物技术资料、装箱单、合格证等资料齐全。</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3.3在系统试运行期间所出现的问题得到解决，并运行正常。</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3.4在规定时间内交货和验收，并经采购人确认。</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4、产品在安装调试并试运行符合要求后，才作为最终验收。</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5、供应商提供的货物未达到招标文件规定要求，且对采购人造成损失的，由供应商承担一切责任，并赔偿所造成的损失。</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6、大型或者复杂的政府采购项目，采购人应当邀请国家认可的质量检测机构参加验收工作。</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7、采购人需要制造商对中标人交付的产品（包括质量、技术参数等）进行确认的，制造商应予以配合，并出具书面意见。</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8、产品包装材料归采购人所有。</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产品质量保证期</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1、投标产品质量保证期</w:t>
      </w:r>
      <w:r>
        <w:rPr>
          <w:rFonts w:hint="eastAsia" w:ascii="仿宋_GB2312" w:hAnsi="仿宋" w:eastAsia="仿宋_GB2312" w:cs="Times New Roman"/>
          <w:color w:val="000000"/>
          <w:sz w:val="32"/>
          <w:szCs w:val="32"/>
          <w:highlight w:val="yellow"/>
          <w:lang w:val="en-US" w:eastAsia="zh-CN"/>
        </w:rPr>
        <w:t>1</w:t>
      </w:r>
      <w:r>
        <w:rPr>
          <w:rFonts w:hint="eastAsia" w:ascii="仿宋_GB2312" w:hAnsi="仿宋" w:eastAsia="仿宋_GB2312" w:cs="Times New Roman"/>
          <w:color w:val="000000"/>
          <w:sz w:val="32"/>
          <w:szCs w:val="32"/>
        </w:rPr>
        <w:t>年。</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2、投标产品属于国家规定“三包”范围的，其产品质量保证期不得低于“三包”规定。</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3、投标人的质量保证期承诺优于国家“三包”规定的，按投标人实际承诺执行。</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4、投标产品由制造商（指产品生产制造商，或其负责销售、售后服务机构，以下同）负责标准售后服务的，应当在投标文件中予以明确说明，并附制造商售后服务承诺。</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售后服务内容</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1、投标人和制造商在质量保证期内应当为采购人提供以下技术支持和服务：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1.1电话咨询</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中标人和制造商应当为采购人提供技术援助电话，解答采购人在使用中遇到的问题，及时为采购人提出解决问题的建议。</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1.2现场响应</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采购人遇到使用及技术问题，电话咨询不能解决的，中标人和制造商应在24小时内到达现场进行处理，确保产品正常工作。</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1.3技术升级</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在质保期内，如果中标人和制造商的产品技术升级，供应商应及时通知采购人，如采购人有相应要求，中标人和制造商应对采购人购买的产品进行升级服务。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2、质保期外服务要求</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2.1质量保证期过后，供应商和制造商应同样提供免费电话咨询服务，并应承诺提供产品上门维护服务。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2.2质量保证期过后，采购人需要继续由原供应商和制造商提供售后服务的，该供应商和制造商应以优惠价格提供售后服务。</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3、备品备件及易损件</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中标人和制造商售后服务中，维修使用的备品备件及易损件应为原厂配件，未经采购人同意不得使用非原厂配件，常用的、容易损坏的备品备件及易损件的价格清单须在投标文件中列出。</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付款方式</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（一）合同签订后，采购人向中标人支付合同总价</w:t>
      </w:r>
      <w:r>
        <w:rPr>
          <w:rFonts w:hint="eastAsia" w:ascii="仿宋_GB2312" w:hAnsi="仿宋" w:eastAsia="仿宋_GB2312" w:cs="Times New Roman"/>
          <w:color w:val="000000"/>
          <w:sz w:val="32"/>
          <w:szCs w:val="32"/>
          <w:highlight w:val="yellow"/>
          <w:lang w:val="en-US" w:eastAsia="zh-CN"/>
        </w:rPr>
        <w:t>0</w:t>
      </w:r>
      <w:r>
        <w:rPr>
          <w:rFonts w:hint="eastAsia" w:ascii="仿宋_GB2312" w:hAnsi="仿宋" w:eastAsia="仿宋_GB2312" w:cs="Times New Roman"/>
          <w:color w:val="000000"/>
          <w:sz w:val="32"/>
          <w:szCs w:val="32"/>
          <w:highlight w:val="yellow"/>
        </w:rPr>
        <w:t>%</w:t>
      </w:r>
      <w:r>
        <w:rPr>
          <w:rFonts w:hint="eastAsia" w:ascii="仿宋_GB2312" w:hAnsi="仿宋" w:eastAsia="仿宋_GB2312" w:cs="Times New Roman"/>
          <w:color w:val="000000"/>
          <w:sz w:val="32"/>
          <w:szCs w:val="32"/>
        </w:rPr>
        <w:t>的预付款。</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（二）中标人按采购合同交货，完成安装调试，经验收合格后，采购人向中标人支付合同总价</w:t>
      </w:r>
      <w:r>
        <w:rPr>
          <w:rFonts w:hint="eastAsia" w:ascii="仿宋_GB2312" w:hAnsi="仿宋" w:eastAsia="仿宋_GB2312" w:cs="Times New Roman"/>
          <w:color w:val="000000"/>
          <w:sz w:val="32"/>
          <w:szCs w:val="32"/>
          <w:lang w:val="en-US" w:eastAsia="zh-CN"/>
        </w:rPr>
        <w:t>100</w:t>
      </w:r>
      <w:r>
        <w:rPr>
          <w:rFonts w:hint="eastAsia" w:ascii="仿宋_GB2312" w:hAnsi="仿宋" w:eastAsia="仿宋_GB2312" w:cs="Times New Roman"/>
          <w:color w:val="000000"/>
          <w:sz w:val="32"/>
          <w:szCs w:val="32"/>
        </w:rPr>
        <w:t>%的货款。</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（三）其余</w:t>
      </w:r>
      <w:r>
        <w:rPr>
          <w:rFonts w:hint="eastAsia" w:ascii="仿宋_GB2312" w:hAnsi="仿宋" w:eastAsia="仿宋_GB2312" w:cs="Times New Roman"/>
          <w:color w:val="000000"/>
          <w:sz w:val="32"/>
          <w:szCs w:val="32"/>
          <w:highlight w:val="yellow"/>
          <w:lang w:val="en-US" w:eastAsia="zh-CN"/>
        </w:rPr>
        <w:t>0</w:t>
      </w:r>
      <w:r>
        <w:rPr>
          <w:rFonts w:hint="eastAsia" w:ascii="仿宋_GB2312" w:hAnsi="仿宋" w:eastAsia="仿宋_GB2312" w:cs="Times New Roman"/>
          <w:color w:val="000000"/>
          <w:sz w:val="32"/>
          <w:szCs w:val="32"/>
        </w:rPr>
        <w:t>%款额在产品使用中无质量问题，且履行售后服务承诺，在质保期满后的X天内将余款无息汇入中标人指定的账户。</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（四）中标人提交采购合同、发票等材料，向采购人申请付款。</w:t>
      </w:r>
    </w:p>
    <w:p>
      <w:pPr>
        <w:spacing w:line="460" w:lineRule="exact"/>
        <w:ind w:firstLine="566" w:firstLineChars="177"/>
        <w:rPr>
          <w:rFonts w:ascii="仿宋_GB2312" w:hAnsi="仿宋" w:eastAsia="仿宋_GB2312" w:cs="Times New Roman"/>
          <w:color w:val="000000"/>
          <w:sz w:val="32"/>
          <w:szCs w:val="32"/>
        </w:rPr>
      </w:pPr>
      <w:r>
        <w:rPr>
          <w:rFonts w:hint="eastAsia" w:ascii="仿宋_GB2312" w:hAnsi="仿宋" w:eastAsia="仿宋_GB2312" w:cs="Times New Roman"/>
          <w:color w:val="000000"/>
          <w:sz w:val="32"/>
          <w:szCs w:val="32"/>
        </w:rPr>
        <w:t>（五）采购人对中标人提交的付款资料审核通过后，以转账方式向中标人付款。</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履约保证金</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本合同签订前向采购人提交合同金额的</w:t>
      </w:r>
      <w:r>
        <w:rPr>
          <w:rFonts w:hint="eastAsia" w:ascii="仿宋_GB2312" w:hAnsi="仿宋" w:eastAsia="仿宋_GB2312" w:cs="宋体"/>
          <w:kern w:val="0"/>
          <w:sz w:val="32"/>
          <w:szCs w:val="32"/>
          <w:highlight w:val="yellow"/>
          <w:lang w:val="en-US" w:eastAsia="zh-CN"/>
        </w:rPr>
        <w:t>0</w:t>
      </w:r>
      <w:r>
        <w:rPr>
          <w:rFonts w:hint="eastAsia" w:ascii="仿宋_GB2312" w:hAnsi="仿宋" w:eastAsia="仿宋_GB2312" w:cs="宋体"/>
          <w:kern w:val="0"/>
          <w:sz w:val="32"/>
          <w:szCs w:val="32"/>
          <w:highlight w:val="yellow"/>
        </w:rPr>
        <w:t>%</w:t>
      </w:r>
      <w:r>
        <w:rPr>
          <w:rFonts w:hint="eastAsia" w:ascii="仿宋_GB2312" w:hAnsi="仿宋" w:eastAsia="仿宋_GB2312" w:cs="宋体"/>
          <w:kern w:val="0"/>
          <w:sz w:val="32"/>
          <w:szCs w:val="32"/>
        </w:rPr>
        <w:t>作为履约保证金</w:t>
      </w:r>
      <w:r>
        <w:rPr>
          <w:rFonts w:hint="eastAsia" w:ascii="仿宋_GB2312" w:hAnsi="仿宋" w:eastAsia="仿宋_GB2312" w:cs="宋体"/>
          <w:kern w:val="0"/>
          <w:sz w:val="32"/>
          <w:szCs w:val="32"/>
          <w:highlight w:val="yellow"/>
        </w:rPr>
        <w:t>（履约保证金的数额不得超过政府采购合同金额的10%）</w:t>
      </w:r>
      <w:r>
        <w:rPr>
          <w:rFonts w:hint="eastAsia" w:ascii="仿宋_GB2312" w:hAnsi="仿宋" w:eastAsia="仿宋_GB2312" w:cs="宋体"/>
          <w:kern w:val="0"/>
          <w:sz w:val="32"/>
          <w:szCs w:val="32"/>
        </w:rPr>
        <w:t>。经采购人考核，中标人严格遵守合同约定，未发生违约情况的，则在合同期满后十五个工作日内无息退款。</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培训</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（一）培训内容</w:t>
      </w:r>
    </w:p>
    <w:p>
      <w:pPr>
        <w:snapToGrid w:val="0"/>
        <w:spacing w:line="460" w:lineRule="exact"/>
        <w:ind w:firstLine="800" w:firstLineChars="250"/>
        <w:rPr>
          <w:rFonts w:hint="eastAsia" w:ascii="仿宋_GB2312" w:hAnsi="仿宋" w:eastAsia="仿宋_GB2312" w:cs="宋体"/>
          <w:kern w:val="0"/>
          <w:sz w:val="32"/>
          <w:szCs w:val="32"/>
          <w:lang w:val="en-US" w:eastAsia="zh-CN"/>
        </w:rPr>
      </w:pPr>
      <w:r>
        <w:rPr>
          <w:rFonts w:hint="eastAsia" w:ascii="仿宋_GB2312" w:hAnsi="仿宋" w:eastAsia="仿宋_GB2312" w:cs="宋体"/>
          <w:kern w:val="0"/>
          <w:sz w:val="32"/>
          <w:szCs w:val="32"/>
          <w:lang w:val="en-US" w:eastAsia="zh-CN"/>
        </w:rPr>
        <w:t>无</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（二）培训要求</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lang w:val="en-US" w:eastAsia="zh-CN"/>
        </w:rPr>
        <w:t>无</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（三）培训方式</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lang w:val="en-US" w:eastAsia="zh-CN"/>
        </w:rPr>
        <w:t>无</w:t>
      </w:r>
    </w:p>
    <w:p>
      <w:pPr>
        <w:pStyle w:val="10"/>
        <w:numPr>
          <w:ilvl w:val="0"/>
          <w:numId w:val="1"/>
        </w:numPr>
        <w:spacing w:line="460" w:lineRule="exact"/>
        <w:ind w:left="1140" w:leftChars="0" w:firstLineChars="0"/>
        <w:rPr>
          <w:rFonts w:ascii="仿宋_GB2312" w:hAnsi="仿宋" w:eastAsia="仿宋_GB2312" w:cs="Times New Roman"/>
          <w:b/>
          <w:sz w:val="32"/>
          <w:szCs w:val="32"/>
        </w:rPr>
      </w:pPr>
      <w:r>
        <w:rPr>
          <w:rFonts w:hint="eastAsia" w:ascii="仿宋_GB2312" w:hAnsi="仿宋" w:eastAsia="仿宋_GB2312" w:cs="Times New Roman"/>
          <w:b/>
          <w:sz w:val="32"/>
          <w:szCs w:val="32"/>
        </w:rPr>
        <w:t>采购单位咨询电话</w:t>
      </w:r>
    </w:p>
    <w:p>
      <w:pPr>
        <w:snapToGrid w:val="0"/>
        <w:spacing w:line="460" w:lineRule="exact"/>
        <w:ind w:firstLine="800" w:firstLineChars="250"/>
        <w:rPr>
          <w:rFonts w:hint="eastAsia" w:ascii="仿宋_GB2312" w:hAnsi="仿宋" w:eastAsia="仿宋_GB2312" w:cs="宋体"/>
          <w:kern w:val="0"/>
          <w:sz w:val="32"/>
          <w:szCs w:val="32"/>
          <w:lang w:eastAsia="zh-CN"/>
        </w:rPr>
      </w:pPr>
      <w:r>
        <w:rPr>
          <w:rFonts w:hint="eastAsia" w:ascii="仿宋_GB2312" w:hAnsi="仿宋" w:eastAsia="仿宋_GB2312" w:cs="宋体"/>
          <w:kern w:val="0"/>
          <w:sz w:val="32"/>
          <w:szCs w:val="32"/>
        </w:rPr>
        <w:t>联系人：</w:t>
      </w:r>
      <w:r>
        <w:rPr>
          <w:rFonts w:hint="eastAsia" w:ascii="仿宋_GB2312" w:hAnsi="仿宋" w:eastAsia="仿宋_GB2312" w:cs="宋体"/>
          <w:kern w:val="0"/>
          <w:sz w:val="32"/>
          <w:szCs w:val="32"/>
          <w:lang w:val="en-US" w:eastAsia="zh-CN"/>
        </w:rPr>
        <w:t>徐乐</w:t>
      </w:r>
    </w:p>
    <w:p>
      <w:pPr>
        <w:snapToGrid w:val="0"/>
        <w:spacing w:line="460" w:lineRule="exact"/>
        <w:ind w:firstLine="800" w:firstLineChars="250"/>
        <w:rPr>
          <w:rFonts w:hint="default" w:ascii="仿宋_GB2312" w:hAnsi="仿宋" w:eastAsia="仿宋_GB2312" w:cs="宋体"/>
          <w:kern w:val="0"/>
          <w:sz w:val="32"/>
          <w:szCs w:val="32"/>
          <w:lang w:val="en-US" w:eastAsia="zh-CN"/>
        </w:rPr>
      </w:pPr>
      <w:r>
        <w:rPr>
          <w:rFonts w:hint="eastAsia" w:ascii="仿宋_GB2312" w:hAnsi="仿宋" w:eastAsia="仿宋_GB2312" w:cs="宋体"/>
          <w:kern w:val="0"/>
          <w:sz w:val="32"/>
          <w:szCs w:val="32"/>
        </w:rPr>
        <w:t>手机号：</w:t>
      </w:r>
      <w:r>
        <w:rPr>
          <w:rFonts w:hint="eastAsia" w:ascii="仿宋_GB2312" w:hAnsi="仿宋" w:eastAsia="仿宋_GB2312" w:cs="宋体"/>
          <w:kern w:val="0"/>
          <w:sz w:val="32"/>
          <w:szCs w:val="32"/>
          <w:lang w:val="en-US" w:eastAsia="zh-CN"/>
        </w:rPr>
        <w:t>18799210884</w:t>
      </w: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rPr>
        <w:t>地址：克拉玛依市安定路120号</w:t>
      </w:r>
    </w:p>
    <w:p>
      <w:pPr>
        <w:pStyle w:val="10"/>
        <w:numPr>
          <w:ilvl w:val="0"/>
          <w:numId w:val="1"/>
        </w:numPr>
        <w:spacing w:line="460" w:lineRule="exact"/>
        <w:ind w:left="-220" w:leftChars="0" w:firstLine="640" w:firstLineChars="0"/>
        <w:rPr>
          <w:rFonts w:ascii="仿宋_GB2312" w:hAnsi="仿宋" w:eastAsia="仿宋_GB2312" w:cs="Times New Roman"/>
          <w:b/>
          <w:sz w:val="32"/>
          <w:szCs w:val="32"/>
          <w:highlight w:val="none"/>
        </w:rPr>
      </w:pPr>
      <w:r>
        <w:rPr>
          <w:rFonts w:hint="eastAsia" w:ascii="仿宋_GB2312" w:hAnsi="仿宋" w:eastAsia="仿宋_GB2312" w:cs="Times New Roman"/>
          <w:b/>
          <w:sz w:val="32"/>
          <w:szCs w:val="32"/>
          <w:highlight w:val="none"/>
        </w:rPr>
        <w:t>提供不少于3个能满足本采购需求的产品</w:t>
      </w:r>
      <w:r>
        <w:rPr>
          <w:rFonts w:hint="eastAsia" w:ascii="仿宋_GB2312" w:hAnsi="仿宋" w:eastAsia="仿宋_GB2312" w:cs="Times New Roman"/>
          <w:b/>
          <w:sz w:val="32"/>
          <w:szCs w:val="32"/>
          <w:highlight w:val="yellow"/>
        </w:rPr>
        <w:t>品牌</w:t>
      </w:r>
      <w:r>
        <w:rPr>
          <w:rFonts w:hint="eastAsia" w:ascii="仿宋_GB2312" w:hAnsi="仿宋" w:eastAsia="仿宋_GB2312" w:cs="Times New Roman"/>
          <w:b/>
          <w:sz w:val="32"/>
          <w:szCs w:val="32"/>
          <w:highlight w:val="none"/>
        </w:rPr>
        <w:t>名称</w:t>
      </w:r>
    </w:p>
    <w:p>
      <w:pPr>
        <w:snapToGrid w:val="0"/>
        <w:spacing w:line="460" w:lineRule="exact"/>
        <w:ind w:firstLine="800" w:firstLineChars="250"/>
        <w:rPr>
          <w:rFonts w:ascii="仿宋_GB2312" w:hAnsi="仿宋" w:eastAsia="仿宋_GB2312" w:cs="宋体"/>
          <w:kern w:val="0"/>
          <w:sz w:val="32"/>
          <w:szCs w:val="32"/>
        </w:rPr>
      </w:pPr>
    </w:p>
    <w:p>
      <w:pPr>
        <w:snapToGrid w:val="0"/>
        <w:spacing w:line="460" w:lineRule="exact"/>
        <w:ind w:firstLine="800" w:firstLineChars="250"/>
        <w:rPr>
          <w:rFonts w:ascii="仿宋_GB2312" w:hAnsi="仿宋" w:eastAsia="仿宋_GB2312" w:cs="宋体"/>
          <w:kern w:val="0"/>
          <w:sz w:val="32"/>
          <w:szCs w:val="32"/>
        </w:rPr>
      </w:pPr>
      <w:r>
        <w:rPr>
          <w:rFonts w:hint="eastAsia" w:ascii="仿宋_GB2312" w:hAnsi="仿宋" w:eastAsia="仿宋_GB2312" w:cs="宋体"/>
          <w:kern w:val="0"/>
          <w:sz w:val="32"/>
          <w:szCs w:val="32"/>
          <w:lang w:val="en-US" w:eastAsia="zh-CN"/>
        </w:rPr>
        <w:t>新华</w:t>
      </w:r>
    </w:p>
    <w:p>
      <w:pPr>
        <w:snapToGrid w:val="0"/>
        <w:spacing w:line="460" w:lineRule="exact"/>
        <w:ind w:firstLine="5120" w:firstLineChars="1600"/>
        <w:rPr>
          <w:rFonts w:hint="eastAsia" w:ascii="仿宋_GB2312" w:hAnsi="仿宋" w:eastAsia="仿宋_GB2312" w:cs="宋体"/>
          <w:kern w:val="0"/>
          <w:sz w:val="32"/>
          <w:szCs w:val="32"/>
          <w:lang w:val="en-US" w:eastAsia="zh-CN"/>
        </w:rPr>
      </w:pPr>
      <w:r>
        <w:rPr>
          <w:rFonts w:hint="eastAsia" w:ascii="仿宋_GB2312" w:hAnsi="仿宋" w:eastAsia="仿宋_GB2312" w:cs="Times New Roman"/>
          <w:color w:val="000000"/>
          <w:sz w:val="32"/>
          <w:szCs w:val="32"/>
        </w:rPr>
        <w:t>采购人名称：</w:t>
      </w:r>
      <w:r>
        <w:rPr>
          <w:rFonts w:hint="eastAsia" w:ascii="仿宋_GB2312" w:hAnsi="仿宋" w:eastAsia="仿宋_GB2312" w:cs="Times New Roman"/>
          <w:color w:val="000000"/>
          <w:sz w:val="32"/>
          <w:szCs w:val="32"/>
          <w:lang w:val="en-US" w:eastAsia="zh-CN"/>
        </w:rPr>
        <w:t>徐乐</w:t>
      </w:r>
    </w:p>
    <w:p>
      <w:pPr>
        <w:snapToGrid w:val="0"/>
        <w:spacing w:before="240" w:line="460" w:lineRule="exact"/>
        <w:ind w:firstLine="5280" w:firstLineChars="1650"/>
        <w:rPr>
          <w:rFonts w:ascii="仿宋_GB2312" w:hAnsi="仿宋" w:eastAsia="仿宋_GB2312" w:cs="宋体"/>
          <w:kern w:val="0"/>
          <w:sz w:val="32"/>
          <w:szCs w:val="32"/>
        </w:rPr>
      </w:pPr>
      <w:r>
        <w:rPr>
          <w:rFonts w:hint="eastAsia" w:ascii="仿宋_GB2312" w:hAnsi="仿宋" w:eastAsia="仿宋_GB2312" w:cs="Times New Roman"/>
          <w:color w:val="000000"/>
          <w:sz w:val="32"/>
          <w:szCs w:val="32"/>
          <w:lang w:val="en-US" w:eastAsia="zh-CN"/>
        </w:rPr>
        <w:t>2025</w:t>
      </w:r>
      <w:r>
        <w:rPr>
          <w:rFonts w:hint="eastAsia" w:ascii="仿宋_GB2312" w:hAnsi="仿宋" w:eastAsia="仿宋_GB2312" w:cs="宋体"/>
          <w:kern w:val="0"/>
          <w:sz w:val="32"/>
          <w:szCs w:val="32"/>
        </w:rPr>
        <w:t>年</w:t>
      </w:r>
      <w:r>
        <w:rPr>
          <w:rFonts w:hint="eastAsia" w:ascii="仿宋_GB2312" w:hAnsi="仿宋" w:eastAsia="仿宋_GB2312" w:cs="Times New Roman"/>
          <w:color w:val="000000"/>
          <w:sz w:val="32"/>
          <w:szCs w:val="32"/>
          <w:lang w:val="en-US" w:eastAsia="zh-CN"/>
        </w:rPr>
        <w:t>3</w:t>
      </w:r>
      <w:r>
        <w:rPr>
          <w:rFonts w:hint="eastAsia" w:ascii="仿宋_GB2312" w:hAnsi="仿宋" w:eastAsia="仿宋_GB2312" w:cs="宋体"/>
          <w:kern w:val="0"/>
          <w:sz w:val="32"/>
          <w:szCs w:val="32"/>
        </w:rPr>
        <w:t>月</w:t>
      </w:r>
      <w:r>
        <w:rPr>
          <w:rFonts w:hint="eastAsia" w:ascii="仿宋_GB2312" w:hAnsi="仿宋" w:eastAsia="仿宋_GB2312" w:cs="Times New Roman"/>
          <w:color w:val="000000"/>
          <w:sz w:val="32"/>
          <w:szCs w:val="32"/>
          <w:lang w:val="en-US" w:eastAsia="zh-CN"/>
        </w:rPr>
        <w:t>3</w:t>
      </w:r>
      <w:r>
        <w:rPr>
          <w:rFonts w:hint="eastAsia" w:ascii="仿宋_GB2312" w:hAnsi="仿宋" w:eastAsia="仿宋_GB2312" w:cs="宋体"/>
          <w:kern w:val="0"/>
          <w:sz w:val="32"/>
          <w:szCs w:val="32"/>
        </w:rPr>
        <w:t>日</w:t>
      </w:r>
    </w:p>
    <w:p>
      <w:pPr>
        <w:snapToGrid w:val="0"/>
        <w:spacing w:line="460" w:lineRule="exact"/>
        <w:ind w:firstLine="800" w:firstLineChars="250"/>
        <w:rPr>
          <w:rFonts w:ascii="仿宋_GB2312" w:hAnsi="仿宋" w:eastAsia="仿宋_GB2312" w:cs="宋体"/>
          <w:kern w:val="0"/>
          <w:sz w:val="32"/>
          <w:szCs w:val="32"/>
        </w:rPr>
      </w:pPr>
    </w:p>
    <w:p>
      <w:pPr>
        <w:snapToGrid w:val="0"/>
        <w:spacing w:line="460" w:lineRule="exact"/>
        <w:rPr>
          <w:rFonts w:ascii="仿宋_GB2312" w:hAnsi="仿宋" w:eastAsia="仿宋_GB2312" w:cs="宋体"/>
          <w:kern w:val="0"/>
          <w:sz w:val="32"/>
          <w:szCs w:val="32"/>
        </w:rPr>
      </w:pPr>
    </w:p>
    <w:p>
      <w:pPr>
        <w:snapToGrid w:val="0"/>
        <w:spacing w:line="460" w:lineRule="exact"/>
        <w:ind w:firstLine="800" w:firstLineChars="250"/>
        <w:rPr>
          <w:rFonts w:ascii="仿宋_GB2312" w:hAnsi="仿宋" w:eastAsia="仿宋_GB2312" w:cs="宋体"/>
          <w:kern w:val="0"/>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_GBK">
    <w:altName w:val="微软雅黑"/>
    <w:panose1 w:val="00000000000000000000"/>
    <w:charset w:val="86"/>
    <w:family w:val="script"/>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10" w:usb3="00000000" w:csb0="00040000" w:csb1="00000000"/>
  </w:font>
  <w:font w:name="华文中宋">
    <w:altName w:val="宋体"/>
    <w:panose1 w:val="02010600040101010101"/>
    <w:charset w:val="86"/>
    <w:family w:val="auto"/>
    <w:pitch w:val="default"/>
    <w:sig w:usb0="00000000" w:usb1="0000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8F30056"/>
    <w:multiLevelType w:val="multilevel"/>
    <w:tmpl w:val="08F30056"/>
    <w:lvl w:ilvl="0" w:tentative="0">
      <w:start w:val="1"/>
      <w:numFmt w:val="japaneseCounting"/>
      <w:lvlText w:val="%1、"/>
      <w:lvlJc w:val="left"/>
      <w:pPr>
        <w:ind w:left="1140" w:hanging="720"/>
      </w:pPr>
      <w:rPr>
        <w:rFonts w:hint="default" w:cstheme="minorBidi"/>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1">
    <w:nsid w:val="385F50F6"/>
    <w:multiLevelType w:val="multilevel"/>
    <w:tmpl w:val="385F50F6"/>
    <w:lvl w:ilvl="0" w:tentative="0">
      <w:start w:val="1"/>
      <w:numFmt w:val="decimal"/>
      <w:lvlText w:val="%1."/>
      <w:lvlJc w:val="left"/>
      <w:pPr>
        <w:ind w:left="900" w:hanging="420"/>
      </w:p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docVars>
    <w:docVar w:name="commondata" w:val="eyJoZGlkIjoiNjYwMTBlY2RkZGUxYjY0ZTBjZjgyOTkzNWQ0OGNkYTAifQ=="/>
  </w:docVars>
  <w:rsids>
    <w:rsidRoot w:val="0067571C"/>
    <w:rsid w:val="002946FE"/>
    <w:rsid w:val="0030407D"/>
    <w:rsid w:val="00326628"/>
    <w:rsid w:val="00654BB2"/>
    <w:rsid w:val="0067571C"/>
    <w:rsid w:val="006C4A26"/>
    <w:rsid w:val="00A203BF"/>
    <w:rsid w:val="00A374EC"/>
    <w:rsid w:val="00A41A5D"/>
    <w:rsid w:val="00B33114"/>
    <w:rsid w:val="00DD3E75"/>
    <w:rsid w:val="0F461F56"/>
    <w:rsid w:val="106A0C81"/>
    <w:rsid w:val="13400B23"/>
    <w:rsid w:val="1475597B"/>
    <w:rsid w:val="15053199"/>
    <w:rsid w:val="1A913C6F"/>
    <w:rsid w:val="2F1C3E6E"/>
    <w:rsid w:val="50D84B4B"/>
    <w:rsid w:val="56B118FC"/>
    <w:rsid w:val="5C9A7191"/>
    <w:rsid w:val="62AE128C"/>
    <w:rsid w:val="70257A33"/>
    <w:rsid w:val="724642A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nhideWhenUsed/>
    <w:qFormat/>
    <w:uiPriority w:val="1"/>
  </w:style>
  <w:style w:type="table" w:default="1" w:styleId="5">
    <w:name w:val="Normal Table"/>
    <w:semiHidden/>
    <w:unhideWhenUsed/>
    <w:qFormat/>
    <w:uiPriority w:val="99"/>
    <w:tblPr>
      <w:tblCellMar>
        <w:top w:w="0" w:type="dxa"/>
        <w:left w:w="108" w:type="dxa"/>
        <w:bottom w:w="0" w:type="dxa"/>
        <w:right w:w="108" w:type="dxa"/>
      </w:tblCellMar>
    </w:tblPr>
  </w:style>
  <w:style w:type="paragraph" w:styleId="2">
    <w:name w:val="Balloon Text"/>
    <w:basedOn w:val="1"/>
    <w:link w:val="11"/>
    <w:semiHidden/>
    <w:unhideWhenUsed/>
    <w:qFormat/>
    <w:uiPriority w:val="99"/>
    <w:rPr>
      <w:sz w:val="18"/>
      <w:szCs w:val="18"/>
    </w:rPr>
  </w:style>
  <w:style w:type="paragraph" w:styleId="3">
    <w:name w:val="footer"/>
    <w:basedOn w:val="1"/>
    <w:link w:val="9"/>
    <w:semiHidden/>
    <w:unhideWhenUsed/>
    <w:qFormat/>
    <w:uiPriority w:val="99"/>
    <w:pPr>
      <w:tabs>
        <w:tab w:val="center" w:pos="4153"/>
        <w:tab w:val="right" w:pos="8306"/>
      </w:tabs>
      <w:snapToGrid w:val="0"/>
      <w:jc w:val="left"/>
    </w:pPr>
    <w:rPr>
      <w:sz w:val="18"/>
      <w:szCs w:val="18"/>
    </w:rPr>
  </w:style>
  <w:style w:type="paragraph" w:styleId="4">
    <w:name w:val="header"/>
    <w:basedOn w:val="1"/>
    <w:link w:val="8"/>
    <w:semiHidden/>
    <w:unhideWhenUsed/>
    <w:qFormat/>
    <w:uiPriority w:val="99"/>
    <w:pPr>
      <w:pBdr>
        <w:bottom w:val="single" w:color="auto" w:sz="6" w:space="1"/>
      </w:pBdr>
      <w:tabs>
        <w:tab w:val="center" w:pos="4153"/>
        <w:tab w:val="right" w:pos="8306"/>
      </w:tabs>
      <w:snapToGrid w:val="0"/>
      <w:jc w:val="center"/>
    </w:pPr>
    <w:rPr>
      <w:sz w:val="18"/>
      <w:szCs w:val="18"/>
    </w:rPr>
  </w:style>
  <w:style w:type="table" w:styleId="6">
    <w:name w:val="Table Grid"/>
    <w:basedOn w:val="5"/>
    <w:qFormat/>
    <w:uiPriority w:val="59"/>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
  </w:style>
  <w:style w:type="character" w:customStyle="1" w:styleId="8">
    <w:name w:val="页眉 Char"/>
    <w:basedOn w:val="7"/>
    <w:link w:val="4"/>
    <w:semiHidden/>
    <w:qFormat/>
    <w:uiPriority w:val="99"/>
    <w:rPr>
      <w:sz w:val="18"/>
      <w:szCs w:val="18"/>
    </w:rPr>
  </w:style>
  <w:style w:type="character" w:customStyle="1" w:styleId="9">
    <w:name w:val="页脚 Char"/>
    <w:basedOn w:val="7"/>
    <w:link w:val="3"/>
    <w:semiHidden/>
    <w:qFormat/>
    <w:uiPriority w:val="99"/>
    <w:rPr>
      <w:sz w:val="18"/>
      <w:szCs w:val="18"/>
    </w:rPr>
  </w:style>
  <w:style w:type="paragraph" w:styleId="10">
    <w:name w:val="List Paragraph"/>
    <w:basedOn w:val="1"/>
    <w:qFormat/>
    <w:uiPriority w:val="34"/>
    <w:pPr>
      <w:ind w:firstLine="420" w:firstLineChars="200"/>
    </w:pPr>
  </w:style>
  <w:style w:type="character" w:customStyle="1" w:styleId="11">
    <w:name w:val="批注框文本 Char"/>
    <w:basedOn w:val="7"/>
    <w:link w:val="2"/>
    <w:semiHidden/>
    <w:qFormat/>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Pages>
  <Words>3424</Words>
  <Characters>3851</Characters>
  <Lines>28</Lines>
  <Paragraphs>7</Paragraphs>
  <TotalTime>12</TotalTime>
  <ScaleCrop>false</ScaleCrop>
  <LinksUpToDate>false</LinksUpToDate>
  <CharactersWithSpaces>3853</CharactersWithSpaces>
  <Application>WPS Office_11.8.2.10321_F1E327BC-269C-435d-A152-05C5408002CA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2018-05-28T04:33:00Z</dcterms:created>
  <dc:creator>Admin</dc:creator>
  <cp:lastModifiedBy>Administrator</cp:lastModifiedBy>
  <dcterms:modified xsi:type="dcterms:W3CDTF">2025-04-07T11:55:20Z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2052-11.8.2.10321</vt:lpwstr>
  </property>
  <property fmtid="{D5CDD505-2E9C-101B-9397-08002B2CF9AE}" pid="3" name="ICV">
    <vt:lpwstr>F644F41B4F7E4AA69406C247EA5AFADA</vt:lpwstr>
  </property>
</Properties>
</file>